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2F" w:rsidRDefault="00FF068F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:rsidR="006D382F" w:rsidRDefault="006D38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D382F" w:rsidRDefault="00FF068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поставку оборудования</w:t>
      </w:r>
    </w:p>
    <w:p w:rsidR="006D382F" w:rsidRDefault="00FF068F">
      <w:pPr>
        <w:jc w:val="center"/>
      </w:pPr>
      <w:r>
        <w:rPr>
          <w:rFonts w:ascii="Times New Roman" w:hAnsi="Times New Roman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создания МСОН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Кочковского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Новосибирской области </w:t>
      </w:r>
    </w:p>
    <w:p w:rsidR="006D382F" w:rsidRDefault="006D382F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D382F" w:rsidRDefault="00FF068F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Наименование: поставка оборудования и необходимых материалов для создания муниципальных систем оповещения населения (МСОН) Новосибирской области в рамках функционирования, расширения и модернизации компонентов обеспечения безопасности населения, среды обит</w:t>
      </w:r>
      <w:r>
        <w:rPr>
          <w:rFonts w:ascii="Times New Roman" w:eastAsia="Times New Roman" w:hAnsi="Times New Roman" w:cs="Times New Roman"/>
          <w:sz w:val="26"/>
          <w:szCs w:val="26"/>
        </w:rPr>
        <w:t>ания и муниципальной инфраструктуры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Кочковского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района). </w:t>
      </w:r>
    </w:p>
    <w:p w:rsidR="006D382F" w:rsidRDefault="00FF068F">
      <w:pPr>
        <w:ind w:left="720"/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Поставка выполняется в соответствии с функционально-технологическими, конструктивными и инженерно-техническими решениями, изложенными в </w:t>
      </w:r>
      <w:r>
        <w:rPr>
          <w:rFonts w:ascii="Times New Roman" w:eastAsia="Times New Roman" w:hAnsi="Times New Roman" w:cs="Times New Roman"/>
          <w:i/>
          <w:iCs/>
          <w:spacing w:val="-8"/>
          <w:sz w:val="26"/>
          <w:szCs w:val="26"/>
        </w:rPr>
        <w:t>проектно-технической документации «Создание муниципальных сис</w:t>
      </w:r>
      <w:r>
        <w:rPr>
          <w:rFonts w:ascii="Times New Roman" w:eastAsia="Times New Roman" w:hAnsi="Times New Roman" w:cs="Times New Roman"/>
          <w:i/>
          <w:iCs/>
          <w:spacing w:val="-8"/>
          <w:sz w:val="26"/>
          <w:szCs w:val="26"/>
        </w:rPr>
        <w:t xml:space="preserve">тем оповещения населения Новосибирской области» шифр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ККТ-222/25-м-МСОН от 2025 года (для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Кочковского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района):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D7"/>
        </w:rPr>
        <w:t>которая размещена по следующей ссылке:</w:t>
      </w:r>
    </w:p>
    <w:p w:rsidR="006D382F" w:rsidRDefault="00FF068F">
      <w:pPr>
        <w:ind w:left="720"/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D7"/>
        </w:rPr>
      </w:pPr>
      <w:hyperlink r:id="rId5">
        <w:r>
          <w:rPr>
            <w:rStyle w:val="a3"/>
            <w:rFonts w:ascii="wf segoe-ui normal;Segoe UI;Seg" w:hAnsi="wf segoe-ui normal;Segoe UI;Seg"/>
            <w:color w:val="212121"/>
            <w:sz w:val="23"/>
          </w:rPr>
          <w:t>https://drive.rt.ru/pbl/bd2e43ae-8996-11f1-b11a-b026285a8d4e</w:t>
        </w:r>
      </w:hyperlink>
    </w:p>
    <w:p w:rsidR="006D382F" w:rsidRDefault="006D382F">
      <w:pPr>
        <w:ind w:left="720"/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D7"/>
        </w:rPr>
      </w:pPr>
    </w:p>
    <w:p w:rsidR="006D382F" w:rsidRDefault="00FF068F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Сроки поставки оборудования: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D7"/>
        </w:rPr>
        <w:t>90 календарных дней с момента заключения договора. Возможна досрочная поставка.</w:t>
      </w:r>
    </w:p>
    <w:p w:rsidR="006D382F" w:rsidRDefault="00FF068F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Требования к поставке:</w:t>
      </w:r>
    </w:p>
    <w:p w:rsidR="006D382F" w:rsidRDefault="00FF068F">
      <w:pPr>
        <w:widowControl w:val="0"/>
        <w:ind w:left="720"/>
        <w:rPr>
          <w:rFonts w:ascii="Times New Roman" w:hAnsi="Times New Roman"/>
          <w:sz w:val="26"/>
          <w:szCs w:val="26"/>
        </w:rPr>
      </w:pPr>
      <w:bookmarkStart w:id="0" w:name="undefined"/>
      <w:r>
        <w:rPr>
          <w:rFonts w:ascii="Times New Roman" w:hAnsi="Times New Roman" w:cs="Times New Roman"/>
          <w:b/>
          <w:sz w:val="26"/>
          <w:szCs w:val="26"/>
        </w:rPr>
        <w:t>Наименование оборудования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указано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в Таблице 1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настоящего ТЗ.</w:t>
      </w:r>
    </w:p>
    <w:p w:rsidR="006D382F" w:rsidRDefault="00FF068F">
      <w:pPr>
        <w:widowControl w:val="0"/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</w:t>
      </w:r>
      <w:r>
        <w:rPr>
          <w:rFonts w:ascii="Times New Roman" w:hAnsi="Times New Roman"/>
          <w:b/>
          <w:sz w:val="26"/>
          <w:szCs w:val="26"/>
        </w:rPr>
        <w:t>актико-технические характеристики используемого оборудования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указаны </w:t>
      </w:r>
      <w:r>
        <w:rPr>
          <w:rFonts w:ascii="Times New Roman" w:hAnsi="Times New Roman"/>
          <w:bCs/>
          <w:i/>
          <w:sz w:val="26"/>
          <w:szCs w:val="26"/>
        </w:rPr>
        <w:t>в Таблице 2</w:t>
      </w:r>
      <w:r>
        <w:rPr>
          <w:rFonts w:ascii="Times New Roman" w:hAnsi="Times New Roman"/>
          <w:bCs/>
          <w:sz w:val="26"/>
          <w:szCs w:val="26"/>
        </w:rPr>
        <w:t xml:space="preserve"> настоящего</w:t>
      </w:r>
      <w:bookmarkEnd w:id="0"/>
      <w:r>
        <w:rPr>
          <w:rFonts w:ascii="Times New Roman" w:hAnsi="Times New Roman"/>
          <w:bCs/>
          <w:sz w:val="26"/>
          <w:szCs w:val="26"/>
        </w:rPr>
        <w:t xml:space="preserve"> Технического задания.</w:t>
      </w:r>
    </w:p>
    <w:p w:rsidR="006D382F" w:rsidRDefault="00FF068F">
      <w:pPr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Требования по передаче Покупателю технических или иных документов по завершению поставки: Продавец</w:t>
      </w:r>
      <w:r>
        <w:rPr>
          <w:rFonts w:ascii="Times New Roman" w:hAnsi="Times New Roman"/>
          <w:sz w:val="26"/>
          <w:szCs w:val="26"/>
          <w:shd w:val="clear" w:color="auto" w:fill="FFFFD7"/>
        </w:rPr>
        <w:t xml:space="preserve"> предоставляет </w:t>
      </w:r>
      <w:r>
        <w:rPr>
          <w:rFonts w:ascii="Times New Roman" w:hAnsi="Times New Roman" w:cs="Times New Roman"/>
          <w:sz w:val="24"/>
          <w:szCs w:val="24"/>
          <w:shd w:val="clear" w:color="auto" w:fill="FFFFD7"/>
          <w:lang w:eastAsia="ar-SA"/>
        </w:rPr>
        <w:t xml:space="preserve">соответствующие сертификаты </w:t>
      </w:r>
      <w:r>
        <w:rPr>
          <w:rFonts w:ascii="Times New Roman" w:hAnsi="Times New Roman" w:cs="Times New Roman"/>
          <w:sz w:val="24"/>
          <w:szCs w:val="24"/>
          <w:shd w:val="clear" w:color="auto" w:fill="FFFFD7"/>
          <w:lang w:eastAsia="ar-SA"/>
        </w:rPr>
        <w:t>(иные документы), подтверждающие качество материалов (в случае, если наличие этих документов предусмотрено законодательством) и быть пригодными для использования.</w:t>
      </w:r>
    </w:p>
    <w:p w:rsidR="006D382F" w:rsidRDefault="00FF068F">
      <w:pPr>
        <w:numPr>
          <w:ilvl w:val="0"/>
          <w:numId w:val="6"/>
        </w:numPr>
      </w:pPr>
      <w:r>
        <w:rPr>
          <w:rFonts w:ascii="Times New Roman" w:hAnsi="Times New Roman"/>
          <w:sz w:val="26"/>
          <w:szCs w:val="26"/>
        </w:rPr>
        <w:t>Требования по гарантии: 1</w:t>
      </w:r>
      <w:r>
        <w:rPr>
          <w:rFonts w:ascii="Times New Roman" w:eastAsia="Times New Roman" w:hAnsi="Times New Roman" w:cs="Times New Roman"/>
          <w:sz w:val="26"/>
          <w:szCs w:val="26"/>
        </w:rPr>
        <w:t>2 (двенадцать) месяцев с даты подписания Покупателем акта приема-пер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едачи оборудования.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Объем предоставления гарантий качества - 100% всего объема поставляемого оборудования.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Гарантийный срок начинает исчисляться с даты подписания Покупателем документа о приемке.</w:t>
      </w:r>
    </w:p>
    <w:p w:rsidR="006D382F" w:rsidRDefault="00FF068F">
      <w:pPr>
        <w:ind w:left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Подрядчик гарантирует, что поставляемого оборудование соот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ветствует требованиям, установленным в Контракте,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поставки.</w:t>
      </w:r>
    </w:p>
    <w:p w:rsidR="006D382F" w:rsidRDefault="00FF068F">
      <w:pPr>
        <w:ind w:left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Под гарантией понимается устранение Подрядчи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ком своими силами и за свой счет допущенных по его вине недостатков, выявленных после подписания акта приема-передачи оборудования.  </w:t>
      </w:r>
    </w:p>
    <w:p w:rsidR="006D382F" w:rsidRDefault="00FF068F">
      <w:pPr>
        <w:ind w:left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Если в течение гарантийного срока обнаружатся недостатки поставленного оборудования, то Подрядчик, в случае, если не докаж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ет, что недостатки возникли после их передачи Покупателю вследствие нарушения им использования оборудования, либо действий третьих лиц, либо непреодолимой силы, обязан устранить их за свой счет в сроки, согласованные Сторонами и зафиксированные в акте с пе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6D382F" w:rsidRDefault="00FF068F">
      <w:pPr>
        <w:ind w:left="720"/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Подрядчик гарантирует возможность безопасного использования оборудования по назначению в течение всего гарант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ийного срока, указанного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в  Техническом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задании.</w:t>
      </w:r>
    </w:p>
    <w:p w:rsidR="006D382F" w:rsidRDefault="006D382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382F" w:rsidRDefault="00FF068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br w:type="page"/>
      </w:r>
    </w:p>
    <w:p w:rsidR="006D382F" w:rsidRDefault="00FF068F">
      <w:pPr>
        <w:pStyle w:val="ae"/>
        <w:jc w:val="right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lastRenderedPageBreak/>
        <w:t>Таблица  №</w:t>
      </w:r>
      <w:proofErr w:type="gramEnd"/>
      <w:r>
        <w:rPr>
          <w:b/>
          <w:bCs/>
          <w:sz w:val="26"/>
          <w:szCs w:val="26"/>
        </w:rPr>
        <w:t>1</w:t>
      </w:r>
    </w:p>
    <w:p w:rsidR="006D382F" w:rsidRDefault="00FF068F">
      <w:pPr>
        <w:pStyle w:val="ae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t>к Техническому заданию</w:t>
      </w:r>
    </w:p>
    <w:p w:rsidR="006D382F" w:rsidRDefault="006D382F">
      <w:pPr>
        <w:widowControl w:val="0"/>
        <w:ind w:firstLine="567"/>
        <w:jc w:val="right"/>
        <w:rPr>
          <w:rFonts w:ascii="Times New Roman" w:eastAsia="Arial" w:hAnsi="Times New Roman" w:cs="Times New Roman"/>
          <w:sz w:val="26"/>
          <w:szCs w:val="26"/>
        </w:rPr>
      </w:pPr>
    </w:p>
    <w:p w:rsidR="006D382F" w:rsidRDefault="00FF068F">
      <w:pPr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и количество поставляемого оборудования</w:t>
      </w:r>
    </w:p>
    <w:p w:rsidR="006D382F" w:rsidRDefault="006D382F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9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8"/>
        <w:gridCol w:w="6857"/>
        <w:gridCol w:w="1423"/>
        <w:gridCol w:w="1027"/>
      </w:tblGrid>
      <w:tr w:rsidR="006D382F">
        <w:trPr>
          <w:trHeight w:val="59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 -во</w:t>
            </w:r>
          </w:p>
        </w:tc>
      </w:tr>
      <w:tr w:rsidR="006D382F">
        <w:trPr>
          <w:trHeight w:val="30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Сервисный маршрутизатор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32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Мегафон РМ-25СПА (или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D382F">
        <w:trPr>
          <w:trHeight w:val="35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Система громкоговорящей связи П-166М СЗО-3 (400 Вт) (или 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D382F">
        <w:trPr>
          <w:trHeight w:val="32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Система громкоговорящей связи П-166М СЗО-3 (600 Вт) (или 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6D382F">
        <w:trPr>
          <w:trHeight w:val="32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bookmarkStart w:id="1" w:name="undefined_Копия_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Система громкоговорящей связи П-166М СЗО-3 (200 Вт), (или эквивалент)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опоре</w:t>
            </w:r>
            <w:bookmarkEnd w:id="1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D382F">
        <w:trPr>
          <w:trHeight w:val="32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Система громкоговорящей связи П-166М СЗО-3 (400 Вт), (или эквивалент) на опоре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D382F">
        <w:trPr>
          <w:trHeight w:val="32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6D38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6D38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6D38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6D38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ЗИП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Ethernet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400 Вт, для размещения на открытых </w:t>
            </w:r>
            <w:r>
              <w:rPr>
                <w:rFonts w:ascii="Times New Roman" w:hAnsi="Times New Roman"/>
                <w:sz w:val="22"/>
                <w:szCs w:val="22"/>
              </w:rPr>
              <w:t>пространствах АЕСФ.468354.015 ТУ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Громкоговоритель рупорный 100ГР-38Н (или 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GSM роутер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iRZ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RL21 «или эквивалент»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Блок питания 12V, 1A, тип разъема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MicroFit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(4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Pin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 для модемов и роутеров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>Мультидиапазонная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eastAsia="ar-SA"/>
              </w:rPr>
              <w:t xml:space="preserve"> антенна MB3000MG (или 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Мегафон РМ-25СПА (или эквивалент)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D382F">
        <w:trPr>
          <w:trHeight w:val="9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D382F" w:rsidRDefault="00FF068F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АЕСФ.468933.003 ЗИП-Г для П-166М СЗО-3 АЕСФ.468354.015 ТУ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382F" w:rsidRDefault="00FF068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6D382F" w:rsidRDefault="006D382F">
      <w:pPr>
        <w:rPr>
          <w:rFonts w:ascii="Times New Roman" w:hAnsi="Times New Roman" w:cs="Times New Roman"/>
          <w:b/>
          <w:sz w:val="20"/>
        </w:rPr>
      </w:pPr>
    </w:p>
    <w:p w:rsidR="006D382F" w:rsidRDefault="00FF068F">
      <w:pPr>
        <w:pStyle w:val="af"/>
        <w:numPr>
          <w:ilvl w:val="0"/>
          <w:numId w:val="1"/>
        </w:numPr>
        <w:spacing w:before="120" w:after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Система громкоговорящей связи П-166М СЗО-3 (400 Вт) (или эквивалент)-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из расчета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за 1 (один) комплект</w:t>
      </w:r>
    </w:p>
    <w:p w:rsidR="006D382F" w:rsidRDefault="00FF068F">
      <w:pPr>
        <w:widowContro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 Системы громкоговорящей связи П-166М СЗО-3 (400 Вт):</w:t>
      </w:r>
    </w:p>
    <w:p w:rsidR="006D382F" w:rsidRDefault="00FF068F">
      <w:pPr>
        <w:pStyle w:val="af"/>
        <w:widowControl w:val="0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АЕСФ.468354.015-25 Оконечное средство оповещения П-166М СЗО-3 (25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400 Вт, для размещения на открытых пространствах АЕСФ.468354.015 ТУ – 1 шт.</w:t>
      </w:r>
    </w:p>
    <w:p w:rsidR="006D382F" w:rsidRDefault="00FF068F">
      <w:pPr>
        <w:pStyle w:val="af"/>
        <w:widowControl w:val="0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Громкогово</w:t>
      </w:r>
      <w:r>
        <w:rPr>
          <w:rFonts w:ascii="Times New Roman" w:hAnsi="Times New Roman" w:cs="Times New Roman"/>
          <w:sz w:val="24"/>
          <w:szCs w:val="24"/>
        </w:rPr>
        <w:t>ритель рупорный 100ГР-38Н (или эквивалент) – 4 шт.</w:t>
      </w:r>
    </w:p>
    <w:p w:rsidR="006D382F" w:rsidRDefault="00FF068F">
      <w:pPr>
        <w:pStyle w:val="af"/>
        <w:widowControl w:val="0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6D382F" w:rsidRDefault="00FF068F">
      <w:pPr>
        <w:pStyle w:val="af"/>
        <w:widowControl w:val="0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6D382F" w:rsidRDefault="00FF068F">
      <w:pPr>
        <w:pStyle w:val="af"/>
        <w:widowControl w:val="0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антенна MB3000MG – 1 шт.</w:t>
      </w:r>
    </w:p>
    <w:p w:rsidR="006D382F" w:rsidRDefault="006D382F">
      <w:pPr>
        <w:pStyle w:val="af"/>
        <w:spacing w:before="120" w:after="0"/>
        <w:rPr>
          <w:rFonts w:ascii="Times New Roman" w:hAnsi="Times New Roman" w:cs="Times New Roman"/>
          <w:bCs/>
          <w:iCs/>
          <w:sz w:val="20"/>
        </w:rPr>
      </w:pPr>
    </w:p>
    <w:p w:rsidR="006D382F" w:rsidRDefault="00FF068F">
      <w:pPr>
        <w:pStyle w:val="af"/>
        <w:numPr>
          <w:ilvl w:val="0"/>
          <w:numId w:val="1"/>
        </w:numPr>
        <w:spacing w:before="240"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Система громкоговорящей связи П-166М СЗО-3 (600 Вт) </w:t>
      </w:r>
      <w:r>
        <w:rPr>
          <w:rFonts w:ascii="Times New Roman" w:hAnsi="Times New Roman" w:cs="Times New Roman"/>
          <w:bCs/>
          <w:sz w:val="24"/>
          <w:szCs w:val="24"/>
        </w:rPr>
        <w:t xml:space="preserve">(или эквивалент)–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из расчета за 1 (один)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комплект</w:t>
      </w:r>
    </w:p>
    <w:p w:rsidR="006D382F" w:rsidRDefault="00FF068F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 Системы громкоговорящей связи П-166М СЗО-3 (600 Вт):</w:t>
      </w:r>
    </w:p>
    <w:p w:rsidR="006D382F" w:rsidRDefault="00FF068F">
      <w:pPr>
        <w:pStyle w:val="af"/>
        <w:widowControl w:val="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АЕСФ.468354.015-20 Оконечное средство оповещения П-166М СЗО-3 (20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600 Вт, для размещения на открытых пространствах АЕСФ.468354.015 ТУ – 1 шт.</w:t>
      </w:r>
    </w:p>
    <w:p w:rsidR="006D382F" w:rsidRDefault="00FF068F">
      <w:pPr>
        <w:pStyle w:val="af"/>
        <w:widowControl w:val="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Громкоговоритель </w:t>
      </w:r>
      <w:r>
        <w:rPr>
          <w:rFonts w:ascii="Times New Roman" w:hAnsi="Times New Roman" w:cs="Times New Roman"/>
          <w:sz w:val="24"/>
          <w:szCs w:val="24"/>
        </w:rPr>
        <w:t>рупорный 100ГР-38Н (или эквивалент) – 6 шт.</w:t>
      </w:r>
    </w:p>
    <w:p w:rsidR="006D382F" w:rsidRDefault="00FF068F">
      <w:pPr>
        <w:pStyle w:val="af"/>
        <w:widowControl w:val="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6D382F" w:rsidRDefault="00FF068F">
      <w:pPr>
        <w:pStyle w:val="af"/>
        <w:widowControl w:val="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6D382F" w:rsidRDefault="00FF068F">
      <w:pPr>
        <w:pStyle w:val="af"/>
        <w:widowControl w:val="0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антенна MB3000MG – 1 шт.</w:t>
      </w:r>
    </w:p>
    <w:p w:rsidR="006D382F" w:rsidRDefault="006D382F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6D382F" w:rsidRDefault="00FF068F">
      <w:pPr>
        <w:pStyle w:val="af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Система громкоговорящей связи П-166М СЗО-3 (200 Вт), (или эквивалент) на опоре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 расчета за 1 (один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комплект</w:t>
      </w:r>
    </w:p>
    <w:p w:rsidR="006D382F" w:rsidRDefault="00FF068F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Состав Системы громкоговорящей связи П-166М СЗО-3 (200 Вт):</w:t>
      </w:r>
    </w:p>
    <w:p w:rsidR="006D382F" w:rsidRDefault="00FF068F">
      <w:pPr>
        <w:pStyle w:val="af"/>
        <w:widowControl w:val="0"/>
        <w:numPr>
          <w:ilvl w:val="3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АЕСФ.468354.015-26 Оконечное средство оповещения П-166М СЗО-3 (26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200 Вт, для размещения на открытых пространствах АЕСФ.468354.015 ТУ – 1 шт.</w:t>
      </w:r>
    </w:p>
    <w:p w:rsidR="006D382F" w:rsidRDefault="00FF068F">
      <w:pPr>
        <w:pStyle w:val="af"/>
        <w:widowControl w:val="0"/>
        <w:numPr>
          <w:ilvl w:val="3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Громкоговоритель руп</w:t>
      </w:r>
      <w:r>
        <w:rPr>
          <w:rFonts w:ascii="Times New Roman" w:hAnsi="Times New Roman" w:cs="Times New Roman"/>
          <w:sz w:val="24"/>
          <w:szCs w:val="24"/>
        </w:rPr>
        <w:t>орный 100ГР-38Н (или эквивалент) – 2 шт.</w:t>
      </w:r>
    </w:p>
    <w:p w:rsidR="006D382F" w:rsidRDefault="00FF068F">
      <w:pPr>
        <w:pStyle w:val="af"/>
        <w:widowControl w:val="0"/>
        <w:numPr>
          <w:ilvl w:val="3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6D382F" w:rsidRDefault="00FF068F">
      <w:pPr>
        <w:pStyle w:val="af"/>
        <w:widowControl w:val="0"/>
        <w:numPr>
          <w:ilvl w:val="3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6D382F" w:rsidRDefault="00FF068F">
      <w:pPr>
        <w:pStyle w:val="af"/>
        <w:widowControl w:val="0"/>
        <w:numPr>
          <w:ilvl w:val="3"/>
          <w:numId w:val="4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антенна MB3000MG – 1 шт.</w:t>
      </w:r>
    </w:p>
    <w:p w:rsidR="006D382F" w:rsidRDefault="006D382F">
      <w:pPr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6D382F" w:rsidRDefault="00FF068F">
      <w:pPr>
        <w:pStyle w:val="af"/>
        <w:numPr>
          <w:ilvl w:val="0"/>
          <w:numId w:val="1"/>
        </w:numPr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Система громкоговорящей связи П-166М СЗО-3 (400 Вт), (или эквивалент) на опоре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 расчета за 1 (один)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комплект</w:t>
      </w:r>
    </w:p>
    <w:p w:rsidR="006D382F" w:rsidRDefault="00FF068F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 Системы громкоговорящей связи П-166М СЗО-3 (400 Вт):</w:t>
      </w:r>
    </w:p>
    <w:p w:rsidR="006D382F" w:rsidRDefault="00FF068F">
      <w:pPr>
        <w:pStyle w:val="af"/>
        <w:widowControl w:val="0"/>
        <w:tabs>
          <w:tab w:val="left" w:pos="450"/>
        </w:tabs>
        <w:spacing w:after="0"/>
        <w:ind w:lef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АЕСФ.468354.015-25 Оконечное средство оповещения П-166М СЗО-3 (25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400 Вт, для размещения на открытых пространствах АЕСФ.468354.015 ТУ – 1 шт.</w:t>
      </w:r>
    </w:p>
    <w:p w:rsidR="006D382F" w:rsidRDefault="00FF068F">
      <w:pPr>
        <w:pStyle w:val="af"/>
        <w:widowControl w:val="0"/>
        <w:tabs>
          <w:tab w:val="left" w:pos="450"/>
        </w:tabs>
        <w:spacing w:after="0"/>
        <w:ind w:lef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Громкоговоритель</w:t>
      </w:r>
      <w:r>
        <w:rPr>
          <w:rFonts w:ascii="Times New Roman" w:hAnsi="Times New Roman" w:cs="Times New Roman"/>
          <w:sz w:val="24"/>
          <w:szCs w:val="24"/>
        </w:rPr>
        <w:t xml:space="preserve"> рупорный 100ГР-38Н (или эквивалент) – 4 шт.</w:t>
      </w:r>
    </w:p>
    <w:p w:rsidR="006D382F" w:rsidRDefault="00FF068F">
      <w:pPr>
        <w:pStyle w:val="af"/>
        <w:widowControl w:val="0"/>
        <w:tabs>
          <w:tab w:val="left" w:pos="450"/>
        </w:tabs>
        <w:spacing w:after="0"/>
        <w:ind w:lef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6D382F" w:rsidRDefault="00FF068F">
      <w:pPr>
        <w:pStyle w:val="af"/>
        <w:widowControl w:val="0"/>
        <w:tabs>
          <w:tab w:val="left" w:pos="450"/>
        </w:tabs>
        <w:spacing w:after="0"/>
        <w:ind w:lef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Блок питания – 1 шт.</w:t>
      </w:r>
    </w:p>
    <w:p w:rsidR="006D382F" w:rsidRDefault="00FF068F">
      <w:pPr>
        <w:pStyle w:val="af"/>
        <w:widowControl w:val="0"/>
        <w:tabs>
          <w:tab w:val="left" w:pos="450"/>
        </w:tabs>
        <w:spacing w:after="0"/>
        <w:ind w:lef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антенна MB3000MG – 1 шт.</w:t>
      </w:r>
    </w:p>
    <w:p w:rsidR="006D382F" w:rsidRDefault="006D382F">
      <w:pPr>
        <w:pStyle w:val="af"/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82F" w:rsidRDefault="00FF068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к указанному в таблице № 1 оборудованию: Мегафон РМ-25СПА, Громкоговоритель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рупорный 100ГР-38Н,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Мультидиапазонная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антенна MB3000MG сопряжения не требуется.</w:t>
      </w:r>
    </w:p>
    <w:p w:rsidR="006D382F" w:rsidRDefault="00FF068F">
      <w:pPr>
        <w:pStyle w:val="ae"/>
        <w:jc w:val="right"/>
        <w:rPr>
          <w:b/>
          <w:bCs/>
        </w:rPr>
      </w:pPr>
      <w:r>
        <w:br w:type="page"/>
      </w:r>
    </w:p>
    <w:p w:rsidR="006D382F" w:rsidRDefault="00FF068F">
      <w:pPr>
        <w:pStyle w:val="ae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Таблица №2</w:t>
      </w:r>
    </w:p>
    <w:p w:rsidR="006D382F" w:rsidRDefault="00FF068F">
      <w:pPr>
        <w:pStyle w:val="ae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к Техническому заданию</w:t>
      </w:r>
    </w:p>
    <w:p w:rsidR="006D382F" w:rsidRDefault="006D382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D382F" w:rsidRDefault="00FF06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</w:t>
      </w:r>
    </w:p>
    <w:p w:rsidR="006D382F" w:rsidRDefault="006D38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2142"/>
        <w:gridCol w:w="3506"/>
        <w:gridCol w:w="3631"/>
      </w:tblGrid>
      <w:tr w:rsidR="006D382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№ п/п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 w:bidi="ar-SA"/>
              </w:rPr>
              <w:t>Наименование товара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Характеристика товара</w:t>
            </w:r>
          </w:p>
        </w:tc>
      </w:tr>
      <w:tr w:rsidR="006D382F">
        <w:trPr>
          <w:trHeight w:val="310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Наименование показателя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Значение показателя</w:t>
            </w:r>
          </w:p>
        </w:tc>
      </w:tr>
      <w:tr w:rsidR="006D382F">
        <w:tc>
          <w:tcPr>
            <w:tcW w:w="57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1.</w:t>
            </w:r>
          </w:p>
        </w:tc>
        <w:tc>
          <w:tcPr>
            <w:tcW w:w="21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АЕСФ.468354.015-26 Оконечное средство оповещения П-166М СЗО-3 (26 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200 Вт, для размещения на открытых пространствах АЕСФ.468354.015 ТУ</w:t>
            </w:r>
          </w:p>
          <w:p w:rsidR="006D382F" w:rsidRDefault="00FF068F">
            <w:pPr>
              <w:widowControl w:val="0"/>
              <w:ind w:left="142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  <w:p w:rsidR="006D382F" w:rsidRDefault="006D382F">
            <w:pPr>
              <w:pStyle w:val="af"/>
              <w:widowControl w:val="0"/>
              <w:spacing w:after="0"/>
              <w:ind w:left="6915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D382F" w:rsidRDefault="006D382F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Вид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 интегральных схемах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Количество каналов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≥2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усилителя по полосе частот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00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Выходное напряжение, В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120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Усилительный модуль, состоящий из усилителя мощности трансляционного, обеспечивающий усиление и трансляцию сигналов сиренного или речевого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оповещения через подключенные к нему громкоговорители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Сопряжение с КТСО П-166М, имеющейся у Заказчика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tabs>
                <w:tab w:val="left" w:pos="1371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прием команд, речевой информации и передачу сигналов подтверждения устройству управления своего уровня;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М(Е) в режиме ретрансляции речевой информации и в режиме сирены;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электропитания усилителей радиотрансляционного узла и подачу на их входы звукового сигнала оповещения;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контактов и подачу на вход внешних устройств речевой информации и сигналов оповещения, а также прием от них сигнала подтверждения в виде срабатывания нормально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разомкнутого контакта.</w:t>
            </w:r>
          </w:p>
        </w:tc>
      </w:tr>
      <w:tr w:rsidR="006D382F" w:rsidRPr="00FF068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EЕ 802.3i)</w:t>
            </w:r>
          </w:p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802.3u)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монтажной панелью настенный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шкафа Ш*Г*В, мм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600 х не более 400 х не более 800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34" w:right="-10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 Не менее 6 часов в дежурном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режиме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1 часа в режиме трансляции сигналов сиренного и речевого оповещения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24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напряжение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230/400 В (при допустимых отклонениях напряжения сети от минус 10 до плюс 10 %). частотой 50 Гц ± 2 % (ГОСТ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29322-2014). Допускается электропитание от сетей постоянного тока напряжением (24 ±4) В. (48 ±12) В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 не уже: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°С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до +50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6D382F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IP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65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6D382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2.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АЕСФ.468354.015-25 Оконечное средство оповещения П-166М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lastRenderedPageBreak/>
              <w:t xml:space="preserve">СЗО-3 (25 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400 Вт, для размещения на открытых пространствах АЕСФ.468354.015 ТУ</w:t>
            </w:r>
          </w:p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lastRenderedPageBreak/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Вид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 интегральных схемах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Количество каналов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≥2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усилителя по полосе частот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6D382F">
        <w:trPr>
          <w:trHeight w:val="241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400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Усилительный модуль, состоящий из усилителя мощности трансляционного, обеспечивающий усиление и трансляцию сигналов сиренного или речевого оповещения через подключенные 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нему громкоговорители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Сопряжение с КТСО П-166М, имеющейся у Заказчика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прием команд, речевой информации и передачу сигналов подтверждения устройству управления своего уровня;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СГС-22-М(Е) в режиме ретрансляции речевой информации и в режиме сирены;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электропитания усилителей радиотрансляционного узла и подачу на их входы звукового сигнала оповещения;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 контактов и подачу на вход внешних устройств речевой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 сигналов оповещения, а также прием от них сигнала подтверждения в виде срабатывания нормально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разомкнутого контакта.</w:t>
            </w:r>
          </w:p>
        </w:tc>
      </w:tr>
      <w:tr w:rsidR="006D382F" w:rsidRPr="00FF068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(IEEЕ 802.3i)</w:t>
            </w:r>
          </w:p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802.3u)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монтажной панелью настенный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Ш*Г*В, мм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600 х не более 400 х не более 800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33" w:right="3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6 часов в дежурном режиме</w:t>
            </w:r>
          </w:p>
          <w:p w:rsidR="006D382F" w:rsidRDefault="00FF068F">
            <w:pPr>
              <w:widowControl w:val="0"/>
              <w:ind w:left="33" w:right="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 не менее 1 часа в режиме трансляции сигналов сиренного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речевого оповещения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24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напряжение, 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230/400 В (при допустимых отклонениях напряжения сети от минус 10 до плюс 10 %). частотой 50 Гц ± 2 % (ГОСТ 29322-2014). Допускается электропитание от сетей постоянного тока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напряжением (24 ±4) В. (48 ±12) В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 не уже: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°С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до +50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IP65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6D382F">
        <w:trPr>
          <w:trHeight w:val="2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3.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АЕСФ.468354.015-20 Оконечное средство оповещения П-166М СЗО-3 (20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600 Вт, для размещения на открытых пространствах АЕСФ.468354.015 ТУ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rPr>
          <w:trHeight w:val="21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Вид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 интегральных схемах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Количество каналов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2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усилителя по полосе частот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600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Усилительный модуль, состоящий из усилителя мощности трансляционного, обеспечивающий усиление и трансляцию сигналов сиренного или речевого оповещения через подключенные к нему громкоговорители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Сопряжение с КТСО П-166М, имеющейся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 Заказчика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tabs>
                <w:tab w:val="left" w:pos="1371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 xml:space="preserve">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прием команд, речевой информации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передачу сигналов подтверждения устройству управления своего уровня;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СГС-22-М(Е) в режиме ретрансляции речевой информации и в режиме сирены;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электропитания усилителей радиотрансляционного узла и под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ачу на их входы звукового сигнала оповещения;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 контактов и подачу на вход внешних устройств речевой информации и сигналов оповещения, а также прием от них сигнала подтверждения в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иде срабатывания нормально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разомкнутого контакта.</w:t>
            </w:r>
          </w:p>
        </w:tc>
      </w:tr>
      <w:tr w:rsidR="006D382F" w:rsidRPr="00FF068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(IEEЕ 802.3i)</w:t>
            </w:r>
          </w:p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802.3u)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монтажной панелью настенный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Ш*Г*В, мм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600 х не более 400 х не более 800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33" w:right="3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6 часов в дежурном режиме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1 часа в режиме трансляции сигналов сиренного и речевого оповещения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12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Входное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напряжение, 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230/400 В (при допустимых отклонениях напряжения сети от минус 10 до плюс 10 %). частотой 50 Гц ± 2 % (ГОСТ 29322-2014). Допускается электропитание от сетей постоянного тока напряжением (24 ±4) В. (48 ±12) В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не уже: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до +50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IP65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6D382F">
        <w:trPr>
          <w:trHeight w:val="29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4.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Громкоговоритель рупорный 100ГР-38Н (или эквивалент)</w:t>
            </w:r>
          </w:p>
          <w:p w:rsidR="006D382F" w:rsidRDefault="006D382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при номинальном напряжении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100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Степень защиты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 xml:space="preserve">Не менее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val="en-US" w:eastAsia="ru-RU" w:bidi="ar-SA"/>
              </w:rPr>
              <w:t>IP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-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val="en-US" w:eastAsia="ru-RU" w:bidi="ar-SA"/>
              </w:rPr>
              <w:t>54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Номинальное напряжение, 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Соответствует выходному напряжению устанавливаемого усилительного оборудования</w:t>
            </w:r>
          </w:p>
        </w:tc>
      </w:tr>
      <w:tr w:rsidR="006D382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6.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Блок питания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Назначение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Обеспечение защиты от перенапряжения таким образом, что при отказе одного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компонентов канал на выходе не превышает 25 В (прямой ток) на протяжении 250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. Защита от короткого замыкания Защита блока питания устроена таким образом, что короткое замыкание на выходе не приводит к возгоранию, удару током или к повреждениям блока пита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ния.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100-240В/50-60Гц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Выходное напряжение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12В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Ток нагрузки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1000мА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Интерфейс подключения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MicroFit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</w:tr>
      <w:tr w:rsidR="006D382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7.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GSM роутер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iRZ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 RL21 «или эквивалент»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Высота, U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1</w:t>
            </w:r>
          </w:p>
        </w:tc>
      </w:tr>
      <w:tr w:rsidR="006D382F">
        <w:trPr>
          <w:trHeight w:val="357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Количество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≥1</w:t>
            </w:r>
          </w:p>
        </w:tc>
      </w:tr>
      <w:tr w:rsidR="006D382F">
        <w:trPr>
          <w:trHeight w:val="84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Количество портов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100BASE-TX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FastEthernet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802.3u)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≥4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установки в стандартную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телекоммуникационную стойку (ширина 19 дюймов)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установки в узкую телекоммуникационную стойку (ширина 10 дюймов)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охлаждения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Пассивное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Направление воздушного потока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От передней части назад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front-to-back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блоков питания (по типу движения электрического тока)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Для постоянного тока (DC)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модуля управления по отношению к коммутационной матрице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Совмещённый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модуля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управления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коммутационной матрицы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коммутационной матрицы N+1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поддержки горячей замены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блоков электропитания N+1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Модульный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встроенного резервного аккумуляторного блока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Функции фильтрации трафика предназначенного для модуля управления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Выполнение функций фильтрации пакетов с использованием списков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доступа (ACL –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List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средствами специализированных интегральных микросхем (ASIC) интерфейсных модулей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Использование интегральной схемы специального назначения (ASIC) для коммутации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аппаратного ускорителя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маршрутизации/пересылки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forwarding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аппаратного ускорителя шифрования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cryptographic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кластеризации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балансировки нагрузки между устройствами в кластере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управления устройством по протоколу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Telnet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HTTP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устойством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 протоколу HTTPS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файлов на устройство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файлов на устройство по шифрованному 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устройства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устройства по шифрованному 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отдельного консольного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(последовательного/серийного) порта для управления и диагностики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интерфейса консольного порта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RS232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доступом при подключении к консольному (последовательному/серийному) порту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автосогласования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autonegotiation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Auto MDI-X (Auto Medium Dependent Interface Crossover)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температурного датчика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системы охлаждения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портов USB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изменения размера максимальной единицы передачи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maximum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transmission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MTU)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-кадров увеличенного объема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jumbo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frames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802.1Q (VLAN)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настройки портов в гибридный режим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(поддерживают приём и передачу и тегированного,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нетегированного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одновременно)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SNMPv1 (Simple Network Management Protocol version 1)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SNMPv2c (Community-Based Simple Network Management Protocol version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SNMPv3 (Simple Network Management Protocol version 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Spanning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RSTP (Rapid Spanning Tree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MSTP (Multiple Spanning Tree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защиты от смены корневого устройства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фильтрации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портах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блокировки портов при получении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дополнительной защиты от возникновения петель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Loop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агрегирования каналов (без протокола)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агрегирования каналов LACP (Link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Aggregation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IPv6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маршрутизации RIPv1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1)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RIPv2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маршрутизации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RIPng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generation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OSPFv3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-трафика (MOSPF)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8665)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маршрутизации EIGRP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EIGRP IPv6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 (Intermediate System to Intermediate System)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IS-ISv6 (Intermediate System to Intermediate System with IPv6 support)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IS-IS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8667)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BGPv6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мультипротокольного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расширения протокола динамической 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Extensions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BGP; MBGP)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возможности распространения MPLS меток средствами протокола BGP (RFC 3107 -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Carrying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BGP-4)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наг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рузки на каналы связи средствами IP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нагрузки на каналы связи средствами MPLS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маршрутизации на основе политик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Policy-Based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PBR)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механизма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полисинга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шейпинга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shaping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RED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random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ARED (advanced random early detection)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GRED (generalized random early detection)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RRED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robust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random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early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detection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WRED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weighted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random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early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detection</w:t>
            </w:r>
            <w:r w:rsidRPr="00FF068F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CBQ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queueing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round-robin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DWRR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 управления очередями DRR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HTB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hierarchical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TBF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записи системных событий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(логов) на встроенный носитель памяти (например, SSD)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NAT (Network Address Translation)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ALG (Application-Level Gateway)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портов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в рамках одного устройства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удаленный хост (не подключённый непосредственно к устройству)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записи системных событий (логов) на внешний носитель памяти (например, USB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flash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-накопитель)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отправки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системных событий (логов) на удалённое хранилище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-сервер)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контроллера беспроводных точек доступа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controller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точки доступа к беспроводной сети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DHCP-сервера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отправки DHCP-опций в режиме работы DHCP-сервером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DHCP-клиента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relay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агента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(защита от атак, связанных с протоколом DHCP)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функций защиты от атак, связанных с протоколом ARP (таких как ARP-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функций защиты 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подмены IP-адреса (IP-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802.1p)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Differentiated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DiffServ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IGMP (Internet Group Management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механизма IGMP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DVMRP (Distance Vector Multicast Routing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PIM (Protocol Independent Multicast)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Shortest Path Bridging (SPB; IEEE 802.1aq)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LLDP (Link Layer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iscovery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ind w:right="-11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AAA (Authentication, Authorization, Accounting)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RADIUS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Diameter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Kerberos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LDAP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SAML (Security Assertion Markup Language)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гранулярного контроля доступа к устройству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granular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защиты доступа к сети по стандарту (802.1x)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DNS-клиента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DNS-сервера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DNS-прокси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NTP-клиента 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NTP-сервера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802.1ad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QinQ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многопротокольной коммутации по меткам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Switching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MPLS)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rPr>
          <w:trHeight w:val="6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MPLS 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(LDP)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MPLS 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Resource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Reservation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(RSVP)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IPv4 (RFC 4364)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IPv6 (RFC 4659)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для многоадресной передачи (RFC 6513)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rPr>
          <w:trHeight w:val="4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BGP-MPLS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виртуальных частных сетей (RFC 7432 - EVPN MPLS)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MPLS виртуального частного провода (VPWS)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виртуального частного провода (VPWS) с сигнализацией EVPN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RFC 7348 (VXLAN)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RFC 8365 (EVPN-VXLAN)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склеивания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VXLAN и MPLS доменов для EVPN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IP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MPLS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резервирования VRRP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Virtual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резервирования CARP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Address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сетевой балансировки нагрузки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-WAN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multihoming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PPP (Point-to-Point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PPTP (Point-to-Point Tunneling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PPPoE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(Point-to-Point Protocol over Ethernet)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модуля для подключения к сетям мобильной (сотовой)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использования USB-портов для подключения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внешних модемов для доступа к сетям мобильной (сотовой)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с сохранением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stateful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без сохранения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stateless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по TCP/UDP портам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по сигнатурам приложений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обнаружения сетевых 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NDS)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системы предотвращения сетевых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NPS)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антивируса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предотвращения потери/утечек информации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Leak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DLP)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фильтрации веб-сайтов на основе контента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web-filtering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системы фильтрации URL-адресов (URL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IPSec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VPN туннелей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создания SSL VPN туннелей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Multiple Registration Protocol (MRP;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стандарт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IEEE 802.1ak)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неэквивалентным путям для протокола IP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неэквивалентным путям для протокола MPLS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Поддерживаемые стандарты беспроводной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2G, 3G,</w:t>
            </w:r>
            <w:r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4G</w:t>
            </w:r>
          </w:p>
        </w:tc>
      </w:tr>
      <w:tr w:rsidR="006D382F">
        <w:trPr>
          <w:trHeight w:val="34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8.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Сервисный маршрутизатор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балансировки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нагрузки между устройствами в кластере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устройства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устройства по шифрованному 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файлов на устройство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файлов на устройство по шифрованному 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изменения размера максимальной единицы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передачи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maximum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transmission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MTU)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использования USB-портов для подключения внешних модемов для доступа к сетям мобильной (сотовой)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кластеризации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настройки портов в гибридный режим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(поддерживают приём и передачу и тегированного,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нетегированного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одновременно)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отправки DHCP-опций в режиме работы DHCP-сервером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поддержки горячей замены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relay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агента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DHCP-клиента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DHCP-сервера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DNS-клиента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DNS-прокси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 качестве DNS-сервера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NTP-клиента 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NTP-сервера 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контроллера беспроводных точек доступа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controller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точки доступа к беспроводной сети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доступом при подключении к консольному (последовательному/серийному) порту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устойством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 протоколу HTTPS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HTTP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управления устройством по протоколу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Telnet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установки в стандартную телекоммуникационную стойку (ширина 19 дюймов)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установки в узкую телекоммуникационную стойку (ширина 10 дюймов)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Выполнение функций фильтрации пакетов с использованием списков доступа (ACL –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List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средствами специализированных интегральных микросхем (ASIC) интерфейсных модулей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Использование интегральной схемы специального назначения (ASIC) для коммутации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Количество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2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Количество портов 1000BASE-T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GigabitEthernet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802.3ab)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8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Высота, U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Количество портов SFP 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Gbit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/s (стандарт SFF INF-8074i)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4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Количество портов SFP+ (10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Gbit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/s; стандарт SFF SFF-8472)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2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ALG (Application-Level Gateway)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антивируса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аппаратного ускорителя маршрутизации/пересылки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forwarding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аппаратного ускорителя шифрования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cryptographic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блоков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системы охлаждения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Методы распространения MPLS меток протокола LDP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DU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Модульный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модуля для подключения к сетям мобильной (сотовой)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встроенного резервного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аккумуляторного блока питания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температурного датчика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дополнительной защиты от возникновения петель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Loop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защиты от смены корневого устройства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механизма IGMP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блокировки портов при получении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фильтрации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портах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механизмов сетевой балансировки нагрузки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-WAN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multihoming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без сохранения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stateless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фильтрации трафика по TCP/UDP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портам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по сигнатурам приложений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с сохранением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stateful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отдельного консольного (последовательного/серийного) порта для управления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диагностики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портов USB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обнаружения сетевых 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NDS)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предотвращения потери/утечек информации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Leak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DLP)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системы предотвращения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сетевых 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NPS)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системы фильтрации URL-адресов (URL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фильтрации веб-сайтов на основе контента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web-filtering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(защита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от атак, связанных с протоколом DHCP)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функций защиты от атак, связанных с протоколом ARP (таких как ARP-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функций защиты от подмены IP-адреса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(IP-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Направление воздушного потока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От передней части назад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front-to-back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BGP-MPLS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виртуальных частных сетей (RFC 7432 - EVPN MPLS)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IPv4 (RFC 4364)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 w:rsidRPr="00FF068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BGP-MPLS виртуальных частных сетей (VPLS)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BGP-signaling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Kompella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), LDP-signaling (Martini)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Pr="00FF068F" w:rsidRDefault="006D382F">
            <w:pPr>
              <w:rPr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BGP-MPLS виртуальных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частных сетей IPv6 (RFC 4659)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для многоадресной передачи (RFC 6513)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IPv6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MPLS виртуального частного провода (VPWS)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SAML (Security Assertion Markup Language)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-кадров увеличенного объема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jumbo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frames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PIM (Protocol Independent Multicast)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DVMRP (Distance Vector Multicast Routing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IGMP (Internet Group Management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автосогласования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autonegotiation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агрегирования каналов (без протокола)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ARED (advanced random early detection)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 управления очередями CBQ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queueing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DRR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DWRR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алгоритма управления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 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GRED (generalized random early detection)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HTB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hierarchical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RED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random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round-robin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RRED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robust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random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TBF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 управления очередями WFQ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WRED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random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балансировки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нагрузки на каналы связи средствами IP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нагрузки на каналы связи средствами MPLS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неэквивалентным путям для протокола IP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балансировки по неэквивалентным путям для протокола MPLS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IP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MPLS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виртуального частного провода (VPWS)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сигнализацией EVPN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возможности распространения MPLS меток средствами протокола BGP (RFC 3107 -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Carrying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BGP-4)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гранулярного контроля доступа к устройству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granular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записи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системных событий (логов) на внешний носитель памяти (например, USB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flash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-накопитель)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защиты доступа к сети по стандарту (802.1x)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записи системных событий (логов) на встроенный носитель памяти (например, SSD)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портов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в рамках одного устройства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удаленный хост (не подключённый непосредственно к устройству)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маршрутизации на основе политик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Policy-Based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PBR)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AAA (Authentication, Authorization, Accounting)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NAT (Network Address Translation)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802.1p)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Differentiated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DiffServ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многопротокольной коммутации по меткам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Switching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MPLS)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полисинга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склеивания VXLAN и MPLS доменов для EVPN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шейпинга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shaping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мультипротокольного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расширения протокола динамической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Extensions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BGP; MBGP)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отправки системных событий (логов) на удалённое хранилище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-сервер)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Diameter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Kerberos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LDAP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LLDP (Link Layer Discovery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MSTP (Multiple Spanning Tree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Multiple Registration Protocol (MRP;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стандарт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IEEE 802.1ak)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PPP (Point-to-Point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PPPoE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(Point-to-Point Protocol over Ethernet)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PPTP (Point-to-Point Tunneling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RADIUS для AAA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RSTP (Rapid Spanning Tree Protocol)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SNMPv1 (Simple Network Management Protocol version 1)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SNMPv2c (Community-Based Simple Network Management Protocol version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SNMPv3 (Simple Network Management Protocol version 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Spanning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агрегирования каналов LACP (Link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Aggregation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MPLS 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(LDP)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MPLS 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Resource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Reservation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(RSVP)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 динамической маршрутизации BGPv6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EIGRP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маршрутизации EIGRP IPv6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 (Intermediate System to Intermediate System)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IS-ISv6 (Intermediate System to Int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ermediate System with IPv6 support)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OSPFv3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3)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динамической маршрутизации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RIPng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generation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RIPv1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1)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RIPv2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резервирования CARP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Address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резервирования VRRP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Virtual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маршрутизации IS-IS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8667)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8665)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-трафика (MOSPF)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IPSec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VPN туннелей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создания SSL VPN туннелей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802.1Q (VLAN)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RFC 7348 (VXLAN)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802.1ad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QinQ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стандарта RFC 8365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(EVPN-VXLAN)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IPv6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Auto MDI-X (Auto Medium Dependent Interface Crossover)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Pr="00FF068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Shortest Path Bridging (SPB; IEEE 802.1aq)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коммутационной матрицы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модуля управления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блоков электропитания N+1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коммутационном матрицы N+1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Тип блоков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питания (по типу движения электрического тока)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Для переменного тока (AC), Для постоянного тока (DC)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интерфейса консольного порта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RJ-45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модуля управления по отношению к коммутационной матрице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Совмещённый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охлаждения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Активное</w:t>
            </w:r>
          </w:p>
        </w:tc>
      </w:tr>
      <w:tr w:rsidR="006D382F">
        <w:trPr>
          <w:trHeight w:val="3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Функции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фильтрации трафика предназначенного для модуля управления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Да</w:t>
            </w:r>
          </w:p>
        </w:tc>
      </w:tr>
      <w:tr w:rsidR="006D382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9.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Мультидиапазонная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 xml:space="preserve"> антенна MB3000MG (или эквивалент)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направленности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Всенаправленная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Вид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Внешняя (уличная)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Индивидуальная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внутренней антенны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Комбинированная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усилению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Пассивная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диапазону принимаемых частот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Дециметровая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Максимальное значение диапазона рабочих радиочастот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≥1000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undefined_Копия_2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сопротивление</w:t>
            </w:r>
            <w:bookmarkEnd w:id="2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 50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Принимаемые сигналы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UHF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ДМВ)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undefined_Копия_3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Максимальная допустимая мощность</w:t>
            </w:r>
            <w:bookmarkEnd w:id="3"/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 50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Коэффициент усиления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Максимальная температура эксплуатации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≥50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Минимальная температура эксплуатации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≤-20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Максимальная ветровая нагрузка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≥150 километров в час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Коэффициент стоячей волны (КСВ)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≤2,9</w:t>
            </w:r>
          </w:p>
        </w:tc>
      </w:tr>
      <w:tr w:rsidR="006D382F">
        <w:trPr>
          <w:trHeight w:val="11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конструкции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Неразборная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оконечного разъема кабеля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SMA-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гнездо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Поддерживаемые стандарты беспроводной связи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2G,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br/>
              <w:t>3G,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br/>
              <w:t>4G</w:t>
            </w:r>
          </w:p>
        </w:tc>
      </w:tr>
      <w:tr w:rsidR="006D382F">
        <w:trPr>
          <w:trHeight w:val="348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10.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номинальная, Вт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25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пиковая, Вт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50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Питание от литиевого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аккумулятора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литиевого аккумулятора с зарядным устройством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Питание от батареек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питания от батареек размерности С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LR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14)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8F8F8"/>
                <w:lang w:eastAsia="ru-RU" w:bidi="ar-SA"/>
              </w:rPr>
              <w:t>Питание от сети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питания от 12 Вольт</w:t>
            </w:r>
          </w:p>
        </w:tc>
      </w:tr>
      <w:tr w:rsidR="006D382F">
        <w:trPr>
          <w:trHeight w:val="79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Воспроизведение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Речевое оповещение через микрофон, сиренное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оповещение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Запись речевых сообщений и звуков на внутреннюю память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Длительность не менее 240 секунд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Воспроизведение с запоминающих устройств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USB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-накопитель, карта памяти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SD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Разрешение файлов для воспроизведения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MP3, MP4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линейного входа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AUX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Материал корпуса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ABS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пластик (ударопрочный)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Вес, кг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1,5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Ремень наплечный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6D382F">
        <w:trPr>
          <w:trHeight w:val="31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13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ar-SA"/>
              </w:rPr>
              <w:t>АЕСФ.468933.003 ЗИП-Г для П-166М СЗО-3 АЕСФ.468354.015 ТУ</w:t>
            </w:r>
          </w:p>
        </w:tc>
        <w:tc>
          <w:tcPr>
            <w:tcW w:w="7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FF068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6D382F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/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Состав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АЕСФ.468363.017 Модуль коммутации – 1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АЕСФ.468366.002 Блок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управления индикации - 1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АЕСФ.468739.001 Усилитель мощности - 1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ИБП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СибРезерв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1000М – 1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Преобразователь AC/ DC LRS-150-12 MW – 1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Преобразователь AC/ DC LRS-350-48 MW – 2 шт.</w:t>
            </w:r>
          </w:p>
          <w:p w:rsidR="006D382F" w:rsidRDefault="00FF068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Трансформатор ПКФЛ 671114.893 (600ВА) – 1 шт.</w:t>
            </w:r>
          </w:p>
        </w:tc>
      </w:tr>
    </w:tbl>
    <w:p w:rsidR="006D382F" w:rsidRDefault="006D382F">
      <w:pPr>
        <w:ind w:firstLine="426"/>
        <w:rPr>
          <w:rFonts w:ascii="Times New Roman" w:hAnsi="Times New Roman" w:cs="Times New Roman"/>
          <w:i/>
          <w:sz w:val="20"/>
        </w:rPr>
      </w:pPr>
    </w:p>
    <w:p w:rsidR="006D382F" w:rsidRDefault="00FF068F">
      <w:pPr>
        <w:rPr>
          <w:rFonts w:ascii="Times New Roman" w:hAnsi="Times New Roman" w:cs="Times New Roman"/>
          <w:b/>
          <w:bCs/>
          <w:i/>
          <w:sz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</w:rPr>
        <w:tab/>
      </w:r>
    </w:p>
    <w:p w:rsidR="006D382F" w:rsidRDefault="00FF068F">
      <w:pPr>
        <w:rPr>
          <w:rFonts w:ascii="Times New Roman" w:hAnsi="Times New Roman" w:cs="Times New Roman"/>
          <w:b/>
          <w:bCs/>
          <w:i/>
          <w:sz w:val="20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 указании в описании оборудования, в локальных сметах на конкретные товарные знаки (марки), знаки обслуживания, фирменные наименования, патенты, полезные модели, промышленные образцы, наименование места происхождения товара или наименование производител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следует рассматривать такие указания как несущие информационный характер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не являющиеся требованиями к используемым товарам в соответствии с требованиями положений Закона, читать их, как сопровождающиеся словами «или эквивалент», за исключением случаев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несовместимости материалов, конструкций, оборудования или изделий, на которых применяются другие товарные знаки,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 необходимости обеспечения взаимодействия таких материалов, конструкций, оборудования или изделий с материалами, конструкциями, оборудованием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или изделиями, указанными в описании технического задания, в локальных сметах.</w:t>
      </w:r>
    </w:p>
    <w:p w:rsidR="006D382F" w:rsidRDefault="006D382F">
      <w:pPr>
        <w:widowControl w:val="0"/>
        <w:ind w:right="60" w:firstLine="85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D382F" w:rsidRDefault="00FF068F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Все товарные знаки, содержащиеся в проектно-сметной документации (ПСД) </w:t>
      </w:r>
      <w:r>
        <w:rPr>
          <w:rFonts w:ascii="Times New Roman" w:hAnsi="Times New Roman" w:cs="Times New Roman"/>
          <w:i/>
          <w:sz w:val="24"/>
          <w:szCs w:val="24"/>
        </w:rPr>
        <w:t xml:space="preserve">сопровождаются словами «или эквивалент».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Указание на товарный знак не сопровождается </w:t>
      </w:r>
      <w:r>
        <w:rPr>
          <w:rFonts w:ascii="Times New Roman" w:hAnsi="Times New Roman" w:cs="Times New Roman"/>
          <w:b/>
          <w:i/>
          <w:sz w:val="24"/>
          <w:szCs w:val="24"/>
        </w:rPr>
        <w:t>словами «или эквивалент»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связи с необходимостью обеспечения взаимодействия приобретаемого оборудования с уже имеющимся у Заказчика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 б) пункта 1 части 1 статьи 33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нужд»: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несовместимость товаров, на которых размещаются другие товарные знаки, и необходимость обеспечения взаимодействия таких товаров с товарами, используемыми заказч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иком</w:t>
      </w:r>
      <w:r>
        <w:rPr>
          <w:rFonts w:ascii="Times New Roman" w:hAnsi="Times New Roman" w:cs="Times New Roman"/>
          <w:sz w:val="24"/>
          <w:szCs w:val="24"/>
        </w:rPr>
        <w:t xml:space="preserve">). Оборудование с пометкой «(ЗИП)» </w:t>
      </w:r>
      <w:r>
        <w:rPr>
          <w:rFonts w:ascii="Times New Roman" w:hAnsi="Times New Roman" w:cs="Times New Roman"/>
          <w:sz w:val="24"/>
          <w:szCs w:val="24"/>
        </w:rPr>
        <w:lastRenderedPageBreak/>
        <w:t>имеет одинаковые технические характеристики с оборудованием под тем же названием, но без пометки «(ЗИП)».</w:t>
      </w:r>
    </w:p>
    <w:p w:rsidR="006D382F" w:rsidRDefault="00FF068F">
      <w:pPr>
        <w:ind w:firstLine="567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Документы, подтверждающие основания применения данного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исключения:</w:t>
      </w:r>
      <w:r>
        <w:rPr>
          <w:rStyle w:val="a5"/>
          <w:rFonts w:ascii="Times New Roman" w:eastAsia="Times New Roman" w:hAnsi="Times New Roman"/>
          <w:sz w:val="24"/>
          <w:szCs w:val="24"/>
        </w:rPr>
        <w:t xml:space="preserve">  Письмо</w:t>
      </w:r>
      <w:proofErr w:type="gramEnd"/>
      <w:r>
        <w:rPr>
          <w:rStyle w:val="a5"/>
          <w:rFonts w:ascii="Times New Roman" w:eastAsia="Times New Roman" w:hAnsi="Times New Roman"/>
          <w:sz w:val="24"/>
          <w:szCs w:val="24"/>
        </w:rPr>
        <w:t xml:space="preserve"> АО «Азимут» (разработчика и производ</w:t>
      </w:r>
      <w:r>
        <w:rPr>
          <w:rStyle w:val="a5"/>
          <w:rFonts w:ascii="Times New Roman" w:eastAsia="Times New Roman" w:hAnsi="Times New Roman"/>
          <w:sz w:val="24"/>
          <w:szCs w:val="24"/>
        </w:rPr>
        <w:t>ителя КТСО П-166М)  от 17 июля 2024 года исх. № 3701 «О сопряжении оборудования», Акт по результатам совместных испытаний функционирования пульта управления и усилительно-коммуникационных блоков СГС-22МЕ с установленными в них модулями сопряжения П-166М МС</w:t>
      </w:r>
      <w:r>
        <w:rPr>
          <w:rStyle w:val="a5"/>
          <w:rFonts w:ascii="Times New Roman" w:eastAsia="Times New Roman" w:hAnsi="Times New Roman"/>
          <w:sz w:val="24"/>
          <w:szCs w:val="24"/>
        </w:rPr>
        <w:t xml:space="preserve"> в составе КТСО П-166М от 10 апреля 2020 года. </w:t>
      </w:r>
    </w:p>
    <w:p w:rsidR="006D382F" w:rsidRDefault="00FF068F">
      <w:pPr>
        <w:ind w:firstLine="567"/>
      </w:pPr>
      <w:r>
        <w:rPr>
          <w:rStyle w:val="a5"/>
          <w:rFonts w:ascii="Times New Roman" w:eastAsia="Times New Roman" w:hAnsi="Times New Roman"/>
          <w:sz w:val="24"/>
          <w:szCs w:val="24"/>
        </w:rPr>
        <w:t>В письме № 3701 от 17.07.2024 производитель АО «Азимут» сообщает о том, что комплекс технических средств оповещения П-166М имеет программно-техническое сопряжение с комплексами П-160, П-164, П-166, оборудован</w:t>
      </w:r>
      <w:r>
        <w:rPr>
          <w:rStyle w:val="a5"/>
          <w:rFonts w:ascii="Times New Roman" w:eastAsia="Times New Roman" w:hAnsi="Times New Roman"/>
          <w:sz w:val="24"/>
          <w:szCs w:val="24"/>
        </w:rPr>
        <w:t>ием серии СГС-22МЕ (производства ООО «</w:t>
      </w:r>
      <w:proofErr w:type="spellStart"/>
      <w:r>
        <w:rPr>
          <w:rStyle w:val="a5"/>
          <w:rFonts w:ascii="Times New Roman" w:eastAsia="Times New Roman" w:hAnsi="Times New Roman"/>
          <w:sz w:val="24"/>
          <w:szCs w:val="24"/>
        </w:rPr>
        <w:t>Элес</w:t>
      </w:r>
      <w:proofErr w:type="spellEnd"/>
      <w:r>
        <w:rPr>
          <w:rStyle w:val="a5"/>
          <w:rFonts w:ascii="Times New Roman" w:eastAsia="Times New Roman" w:hAnsi="Times New Roman"/>
          <w:sz w:val="24"/>
          <w:szCs w:val="24"/>
        </w:rPr>
        <w:t>») и системой цифрового наземного эфирного телерадиовещания с использованием оборудования ООО «</w:t>
      </w:r>
      <w:proofErr w:type="spellStart"/>
      <w:r>
        <w:rPr>
          <w:rStyle w:val="a5"/>
          <w:rFonts w:ascii="Times New Roman" w:eastAsia="Times New Roman" w:hAnsi="Times New Roman"/>
          <w:sz w:val="24"/>
          <w:szCs w:val="24"/>
        </w:rPr>
        <w:t>СтримЛабс</w:t>
      </w:r>
      <w:proofErr w:type="spellEnd"/>
      <w:r>
        <w:rPr>
          <w:rStyle w:val="a5"/>
          <w:rFonts w:ascii="Times New Roman" w:eastAsia="Times New Roman" w:hAnsi="Times New Roman"/>
          <w:sz w:val="24"/>
          <w:szCs w:val="24"/>
        </w:rPr>
        <w:t>». Наличие программно-аппаратного сопряжения подтверждено проведенными совместными приемочными испытаниями.</w:t>
      </w:r>
    </w:p>
    <w:p w:rsidR="006D382F" w:rsidRDefault="006D382F">
      <w:pPr>
        <w:ind w:firstLine="567"/>
        <w:rPr>
          <w:rFonts w:ascii="Times New Roman" w:eastAsia="Times New Roman" w:hAnsi="Times New Roman"/>
          <w:sz w:val="24"/>
          <w:szCs w:val="24"/>
        </w:rPr>
      </w:pPr>
    </w:p>
    <w:p w:rsidR="006D382F" w:rsidRDefault="00FF068F">
      <w:pPr>
        <w:ind w:firstLine="567"/>
      </w:pPr>
      <w:r>
        <w:rPr>
          <w:rStyle w:val="a5"/>
          <w:rFonts w:ascii="Times New Roman" w:eastAsia="Times New Roman" w:hAnsi="Times New Roman"/>
          <w:sz w:val="24"/>
          <w:szCs w:val="24"/>
        </w:rPr>
        <w:t>Х</w:t>
      </w:r>
      <w:r>
        <w:rPr>
          <w:rStyle w:val="a5"/>
          <w:rFonts w:ascii="Times New Roman" w:eastAsia="Times New Roman" w:hAnsi="Times New Roman"/>
          <w:sz w:val="24"/>
          <w:szCs w:val="24"/>
        </w:rPr>
        <w:t>арактеристиками эквивалентности принять технические характеристики, указанные в таблице №2 к Техническому заданию.</w:t>
      </w:r>
    </w:p>
    <w:p w:rsidR="006D382F" w:rsidRDefault="006D382F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D382F" w:rsidRDefault="00FF068F">
      <w:pPr>
        <w:pStyle w:val="ae"/>
        <w:ind w:firstLine="567"/>
        <w:jc w:val="both"/>
        <w:rPr>
          <w:sz w:val="24"/>
          <w:szCs w:val="24"/>
        </w:rPr>
      </w:pPr>
      <w:bookmarkStart w:id="4" w:name="undefined_Копия_4"/>
      <w:r>
        <w:rPr>
          <w:rFonts w:eastAsia="Calibri"/>
          <w:b/>
          <w:i/>
          <w:sz w:val="24"/>
          <w:szCs w:val="24"/>
          <w:shd w:val="clear" w:color="auto" w:fill="FFFFFF"/>
          <w:lang w:eastAsia="en-US"/>
        </w:rPr>
        <w:t>При замене оборудования технических средств оповещения для МСОН</w:t>
      </w:r>
      <w:r>
        <w:rPr>
          <w:rFonts w:eastAsia="Calibri"/>
          <w:b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i/>
          <w:iCs/>
          <w:sz w:val="24"/>
          <w:szCs w:val="24"/>
          <w:shd w:val="clear" w:color="auto" w:fill="FFFFFF"/>
          <w:lang w:eastAsia="en-US"/>
        </w:rPr>
        <w:t xml:space="preserve">на эквивалент, оно </w:t>
      </w:r>
      <w:r>
        <w:rPr>
          <w:rFonts w:eastAsia="Calibri"/>
          <w:b/>
          <w:i/>
          <w:sz w:val="24"/>
          <w:szCs w:val="24"/>
          <w:shd w:val="clear" w:color="auto" w:fill="FFFFFF"/>
          <w:lang w:eastAsia="en-US"/>
        </w:rPr>
        <w:t>должно</w:t>
      </w:r>
      <w:r>
        <w:rPr>
          <w:rFonts w:eastAsia="Calibri"/>
          <w:i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sz w:val="24"/>
          <w:szCs w:val="24"/>
          <w:shd w:val="clear" w:color="auto" w:fill="FFFFFF"/>
          <w:lang w:eastAsia="en-US"/>
        </w:rPr>
        <w:t>иметь акт совместных испытаний производителей оборудования с участием представителей федерального органа исполнительной власти, уполномоченного на решение задач в области гражданской обороны, защиты населения и территорий от чрезвычайных ситуаций, и полном</w:t>
      </w:r>
      <w:r>
        <w:rPr>
          <w:rFonts w:eastAsia="Calibri"/>
          <w:b/>
          <w:sz w:val="24"/>
          <w:szCs w:val="24"/>
          <w:shd w:val="clear" w:color="auto" w:fill="FFFFFF"/>
          <w:lang w:eastAsia="en-US"/>
        </w:rPr>
        <w:t xml:space="preserve">очных представителей предприятий, в </w:t>
      </w:r>
      <w:r>
        <w:rPr>
          <w:rFonts w:eastAsia="Calibri"/>
          <w:b/>
          <w:sz w:val="24"/>
          <w:szCs w:val="24"/>
          <w:lang w:eastAsia="en-US"/>
        </w:rPr>
        <w:t xml:space="preserve">соответствии с п. 5.1.8.2 ГОСТ Р 42.3.01-2021. </w:t>
      </w:r>
      <w:bookmarkEnd w:id="4"/>
    </w:p>
    <w:p w:rsidR="006D382F" w:rsidRDefault="00FF068F">
      <w:pPr>
        <w:pStyle w:val="a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Оконечное средство оповещения П-166М СЗО-3 является составной частью КТСО П-166М и производится АО ПК «Азимут», поэтому имеет максимально совместимый функционал и не требуе</w:t>
      </w:r>
      <w:r>
        <w:rPr>
          <w:sz w:val="24"/>
          <w:szCs w:val="24"/>
        </w:rPr>
        <w:t>т каких-либо дополнительных протоколов и иных документов, подтверждающих программно-аппаратное сопряжение.</w:t>
      </w:r>
    </w:p>
    <w:p w:rsidR="006D382F" w:rsidRDefault="00FF068F">
      <w:pPr>
        <w:pStyle w:val="ae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lang w:eastAsia="en-US"/>
        </w:rPr>
        <w:t>При замене оборудования технических средств оповещения для МСОН на эквивалент</w:t>
      </w:r>
      <w:r>
        <w:rPr>
          <w:color w:val="011C29"/>
          <w:sz w:val="24"/>
          <w:szCs w:val="24"/>
          <w:shd w:val="clear" w:color="auto" w:fill="FFFFFF"/>
        </w:rPr>
        <w:t xml:space="preserve"> Продавец обязан провести мероприятия своими силами и за свой счёт по вн</w:t>
      </w:r>
      <w:r>
        <w:rPr>
          <w:color w:val="011C29"/>
          <w:sz w:val="24"/>
          <w:szCs w:val="24"/>
          <w:shd w:val="clear" w:color="auto" w:fill="FFFFFF"/>
        </w:rPr>
        <w:t xml:space="preserve">есению изменений в проектную техническую документацию. Изменения в проектную техническую документацию вносятся в соответствии </w:t>
      </w:r>
      <w:proofErr w:type="gramStart"/>
      <w:r>
        <w:rPr>
          <w:color w:val="011C29"/>
          <w:sz w:val="24"/>
          <w:szCs w:val="24"/>
          <w:shd w:val="clear" w:color="auto" w:fill="FFFFFF"/>
        </w:rPr>
        <w:t>с  ГОСТ</w:t>
      </w:r>
      <w:proofErr w:type="gramEnd"/>
      <w:r>
        <w:rPr>
          <w:color w:val="011C29"/>
          <w:sz w:val="24"/>
          <w:szCs w:val="24"/>
          <w:shd w:val="clear" w:color="auto" w:fill="FFFFFF"/>
        </w:rPr>
        <w:t xml:space="preserve"> 21.101.-2026, ГОСТ Р 21.1101-2013.</w:t>
      </w:r>
    </w:p>
    <w:p w:rsidR="006D382F" w:rsidRDefault="00FF068F">
      <w:pPr>
        <w:pStyle w:val="ae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Все технические средства оповещения, устанавливаемые в пунктах оповещения </w:t>
      </w:r>
      <w:r>
        <w:rPr>
          <w:rFonts w:eastAsia="Calibri"/>
          <w:b/>
          <w:bCs/>
          <w:sz w:val="24"/>
          <w:szCs w:val="24"/>
        </w:rPr>
        <w:t xml:space="preserve">должны иметь </w:t>
      </w:r>
      <w:r>
        <w:rPr>
          <w:rFonts w:eastAsia="Calibri"/>
          <w:b/>
          <w:bCs/>
          <w:sz w:val="24"/>
          <w:szCs w:val="24"/>
        </w:rPr>
        <w:t>программно-техническое сопряжение</w:t>
      </w:r>
      <w:r>
        <w:rPr>
          <w:rFonts w:eastAsia="Calibri"/>
          <w:sz w:val="24"/>
          <w:szCs w:val="24"/>
        </w:rPr>
        <w:t xml:space="preserve"> (п. 5.1.8.1 ГОСТ Р 42.3.01-2021) </w:t>
      </w:r>
      <w:r>
        <w:rPr>
          <w:rFonts w:eastAsia="Calibri"/>
          <w:b/>
          <w:bCs/>
          <w:sz w:val="24"/>
          <w:szCs w:val="24"/>
        </w:rPr>
        <w:t xml:space="preserve">и </w:t>
      </w:r>
      <w:r>
        <w:rPr>
          <w:b/>
          <w:bCs/>
          <w:sz w:val="24"/>
          <w:szCs w:val="24"/>
        </w:rPr>
        <w:t>обеспечивать программно-аппаратную совместимость</w:t>
      </w:r>
      <w:r>
        <w:rPr>
          <w:rFonts w:eastAsia="Calibri"/>
          <w:sz w:val="24"/>
          <w:szCs w:val="24"/>
        </w:rPr>
        <w:t xml:space="preserve"> с существующей муниципальной системой оповещения населения </w:t>
      </w:r>
      <w:r>
        <w:rPr>
          <w:sz w:val="24"/>
          <w:szCs w:val="24"/>
        </w:rPr>
        <w:t>КТСО П-166М производства АО «КЗТА»,</w:t>
      </w:r>
      <w:r>
        <w:rPr>
          <w:rFonts w:eastAsia="Calibri"/>
          <w:sz w:val="24"/>
          <w:szCs w:val="24"/>
        </w:rPr>
        <w:t xml:space="preserve"> имеющейся у Заказчика</w:t>
      </w:r>
      <w:r>
        <w:rPr>
          <w:sz w:val="24"/>
          <w:szCs w:val="24"/>
        </w:rPr>
        <w:t xml:space="preserve">. </w:t>
      </w:r>
    </w:p>
    <w:p w:rsidR="006D382F" w:rsidRDefault="00FF068F">
      <w:pPr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Пункт оповещения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</w:t>
      </w:r>
      <w:r>
        <w:rPr>
          <w:rFonts w:ascii="Times New Roman" w:hAnsi="Times New Roman" w:cs="Times New Roman"/>
          <w:i/>
          <w:sz w:val="24"/>
          <w:szCs w:val="24"/>
        </w:rPr>
        <w:t>чковского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</w:t>
      </w:r>
      <w:r>
        <w:rPr>
          <w:rFonts w:ascii="Times New Roman" w:eastAsia="Calibri" w:hAnsi="Times New Roman" w:cs="Times New Roman"/>
          <w:i/>
          <w:sz w:val="24"/>
          <w:szCs w:val="24"/>
        </w:rPr>
        <w:t>должен управляться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(запускаться и контролироваться)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из пункта управления оповещением РСОН по адресу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Российская Федерация, 630007, Новосибирская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обл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, Новосибирск г, Советская, д.4А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далее – пункт управления оповещением).</w:t>
      </w:r>
    </w:p>
    <w:p w:rsidR="006D382F" w:rsidRDefault="00FF068F">
      <w:pPr>
        <w:tabs>
          <w:tab w:val="left" w:pos="1560"/>
        </w:tabs>
        <w:ind w:left="100" w:right="37" w:firstLine="75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Программно-аппаратная совместимость предполагает поддержку максимального функционала, заложенного производителем П-166М, включая:</w:t>
      </w:r>
    </w:p>
    <w:p w:rsidR="006D382F" w:rsidRDefault="00FF068F">
      <w:pPr>
        <w:pStyle w:val="af"/>
        <w:numPr>
          <w:ilvl w:val="0"/>
          <w:numId w:val="5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запуска с пункта управления оповещением региональной (муниципальной) системы оповещения (РСОН, МСОН) расположенн</w:t>
      </w:r>
      <w:r>
        <w:rPr>
          <w:rFonts w:ascii="Times New Roman" w:hAnsi="Times New Roman" w:cs="Times New Roman"/>
          <w:sz w:val="24"/>
          <w:szCs w:val="24"/>
        </w:rPr>
        <w:t>ого г. Новосибирск, ул. Советская, 4а;</w:t>
      </w:r>
    </w:p>
    <w:p w:rsidR="006D382F" w:rsidRDefault="00FF068F">
      <w:pPr>
        <w:pStyle w:val="af"/>
        <w:numPr>
          <w:ilvl w:val="0"/>
          <w:numId w:val="5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должно поддерживать передачу о несанкционированном вскрытии оборудования оконечной точки оповещения;</w:t>
      </w:r>
    </w:p>
    <w:p w:rsidR="006D382F" w:rsidRDefault="00FF068F">
      <w:pPr>
        <w:pStyle w:val="af"/>
        <w:numPr>
          <w:ilvl w:val="0"/>
          <w:numId w:val="5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всех типов сигналов, заложенных производителем П-166М (непрерывная сирена, сирена прерывистая</w:t>
      </w:r>
      <w:r>
        <w:rPr>
          <w:rFonts w:ascii="Times New Roman" w:hAnsi="Times New Roman" w:cs="Times New Roman"/>
          <w:sz w:val="24"/>
          <w:szCs w:val="24"/>
        </w:rPr>
        <w:t>, речь с микрофона, речь записанных сообщений, оповещение индивидуально, оповещение в группе).</w:t>
      </w:r>
    </w:p>
    <w:p w:rsidR="006D382F" w:rsidRDefault="006D382F">
      <w:pPr>
        <w:pStyle w:val="af"/>
        <w:tabs>
          <w:tab w:val="left" w:pos="1560"/>
        </w:tabs>
        <w:spacing w:after="0"/>
        <w:ind w:left="820" w:right="37"/>
        <w:rPr>
          <w:rFonts w:ascii="Times New Roman" w:hAnsi="Times New Roman" w:cs="Times New Roman"/>
          <w:sz w:val="24"/>
          <w:szCs w:val="24"/>
        </w:rPr>
      </w:pPr>
    </w:p>
    <w:p w:rsidR="006D382F" w:rsidRDefault="00FF068F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Специализированное программное обеспечение технического средства оповещения населения должно использовать программное обеспечение, включённое в единый реестр ро</w:t>
      </w:r>
      <w:r>
        <w:rPr>
          <w:sz w:val="24"/>
          <w:szCs w:val="24"/>
        </w:rPr>
        <w:t xml:space="preserve">ссийских программ для электронных вычислительных машин и баз данных, и </w:t>
      </w:r>
      <w:proofErr w:type="gramStart"/>
      <w:r>
        <w:rPr>
          <w:sz w:val="24"/>
          <w:szCs w:val="24"/>
        </w:rPr>
        <w:t>соответствовать  ГОСТ</w:t>
      </w:r>
      <w:proofErr w:type="gramEnd"/>
      <w:r>
        <w:rPr>
          <w:sz w:val="24"/>
          <w:szCs w:val="24"/>
        </w:rPr>
        <w:t xml:space="preserve"> Р 56939-2024 ( п.5.1.9 ГОСТ Р 42.3.01-2021).</w:t>
      </w:r>
    </w:p>
    <w:p w:rsidR="006D382F" w:rsidRDefault="006D382F">
      <w:pPr>
        <w:tabs>
          <w:tab w:val="left" w:pos="1560"/>
        </w:tabs>
        <w:ind w:right="37"/>
        <w:rPr>
          <w:rFonts w:ascii="Times New Roman" w:hAnsi="Times New Roman" w:cs="Times New Roman"/>
          <w:b/>
          <w:sz w:val="24"/>
          <w:szCs w:val="24"/>
        </w:rPr>
      </w:pPr>
    </w:p>
    <w:p w:rsidR="006D382F" w:rsidRDefault="00FF068F">
      <w:pPr>
        <w:tabs>
          <w:tab w:val="left" w:pos="1560"/>
        </w:tabs>
        <w:ind w:right="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Системы громкоговорящей связи: </w:t>
      </w:r>
    </w:p>
    <w:p w:rsidR="006D382F" w:rsidRDefault="00FF068F">
      <w:pPr>
        <w:tabs>
          <w:tab w:val="left" w:pos="1560"/>
        </w:tabs>
        <w:ind w:left="100"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должны программно-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аппаратно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сопрягаться с КТСО П-166М (производства АО «КЗТА»), име</w:t>
      </w:r>
      <w:r>
        <w:rPr>
          <w:rFonts w:ascii="Times New Roman" w:hAnsi="Times New Roman" w:cs="Times New Roman"/>
          <w:sz w:val="24"/>
          <w:szCs w:val="24"/>
        </w:rPr>
        <w:t xml:space="preserve">ющейся у Заказчика; </w:t>
      </w:r>
    </w:p>
    <w:p w:rsidR="006D382F" w:rsidRDefault="00FF068F">
      <w:pPr>
        <w:tabs>
          <w:tab w:val="left" w:pos="1560"/>
        </w:tabs>
        <w:ind w:left="100"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должны обеспечивать совместимость с системой КТСО П-166М производства АО «КЗТА», имеющейся у Заказчика.</w:t>
      </w:r>
    </w:p>
    <w:tbl>
      <w:tblPr>
        <w:tblpPr w:leftFromText="180" w:rightFromText="180" w:vertAnchor="text" w:horzAnchor="margin" w:tblpXSpec="center" w:tblpY="38"/>
        <w:tblW w:w="5000" w:type="pct"/>
        <w:tblLayout w:type="fixed"/>
        <w:tblLook w:val="04A0" w:firstRow="1" w:lastRow="0" w:firstColumn="1" w:lastColumn="0" w:noHBand="0" w:noVBand="1"/>
      </w:tblPr>
      <w:tblGrid>
        <w:gridCol w:w="2422"/>
        <w:gridCol w:w="2858"/>
        <w:gridCol w:w="2864"/>
        <w:gridCol w:w="1711"/>
      </w:tblGrid>
      <w:tr w:rsidR="006D382F"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108" w:right="-12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Типы</w:t>
            </w:r>
          </w:p>
          <w:p w:rsidR="006D382F" w:rsidRDefault="00FF068F">
            <w:pPr>
              <w:ind w:left="-108" w:right="-12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используемого</w:t>
            </w:r>
          </w:p>
          <w:p w:rsidR="006D382F" w:rsidRDefault="00FF068F">
            <w:pPr>
              <w:ind w:left="-108" w:right="-12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93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Тип аппаратуры/</w:t>
            </w:r>
          </w:p>
          <w:p w:rsidR="006D382F" w:rsidRDefault="00FF068F">
            <w:pPr>
              <w:ind w:left="-93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канала для удаленного управления</w:t>
            </w:r>
          </w:p>
        </w:tc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Способ управления</w:t>
            </w:r>
          </w:p>
        </w:tc>
      </w:tr>
      <w:tr w:rsidR="006D382F">
        <w:trPr>
          <w:trHeight w:val="823"/>
        </w:trPr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2F" w:rsidRDefault="006D382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Удаленный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(автоматизированный) запуск</w:t>
            </w:r>
          </w:p>
          <w:p w:rsidR="006D382F" w:rsidRDefault="00FF068F">
            <w:pPr>
              <w:tabs>
                <w:tab w:val="left" w:pos="1180"/>
              </w:tabs>
              <w:ind w:hanging="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(с ЕДДС МР; основного и запасного ПУ РАСЦО НСО)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84" w:right="-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Местный (ручной) запуск</w:t>
            </w:r>
          </w:p>
        </w:tc>
      </w:tr>
      <w:tr w:rsidR="006D382F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right="-12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Система громкоговорящей связи, всепогодное исполнение (управление по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GSM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каналу)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П-166М/</w:t>
            </w:r>
          </w:p>
          <w:p w:rsidR="006D382F" w:rsidRDefault="00FF06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интернет общего пользования с «белым» статическим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адресом и скорость передачи не ниже 512 кбит/с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108" w:right="-13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Трансляция сигнала</w:t>
            </w:r>
          </w:p>
          <w:p w:rsidR="006D382F" w:rsidRDefault="00FF068F">
            <w:pPr>
              <w:ind w:left="-108" w:right="-13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«Внимание всем» - звук сирены;</w:t>
            </w:r>
          </w:p>
          <w:p w:rsidR="006D382F" w:rsidRDefault="00FF068F">
            <w:pPr>
              <w:ind w:left="-108" w:right="-13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речь с микрофона;</w:t>
            </w:r>
          </w:p>
          <w:p w:rsidR="006D382F" w:rsidRDefault="00FF068F">
            <w:pPr>
              <w:ind w:left="-250" w:right="-25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Трансляция заранее подготовленных речевых сообщений.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84" w:right="-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D382F"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right="-123" w:firstLine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Мегафон рупорный ручной</w:t>
            </w:r>
          </w:p>
          <w:p w:rsidR="006D382F" w:rsidRDefault="006D382F">
            <w:pPr>
              <w:ind w:right="-123"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108" w:right="-13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82F" w:rsidRDefault="00FF068F">
            <w:pPr>
              <w:ind w:left="-84" w:right="-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Трансляция сигнала</w:t>
            </w:r>
          </w:p>
          <w:p w:rsidR="006D382F" w:rsidRDefault="00FF068F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«Внимание всем» - звук сирены, речь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микрофона;</w:t>
            </w:r>
          </w:p>
          <w:p w:rsidR="006D382F" w:rsidRDefault="00FF068F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Трансляция заранее подготовленных речевых сообщений.</w:t>
            </w:r>
          </w:p>
        </w:tc>
      </w:tr>
    </w:tbl>
    <w:p w:rsidR="006D382F" w:rsidRDefault="006D382F">
      <w:pPr>
        <w:widowControl w:val="0"/>
        <w:spacing w:after="200"/>
        <w:ind w:firstLine="284"/>
        <w:contextualSpacing/>
        <w:rPr>
          <w:rFonts w:ascii="Times New Roman" w:hAnsi="Times New Roman" w:cs="Times New Roman"/>
          <w:b/>
          <w:bCs/>
          <w:iCs/>
          <w:sz w:val="20"/>
        </w:rPr>
      </w:pPr>
    </w:p>
    <w:p w:rsidR="006D382F" w:rsidRDefault="00FF068F">
      <w:pPr>
        <w:widowControl w:val="0"/>
        <w:spacing w:after="200"/>
        <w:ind w:firstLine="284"/>
        <w:contextualSpacing/>
        <w:rPr>
          <w:sz w:val="20"/>
        </w:rPr>
      </w:pPr>
      <w:r>
        <w:rPr>
          <w:rFonts w:ascii="Times New Roman" w:hAnsi="Times New Roman" w:cs="Times New Roman"/>
          <w:b/>
          <w:bCs/>
          <w:iCs/>
          <w:sz w:val="20"/>
        </w:rPr>
        <w:t xml:space="preserve">Примечание: </w:t>
      </w:r>
      <w:r>
        <w:rPr>
          <w:rFonts w:ascii="Times New Roman" w:hAnsi="Times New Roman" w:cs="Times New Roman"/>
          <w:b/>
          <w:bCs/>
          <w:sz w:val="20"/>
        </w:rPr>
        <w:t>Интернет общего пользования используется для организации поверх него защищённой виртуальной сети.</w:t>
      </w:r>
    </w:p>
    <w:p w:rsidR="006D382F" w:rsidRDefault="00FF068F">
      <w:pPr>
        <w:widowControl w:val="0"/>
        <w:spacing w:after="200"/>
        <w:ind w:firstLine="284"/>
        <w:contextualSpacing/>
        <w:rPr>
          <w:sz w:val="20"/>
        </w:rPr>
      </w:pPr>
      <w:r>
        <w:br w:type="page"/>
      </w:r>
    </w:p>
    <w:p w:rsidR="006D382F" w:rsidRDefault="00FF068F">
      <w:pPr>
        <w:pStyle w:val="ae"/>
        <w:jc w:val="right"/>
        <w:rPr>
          <w:b/>
          <w:bCs/>
        </w:rPr>
      </w:pPr>
      <w:r>
        <w:rPr>
          <w:b/>
          <w:bCs/>
        </w:rPr>
        <w:lastRenderedPageBreak/>
        <w:t>Таблица №3</w:t>
      </w:r>
    </w:p>
    <w:p w:rsidR="006D382F" w:rsidRDefault="00FF068F">
      <w:pPr>
        <w:pStyle w:val="ae"/>
        <w:jc w:val="right"/>
        <w:rPr>
          <w:rFonts w:eastAsia="Arial"/>
          <w:sz w:val="24"/>
          <w:szCs w:val="24"/>
        </w:rPr>
      </w:pPr>
      <w:r>
        <w:rPr>
          <w:b/>
          <w:bCs/>
        </w:rPr>
        <w:t>к Техническому заданию</w:t>
      </w:r>
    </w:p>
    <w:p w:rsidR="006D382F" w:rsidRDefault="006D38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382F" w:rsidRDefault="00FF068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поставки оборудования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6136"/>
        <w:gridCol w:w="858"/>
        <w:gridCol w:w="2289"/>
      </w:tblGrid>
      <w:tr w:rsidR="006D382F" w:rsidTr="00FF068F">
        <w:trPr>
          <w:trHeight w:val="446"/>
        </w:trPr>
        <w:tc>
          <w:tcPr>
            <w:tcW w:w="572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_GoBack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№ п/п</w:t>
            </w:r>
          </w:p>
        </w:tc>
        <w:tc>
          <w:tcPr>
            <w:tcW w:w="6143" w:type="dxa"/>
          </w:tcPr>
          <w:p w:rsidR="006D382F" w:rsidRDefault="00FF068F">
            <w:pPr>
              <w:ind w:left="1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Наименование оборудования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Кол-во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Место поставки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Сервисный маршрутизатор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400 Вт, для размещения на открытых пространствах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АЕСФ.468354.015 ТУ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Громкоговоритель рупорный 100ГР-38Н (или эквивалент)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4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GSM роутер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iRZ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RL21 «или эквивалент»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Блок питания 12V, 1A, тип разъема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MicroFit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Pin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) для модемов и роутеров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lang w:eastAsia="ar-SA" w:bidi="ar-SA"/>
              </w:rPr>
              <w:t>Мультидиапазонная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lang w:eastAsia="ar-SA" w:bidi="ar-SA"/>
              </w:rPr>
              <w:t xml:space="preserve"> антенна MB3000MG (или эквивалент)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Мегафон РМ-25СПА (или эквивалент)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АЕСФ.468933.003 ЗИП-Г для П-166М СЗО-3 АЕСФ.468354.015 ТУ (ЗИП)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5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ЕДДС, с. Кочки, ул. Революционная, 11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п.Николаевский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Кочки, ул. Революционная, 11)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Мегафон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РМ-25СПА (или эквивалент)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Новый вокзал (ЕДДС, с. Кочки, ул. Революционная, 11)</w:t>
            </w:r>
          </w:p>
        </w:tc>
      </w:tr>
      <w:tr w:rsidR="006D382F" w:rsidTr="00FF068F">
        <w:trPr>
          <w:trHeight w:val="446"/>
        </w:trPr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Земировский</w:t>
            </w:r>
            <w:proofErr w:type="spellEnd"/>
          </w:p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(ЕДДС, с. Кочки, ул. Революционная, 11)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Кочки,</w:t>
            </w:r>
          </w:p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Лахина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32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Кочки,</w:t>
            </w:r>
          </w:p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ул. Некрасова, 52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Быструха, ул. Лермонтова, 20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Быструха, ул.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Советская, 16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Красная Сибирь,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Покрышкина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35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Красная Сибирь, ул. Кирова, 24/1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Решеты, ул. Попова, 10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Решеты, ул. Ленина, 18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Решеты,</w:t>
            </w:r>
          </w:p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Карасукская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24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Черновка,</w:t>
            </w:r>
          </w:p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переулок 1 Степной, 1/1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Решеты, ул. Горького, 24/1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Быструха, ул. Центральная, 60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Система громкоговорящей связи П-166М СЗО-3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Ермаковский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ДК, ул. Ленина, 30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Жуланка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Лахина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54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Республиканский, ул. Центральная, 24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Красная Сибирь, ул. Комсомольская, 6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Новые Решеты, ул. Школьная, 2г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Новоцелинное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Комсомольская, 11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Решеты, ул. Ленина, 4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Троицкий, ул. Новая, 1а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Черновка, ул. Полевая, 24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Букреево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Плесо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Советская, 8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Букреево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Плесо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Большевистская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Вт), на опоре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Жуланка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ул. Степная, 8, кв. 2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Вт), на опоре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Жуланка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Калинина, 43, кв.1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Вт), на опоре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Жуланка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Лахина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д.33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Система громкоговорящей связи П-166М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СЗО-3 (400 Вт), на опоре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Кочки, ул. Плотниковой д.73а</w:t>
            </w:r>
          </w:p>
        </w:tc>
      </w:tr>
      <w:tr w:rsidR="006D382F" w:rsidTr="00FF068F">
        <w:tc>
          <w:tcPr>
            <w:tcW w:w="572" w:type="dxa"/>
          </w:tcPr>
          <w:p w:rsidR="006D382F" w:rsidRDefault="006D382F">
            <w:pPr>
              <w:pStyle w:val="af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3" w:type="dxa"/>
          </w:tcPr>
          <w:p w:rsidR="006D382F" w:rsidRDefault="00FF068F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(400 Вт), на опоре</w:t>
            </w:r>
          </w:p>
        </w:tc>
        <w:tc>
          <w:tcPr>
            <w:tcW w:w="859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2291" w:type="dxa"/>
          </w:tcPr>
          <w:p w:rsidR="006D382F" w:rsidRDefault="00FF06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Жуланка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Советская, 30</w:t>
            </w:r>
          </w:p>
        </w:tc>
      </w:tr>
      <w:bookmarkEnd w:id="5"/>
    </w:tbl>
    <w:p w:rsidR="006D382F" w:rsidRDefault="006D382F">
      <w:pPr>
        <w:ind w:left="360"/>
      </w:pPr>
    </w:p>
    <w:p w:rsidR="006D382F" w:rsidRDefault="006D382F">
      <w:pPr>
        <w:ind w:left="360"/>
      </w:pPr>
    </w:p>
    <w:p w:rsidR="006D382F" w:rsidRDefault="006D382F">
      <w:pPr>
        <w:jc w:val="right"/>
        <w:rPr>
          <w:rFonts w:ascii="Times New Roman" w:hAnsi="Times New Roman" w:cs="Times New Roman"/>
          <w:color w:val="000000" w:themeColor="text1"/>
          <w:sz w:val="20"/>
        </w:rPr>
      </w:pPr>
    </w:p>
    <w:sectPr w:rsidR="006D382F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f segoe-ui normal;Segoe UI;Seg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72E2"/>
    <w:multiLevelType w:val="multilevel"/>
    <w:tmpl w:val="21FAC4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B73FD8"/>
    <w:multiLevelType w:val="multilevel"/>
    <w:tmpl w:val="1C740FB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040A6F"/>
    <w:multiLevelType w:val="multilevel"/>
    <w:tmpl w:val="E4BC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FD20E1"/>
    <w:multiLevelType w:val="multilevel"/>
    <w:tmpl w:val="028C184A"/>
    <w:lvl w:ilvl="0">
      <w:start w:val="1"/>
      <w:numFmt w:val="bullet"/>
      <w:isLgl/>
      <w:lvlText w:val="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2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9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4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5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275D00"/>
    <w:multiLevelType w:val="multilevel"/>
    <w:tmpl w:val="4202A3B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513E6E5A"/>
    <w:multiLevelType w:val="multilevel"/>
    <w:tmpl w:val="78A0257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69C6EAF"/>
    <w:multiLevelType w:val="multilevel"/>
    <w:tmpl w:val="FD1A9C9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4755" w:hanging="360"/>
      </w:pPr>
      <w:rPr>
        <w:color w:val="auto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5475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6195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502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7635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8355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9075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9795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10515" w:hanging="180"/>
      </w:pPr>
    </w:lvl>
  </w:abstractNum>
  <w:abstractNum w:abstractNumId="7" w15:restartNumberingAfterBreak="0">
    <w:nsid w:val="753A0EA0"/>
    <w:multiLevelType w:val="multilevel"/>
    <w:tmpl w:val="A0542E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2F"/>
    <w:rsid w:val="006D382F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7E6DD-6541-4941-AA6F-B1CDB562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jc w:val="both"/>
    </w:pPr>
    <w:rPr>
      <w:sz w:val="28"/>
    </w:rPr>
  </w:style>
  <w:style w:type="paragraph" w:styleId="1">
    <w:name w:val="heading 1"/>
    <w:next w:val="a"/>
    <w:qFormat/>
    <w:pPr>
      <w:overflowPunct w:val="0"/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qFormat/>
    <w:pPr>
      <w:overflowPunct w:val="0"/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qFormat/>
    <w:pPr>
      <w:overflowPunct w:val="0"/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qFormat/>
    <w:pPr>
      <w:overflowPunct w:val="0"/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qFormat/>
    <w:pPr>
      <w:overflowPunct w:val="0"/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user">
    <w:name w:val="Символ нумерации (user)"/>
    <w:qFormat/>
  </w:style>
  <w:style w:type="character" w:styleId="a4">
    <w:name w:val="Strong"/>
    <w:basedOn w:val="a0"/>
    <w:qFormat/>
    <w:rPr>
      <w:b/>
      <w:bCs/>
    </w:rPr>
  </w:style>
  <w:style w:type="character" w:styleId="a5">
    <w:name w:val="annotation reference"/>
    <w:qFormat/>
    <w:rPr>
      <w:rFonts w:cs="Times New Roman"/>
      <w:sz w:val="16"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7">
    <w:name w:val="Title"/>
    <w:next w:val="a8"/>
    <w:qFormat/>
    <w:pPr>
      <w:overflowPunct w:val="0"/>
      <w:spacing w:before="567" w:after="567"/>
      <w:jc w:val="center"/>
    </w:pPr>
    <w:rPr>
      <w:b/>
      <w:caps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user1">
    <w:name w:val="Указатель (user)"/>
    <w:basedOn w:val="a"/>
    <w:qFormat/>
    <w:pPr>
      <w:suppressLineNumbers/>
    </w:pPr>
  </w:style>
  <w:style w:type="paragraph" w:styleId="20">
    <w:name w:val="toc 2"/>
    <w:next w:val="a"/>
    <w:pPr>
      <w:overflowPunct w:val="0"/>
      <w:ind w:left="200"/>
    </w:pPr>
    <w:rPr>
      <w:sz w:val="28"/>
    </w:rPr>
  </w:style>
  <w:style w:type="paragraph" w:styleId="40">
    <w:name w:val="toc 4"/>
    <w:next w:val="a"/>
    <w:pPr>
      <w:overflowPunct w:val="0"/>
      <w:ind w:left="600"/>
    </w:pPr>
    <w:rPr>
      <w:sz w:val="28"/>
    </w:rPr>
  </w:style>
  <w:style w:type="paragraph" w:styleId="6">
    <w:name w:val="toc 6"/>
    <w:next w:val="a"/>
    <w:pPr>
      <w:overflowPunct w:val="0"/>
      <w:ind w:left="1000"/>
    </w:pPr>
    <w:rPr>
      <w:sz w:val="28"/>
    </w:rPr>
  </w:style>
  <w:style w:type="paragraph" w:styleId="7">
    <w:name w:val="toc 7"/>
    <w:next w:val="a"/>
    <w:pPr>
      <w:overflowPunct w:val="0"/>
      <w:ind w:left="1200"/>
    </w:pPr>
    <w:rPr>
      <w:sz w:val="28"/>
    </w:rPr>
  </w:style>
  <w:style w:type="paragraph" w:customStyle="1" w:styleId="Endnote1">
    <w:name w:val="Endnote1"/>
    <w:link w:val="Endnote"/>
    <w:qFormat/>
    <w:pPr>
      <w:overflowPunct w:val="0"/>
      <w:ind w:firstLine="851"/>
      <w:jc w:val="both"/>
    </w:pPr>
    <w:rPr>
      <w:sz w:val="22"/>
    </w:rPr>
  </w:style>
  <w:style w:type="paragraph" w:styleId="30">
    <w:name w:val="toc 3"/>
    <w:next w:val="a"/>
    <w:pPr>
      <w:overflowPunct w:val="0"/>
      <w:ind w:left="400"/>
    </w:pPr>
    <w:rPr>
      <w:sz w:val="28"/>
    </w:rPr>
  </w:style>
  <w:style w:type="paragraph" w:customStyle="1" w:styleId="Internetlink">
    <w:name w:val="Internet link"/>
    <w:qFormat/>
    <w:pPr>
      <w:overflowPunct w:val="0"/>
    </w:pPr>
    <w:rPr>
      <w:color w:val="0000FF"/>
      <w:u w:val="single"/>
    </w:rPr>
  </w:style>
  <w:style w:type="paragraph" w:customStyle="1" w:styleId="Footnote1">
    <w:name w:val="Footnote1"/>
    <w:link w:val="Footnote"/>
    <w:qFormat/>
    <w:pPr>
      <w:overflowPunct w:val="0"/>
      <w:ind w:firstLine="851"/>
      <w:jc w:val="both"/>
    </w:pPr>
    <w:rPr>
      <w:sz w:val="22"/>
    </w:rPr>
  </w:style>
  <w:style w:type="paragraph" w:styleId="10">
    <w:name w:val="toc 1"/>
    <w:next w:val="a"/>
    <w:pPr>
      <w:overflowPunct w:val="0"/>
    </w:pPr>
    <w:rPr>
      <w:b/>
      <w:sz w:val="28"/>
    </w:rPr>
  </w:style>
  <w:style w:type="paragraph" w:customStyle="1" w:styleId="user2">
    <w:name w:val="Колонтитулы (user)"/>
    <w:qFormat/>
    <w:pPr>
      <w:overflowPunct w:val="0"/>
      <w:jc w:val="both"/>
    </w:pPr>
    <w:rPr>
      <w:sz w:val="28"/>
    </w:rPr>
  </w:style>
  <w:style w:type="paragraph" w:styleId="9">
    <w:name w:val="toc 9"/>
    <w:next w:val="a"/>
    <w:pPr>
      <w:overflowPunct w:val="0"/>
      <w:ind w:left="1600"/>
    </w:pPr>
    <w:rPr>
      <w:sz w:val="28"/>
    </w:rPr>
  </w:style>
  <w:style w:type="paragraph" w:styleId="8">
    <w:name w:val="toc 8"/>
    <w:next w:val="a"/>
    <w:pPr>
      <w:overflowPunct w:val="0"/>
      <w:ind w:left="1400"/>
    </w:pPr>
    <w:rPr>
      <w:sz w:val="28"/>
    </w:rPr>
  </w:style>
  <w:style w:type="paragraph" w:styleId="50">
    <w:name w:val="toc 5"/>
    <w:next w:val="a"/>
    <w:pPr>
      <w:overflowPunct w:val="0"/>
      <w:ind w:left="800"/>
    </w:pPr>
    <w:rPr>
      <w:sz w:val="28"/>
    </w:rPr>
  </w:style>
  <w:style w:type="paragraph" w:styleId="ac">
    <w:name w:val="Subtitle"/>
    <w:next w:val="a"/>
    <w:qFormat/>
    <w:pPr>
      <w:overflowPunct w:val="0"/>
      <w:jc w:val="both"/>
    </w:pPr>
    <w:rPr>
      <w:i/>
    </w:rPr>
  </w:style>
  <w:style w:type="paragraph" w:styleId="ad">
    <w:name w:val="Normal (Web)"/>
    <w:basedOn w:val="a"/>
    <w:qFormat/>
    <w:pPr>
      <w:spacing w:before="280" w:after="280"/>
    </w:pPr>
  </w:style>
  <w:style w:type="paragraph" w:styleId="ae">
    <w:name w:val="No Spacing"/>
    <w:qFormat/>
    <w:pPr>
      <w:overflowPunct w:val="0"/>
    </w:pPr>
    <w:rPr>
      <w:rFonts w:ascii="Times New Roman" w:eastAsia="Times New Roman" w:hAnsi="Times New Roman" w:cs="Times New Roman"/>
      <w:sz w:val="20"/>
    </w:rPr>
  </w:style>
  <w:style w:type="paragraph" w:styleId="af">
    <w:name w:val="List Paragraph"/>
    <w:basedOn w:val="a"/>
    <w:qFormat/>
    <w:pPr>
      <w:spacing w:after="200"/>
      <w:ind w:left="720"/>
      <w:contextualSpacing/>
    </w:pPr>
  </w:style>
  <w:style w:type="paragraph" w:customStyle="1" w:styleId="user3">
    <w:name w:val="Содержимое врезки (user)"/>
    <w:basedOn w:val="a"/>
    <w:qFormat/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rt.ru/pbl/bd2e43ae-8996-11f1-b11a-b026285a8d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24</Pages>
  <Words>8011</Words>
  <Characters>45667</Characters>
  <Application>Microsoft Office Word</Application>
  <DocSecurity>0</DocSecurity>
  <Lines>380</Lines>
  <Paragraphs>107</Paragraphs>
  <ScaleCrop>false</ScaleCrop>
  <Company>vdi</Company>
  <LinksUpToDate>false</LinksUpToDate>
  <CharactersWithSpaces>53571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Овсянникова Ирина Васильевна</cp:lastModifiedBy>
  <cp:revision>14</cp:revision>
  <dcterms:created xsi:type="dcterms:W3CDTF">2025-07-25T09:04:00Z</dcterms:created>
  <dcterms:modified xsi:type="dcterms:W3CDTF">2026-07-28T04:39:00Z</dcterms:modified>
  <dc:language>ru-RU</dc:language>
</cp:coreProperties>
</file>