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</w:rPr>
      </w:pPr>
      <w:r>
        <w:rPr>
          <w:b/>
          <w:bCs/>
        </w:rPr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</w:t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</w:t>
      </w:r>
    </w:p>
    <w:p>
      <w:pPr>
        <w:pStyle w:val="Normal"/>
        <w:jc w:val="center"/>
        <w:rPr/>
      </w:pPr>
      <w:r>
        <w:rPr>
          <w:rFonts w:eastAsia="Calibri"/>
          <w:i w:val="false"/>
          <w:iCs w:val="false"/>
          <w:sz w:val="28"/>
          <w:szCs w:val="28"/>
          <w:lang w:eastAsia="x-none"/>
        </w:rPr>
        <w:t xml:space="preserve">Поставка  </w:t>
      </w:r>
      <w:r>
        <w:rPr>
          <w:rFonts w:eastAsia="Calibri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x-none"/>
        </w:rPr>
        <w:t>н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асосов «Иртыш» РФ2 80/140.134-20-5,5/2-106 </w:t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/>
      </w:pPr>
      <w:r>
        <w:rPr>
          <w:rFonts w:eastAsia="Calibri"/>
          <w:i w:val="false"/>
          <w:iCs w:val="false"/>
          <w:sz w:val="28"/>
          <w:szCs w:val="28"/>
          <w:lang w:eastAsia="x-none"/>
        </w:rPr>
        <w:t xml:space="preserve">для системы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откачки дренажа </w:t>
      </w:r>
      <w:r>
        <w:rPr>
          <w:rFonts w:eastAsia="Calibri"/>
          <w:i w:val="false"/>
          <w:iCs w:val="false"/>
          <w:sz w:val="28"/>
          <w:szCs w:val="28"/>
          <w:lang w:eastAsia="x-none"/>
        </w:rPr>
        <w:t>Черекской ГЭС филиала ПАО «РусГидро» – «Кабардино-Балкарский филиал».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9820303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использования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5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36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7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eastAsia="" w:cs="" w:ascii="Calibri" w:hAnsi="Calibri" w:asciiTheme="minorHAnsi" w:cstheme="minorBidi" w:eastAsiaTheme="minorEastAsia" w:hAnsiTheme="minorHAnsi"/>
              <w:sz w:val="22"/>
              <w:szCs w:val="22"/>
            </w:rPr>
            <w:t xml:space="preserve">            </w:t>
          </w:r>
          <w:r>
            <w:rPr>
              <w:rFonts w:eastAsia="" w:cs="" w:ascii="Calibri" w:hAnsi="Calibri" w:asciiTheme="minorHAnsi" w:cstheme="minorBidi" w:eastAsiaTheme="minorEastAsia" w:hAnsiTheme="minorHAnsi"/>
              <w:sz w:val="22"/>
              <w:szCs w:val="22"/>
            </w:rPr>
            <w:t xml:space="preserve">2.1.1 </w:t>
          </w:r>
          <w:r>
            <w:rPr>
              <w:rFonts w:eastAsia="" w:cs="" w:cstheme="minorBidi" w:eastAsiaTheme="minorEastAsia"/>
              <w:sz w:val="20"/>
              <w:szCs w:val="20"/>
            </w:rPr>
            <w:t xml:space="preserve">Перечень и объем закупаемой продукции </w:t>
          </w:r>
          <w:r>
            <w:rPr>
              <w:rFonts w:eastAsia="" w:cs="" w:cstheme="minorBidi" w:eastAsiaTheme="minorEastAsia"/>
              <w:b/>
              <w:bCs/>
              <w:sz w:val="20"/>
              <w:szCs w:val="20"/>
            </w:rPr>
            <w:t>……………………………………………………………….….4</w:t>
          </w:r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38">
            <w:r>
              <w:rPr>
                <w:webHidden/>
                <w:rStyle w:val="Style14"/>
                <w:vanish w:val="false"/>
              </w:rPr>
              <w:t>Таблица 1.2 Перечень и объем закупаемых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9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40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4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42"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4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98203031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198203032"/>
      <w:r>
        <w:rPr/>
        <w:t>Обозначения и сокращения</w:t>
      </w:r>
      <w:bookmarkEnd w:id="2"/>
      <w:bookmarkEnd w:id="3"/>
    </w:p>
    <w:tbl>
      <w:tblPr>
        <w:tblW w:w="9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66"/>
        <w:gridCol w:w="7096"/>
      </w:tblGrid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стандарт отраслевой</w:t>
            </w:r>
          </w:p>
        </w:tc>
      </w:tr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гидравлическая электростанция</w:t>
            </w:r>
          </w:p>
        </w:tc>
      </w:tr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 «РусГидро»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 «Федеральная гидрогенерирующая компания - РусГидро»</w:t>
            </w:r>
          </w:p>
        </w:tc>
      </w:tr>
      <w:tr>
        <w:trPr>
          <w:trHeight w:val="465" w:hRule="atLeast"/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НМЦ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начальная максимальная цена</w:t>
            </w:r>
          </w:p>
        </w:tc>
      </w:tr>
      <w:tr>
        <w:trPr>
          <w:trHeight w:val="465" w:hRule="atLeast"/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НДС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налог на добавленную стоимость</w:t>
            </w:r>
          </w:p>
        </w:tc>
      </w:tr>
      <w:tr>
        <w:trPr>
          <w:trHeight w:val="465" w:hRule="atLeast"/>
          <w:cantSplit w:val="true"/>
        </w:trPr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ТВС</w:t>
            </w:r>
          </w:p>
        </w:tc>
        <w:tc>
          <w:tcPr>
            <w:tcW w:w="7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Техническое водоснабжение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/>
      </w:pPr>
      <w:r>
        <w:rPr/>
      </w:r>
      <w:r>
        <w:br w:type="page"/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198203033"/>
      <w:r>
        <w:rPr/>
        <w:t>Наименование закупаемой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/>
      </w:pP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 xml:space="preserve">Поставка </w:t>
      </w:r>
      <w:r>
        <w:rPr>
          <w:rFonts w:eastAsia="Calibri"/>
          <w:i/>
          <w:iCs/>
          <w:sz w:val="24"/>
          <w:szCs w:val="24"/>
          <w:lang w:eastAsia="x-none"/>
        </w:rPr>
        <w:t xml:space="preserve"> </w:t>
      </w:r>
      <w:r>
        <w:rPr>
          <w:rFonts w:eastAsia="Calibri"/>
          <w:b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>н</w:t>
      </w:r>
      <w:r>
        <w:rPr>
          <w:b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асосов «Иртыш» РФ2 80/140.134-20-5,5/2-106  </w:t>
      </w: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 xml:space="preserve">для системы </w:t>
      </w:r>
      <w:r>
        <w:rPr>
          <w:rFonts w:eastAsia="Calibri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откачки дренажа  </w:t>
      </w: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>Черекской ГЭС филиала ПАО «РусГидро» – «Кабардино-Балкарский филиал».</w:t>
      </w:r>
      <w:r>
        <w:rPr>
          <w:rFonts w:eastAsia="Calibri"/>
          <w:b w:val="false"/>
          <w:bCs w:val="false"/>
          <w:i/>
          <w:sz w:val="24"/>
          <w:szCs w:val="24"/>
          <w:lang w:eastAsia="x-none"/>
        </w:rPr>
        <w:t xml:space="preserve"> (далее – Филиал).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numPr>
          <w:ilvl w:val="1"/>
          <w:numId w:val="3"/>
        </w:numPr>
        <w:rPr/>
      </w:pPr>
      <w:bookmarkStart w:id="6" w:name="_Toc198203034"/>
      <w:bookmarkStart w:id="7" w:name="_Toc46743507"/>
      <w:r>
        <w:rPr/>
        <w:t xml:space="preserve">Цель </w:t>
      </w:r>
      <w:bookmarkEnd w:id="7"/>
      <w:r>
        <w:rPr/>
        <w:t>использования закупаемой продукции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 xml:space="preserve">Замена </w:t>
      </w:r>
      <w:r>
        <w:rPr>
          <w:rFonts w:eastAsia="Calibri"/>
          <w:b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насосов «Иртыш» РФ2 80/140.134-20-5,5/2-106  </w:t>
      </w: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 xml:space="preserve">для системы </w:t>
      </w:r>
      <w:r>
        <w:rPr>
          <w:rFonts w:eastAsia="Calibri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откачки дренажа  </w:t>
      </w:r>
      <w:r>
        <w:rPr>
          <w:rFonts w:eastAsia="Calibri"/>
          <w:i/>
          <w:sz w:val="24"/>
          <w:szCs w:val="24"/>
          <w:lang w:eastAsia="x-none"/>
        </w:rPr>
        <w:t>Черекской  ГЭС  Филиала.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12"/>
          <w:szCs w:val="12"/>
          <w:lang w:eastAsia="x-none"/>
        </w:rPr>
      </w:pPr>
      <w:r>
        <w:rPr>
          <w:rFonts w:eastAsia="Calibri"/>
          <w:i/>
          <w:sz w:val="12"/>
          <w:szCs w:val="12"/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8" w:name="_Toc198203035"/>
      <w:bookmarkStart w:id="9" w:name="_Toc46743508"/>
      <w:r>
        <w:rPr/>
        <w:t>Существующее положение</w:t>
      </w:r>
      <w:bookmarkEnd w:id="8"/>
      <w:bookmarkEnd w:id="9"/>
    </w:p>
    <w:p>
      <w:pPr>
        <w:pStyle w:val="ListParagraph"/>
        <w:widowControl w:val="false"/>
        <w:tabs>
          <w:tab w:val="clear" w:pos="720"/>
          <w:tab w:val="left" w:pos="426" w:leader="none"/>
        </w:tabs>
        <w:spacing w:before="120" w:after="120"/>
        <w:ind w:left="0" w:hanging="0"/>
        <w:contextualSpacing/>
        <w:jc w:val="both"/>
        <w:rPr/>
      </w:pPr>
      <w:r>
        <w:rPr/>
        <w:t xml:space="preserve"> </w:t>
      </w:r>
      <w:r>
        <w:rPr>
          <w:b w:val="false"/>
          <w:bCs w:val="false"/>
        </w:rPr>
        <w:t xml:space="preserve"> </w:t>
      </w:r>
      <w:r>
        <w:rPr>
          <w:rFonts w:eastAsia="Calibri"/>
          <w:b w:val="false"/>
          <w:bCs w:val="false"/>
          <w:i/>
          <w:sz w:val="24"/>
          <w:szCs w:val="24"/>
          <w:lang w:eastAsia="x-none"/>
        </w:rPr>
        <w:t xml:space="preserve">Черекская  </w:t>
      </w:r>
      <w:r>
        <w:rPr>
          <w:b w:val="false"/>
          <w:bCs w:val="false"/>
          <w:i/>
          <w:iCs/>
          <w:sz w:val="24"/>
          <w:szCs w:val="24"/>
        </w:rPr>
        <w:t>ГЭС</w:t>
      </w:r>
      <w:r>
        <w:rPr>
          <w:i/>
          <w:iCs/>
          <w:sz w:val="24"/>
          <w:szCs w:val="24"/>
        </w:rPr>
        <w:t xml:space="preserve"> установленной мощностью </w:t>
      </w:r>
      <w:r>
        <w:rPr>
          <w:rFonts w:eastAsia="Calibri" w:cs="Times New Roman"/>
          <w:i/>
          <w:iCs/>
          <w:sz w:val="24"/>
          <w:szCs w:val="24"/>
        </w:rPr>
        <w:t>23,4</w:t>
      </w:r>
      <w:r>
        <w:rPr>
          <w:i/>
          <w:iCs/>
          <w:sz w:val="24"/>
          <w:szCs w:val="24"/>
        </w:rPr>
        <w:t>МВт расположена в Урванском районе КБР, в 0,5 км северо-западнее села Псыгансу в непосредственной близости от сооружений Зарагижской ГЭС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4"/>
          <w:szCs w:val="24"/>
        </w:rPr>
        <w:t xml:space="preserve">Кабардино-Балкарской Республики. Ведена в эксплуатацию в 2025 году и до настоящего времени эксплуатируется непрерывно. Эксплуатирующей организацией </w:t>
      </w: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 xml:space="preserve">Черекской </w:t>
      </w:r>
      <w:r>
        <w:rPr>
          <w:b w:val="false"/>
          <w:bCs w:val="false"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ГЭС является Филиал ПАО «РусГидро» - «Кабардино-Балкарский филиал».</w:t>
      </w:r>
    </w:p>
    <w:p>
      <w:pPr>
        <w:pStyle w:val="ListParagraph"/>
        <w:widowControl w:val="false"/>
        <w:tabs>
          <w:tab w:val="clear" w:pos="720"/>
          <w:tab w:val="left" w:pos="426" w:leader="none"/>
        </w:tabs>
        <w:spacing w:before="120" w:after="120"/>
        <w:ind w:left="0" w:hanging="0"/>
        <w:contextualSpacing/>
        <w:jc w:val="both"/>
        <w:rPr>
          <w:shd w:fill="FFFF00" w:val="clear"/>
        </w:rPr>
      </w:pPr>
      <w:r>
        <w:rPr>
          <w:shd w:fill="FFFF00" w:val="clear"/>
        </w:rPr>
      </w:r>
    </w:p>
    <w:p>
      <w:pPr>
        <w:pStyle w:val="ListParagraph"/>
        <w:widowControl w:val="false"/>
        <w:tabs>
          <w:tab w:val="clear" w:pos="720"/>
          <w:tab w:val="left" w:pos="426" w:leader="none"/>
        </w:tabs>
        <w:spacing w:before="120" w:after="120"/>
        <w:contextualSpacing/>
        <w:jc w:val="both"/>
        <w:rPr>
          <w:highlight w:val="none"/>
          <w:shd w:fill="FFFF00" w:val="clear"/>
        </w:rPr>
      </w:pPr>
      <w:r>
        <w:rPr>
          <w:i/>
          <w:shd w:fill="FFFF00" w:val="clear"/>
          <w:lang w:eastAsia="x-none"/>
        </w:rPr>
        <w:t xml:space="preserve"> </w:t>
      </w:r>
    </w:p>
    <w:p>
      <w:pPr>
        <w:pStyle w:val="Normal"/>
        <w:jc w:val="both"/>
        <w:rPr>
          <w:rFonts w:eastAsia="Calibri"/>
          <w:i/>
          <w:i/>
          <w:sz w:val="24"/>
          <w:szCs w:val="24"/>
        </w:rPr>
      </w:pPr>
      <w:r>
        <w:rPr>
          <w:b/>
          <w:i/>
          <w:lang w:eastAsia="x-none"/>
        </w:rPr>
        <w:t xml:space="preserve">     </w:t>
      </w:r>
      <w:r>
        <w:rPr>
          <w:b/>
          <w:i/>
          <w:lang w:eastAsia="x-none"/>
        </w:rPr>
        <w:t>Основание на закупку:</w:t>
      </w:r>
      <w:r>
        <w:rPr>
          <w:i/>
          <w:lang w:eastAsia="x-none"/>
        </w:rPr>
        <w:t xml:space="preserve"> </w:t>
      </w:r>
      <w:r>
        <w:rPr>
          <w:rFonts w:eastAsia="Calibri"/>
          <w:i/>
          <w:sz w:val="24"/>
          <w:szCs w:val="24"/>
        </w:rPr>
        <w:t xml:space="preserve"> Среднесрочная Производственная программа ТО 2025-2030 гг. Филиала.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12"/>
          <w:szCs w:val="12"/>
          <w:lang w:eastAsia="x-none"/>
        </w:rPr>
      </w:pPr>
      <w:r>
        <w:rPr>
          <w:rFonts w:eastAsia="Calibri"/>
          <w:i/>
          <w:sz w:val="12"/>
          <w:szCs w:val="12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</w:rPr>
      </w:pPr>
      <w:bookmarkStart w:id="10" w:name="_Toc51339693"/>
      <w:bookmarkStart w:id="11" w:name="_Toc198203036"/>
      <w:bookmarkStart w:id="12" w:name="_Toc46743510"/>
      <w:bookmarkStart w:id="13" w:name="_Toc50125126"/>
      <w:bookmarkEnd w:id="12"/>
      <w:bookmarkEnd w:id="13"/>
      <w:r>
        <w:rPr>
          <w:iCs/>
        </w:rPr>
        <w:t>Требования к продукции</w:t>
      </w:r>
      <w:bookmarkEnd w:id="10"/>
      <w:bookmarkEnd w:id="11"/>
    </w:p>
    <w:p>
      <w:pPr>
        <w:pStyle w:val="Normal"/>
        <w:rPr>
          <w:sz w:val="12"/>
          <w:szCs w:val="12"/>
          <w:lang w:val="x-none" w:eastAsia="x-none"/>
        </w:rPr>
      </w:pPr>
      <w:r>
        <w:rPr>
          <w:sz w:val="12"/>
          <w:szCs w:val="12"/>
          <w:lang w:val="x-none"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14" w:name="_Toc19820303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Normal"/>
        <w:numPr>
          <w:ilvl w:val="2"/>
          <w:numId w:val="3"/>
        </w:numPr>
        <w:rPr>
          <w:b/>
          <w:bCs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</w:p>
    <w:p>
      <w:pPr>
        <w:pStyle w:val="Normal"/>
        <w:ind w:left="122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15" w:name="_Toc51339695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Таблица 1.1 Перечень </w:t>
      </w:r>
      <w:bookmarkEnd w:id="15"/>
      <w:r>
        <w:rPr>
          <w:sz w:val="24"/>
          <w:szCs w:val="24"/>
        </w:rPr>
        <w:t>и объем закупаемой продукции</w:t>
      </w:r>
    </w:p>
    <w:tbl>
      <w:tblPr>
        <w:tblW w:w="1013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45"/>
        <w:gridCol w:w="4743"/>
        <w:gridCol w:w="1305"/>
        <w:gridCol w:w="1862"/>
        <w:gridCol w:w="1477"/>
      </w:tblGrid>
      <w:tr>
        <w:trPr>
          <w:trHeight w:val="411" w:hRule="atLeast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98" w:hRule="atLeast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214" w:hRule="atLeast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>
                <w:lang w:val="en-US"/>
              </w:rPr>
              <w:t xml:space="preserve">  </w:t>
            </w:r>
            <w:r>
              <w:rPr/>
              <w:t>1.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6"/>
                <w:szCs w:val="26"/>
                <w:u w:val="none"/>
                <w:em w:val="none"/>
              </w:rPr>
              <w:t xml:space="preserve">огружной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насос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«Иртыш» РФ2 80/140.134-20-5,5/2-106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ru-RU" w:bidi="ar-SA"/>
              </w:rPr>
              <w:t>шт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Преимущество Российской продукции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1224" w:hanging="0"/>
        <w:rPr>
          <w:sz w:val="12"/>
          <w:szCs w:val="12"/>
        </w:rPr>
      </w:pPr>
      <w:r>
        <w:rPr>
          <w:sz w:val="12"/>
          <w:szCs w:val="12"/>
        </w:rPr>
      </w:r>
      <w:bookmarkStart w:id="16" w:name="_Toc198203038"/>
      <w:bookmarkStart w:id="17" w:name="_Toc198203038"/>
      <w:bookmarkEnd w:id="17"/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>
      <w:pPr>
        <w:pStyle w:val="Heading1"/>
        <w:keepLines/>
        <w:tabs>
          <w:tab w:val="clear" w:pos="0"/>
        </w:tabs>
        <w:spacing w:before="240" w:after="60"/>
        <w:ind w:left="142" w:hanging="0"/>
        <w:rPr>
          <w:sz w:val="24"/>
          <w:szCs w:val="24"/>
          <w:lang w:val="ru-RU"/>
        </w:rPr>
      </w:pPr>
      <w:bookmarkStart w:id="18" w:name="_Toc198203040"/>
      <w:bookmarkStart w:id="19" w:name="_Toc50125127"/>
      <w:bookmarkStart w:id="20" w:name="_Toc5133969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9922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5"/>
        <w:gridCol w:w="4535"/>
        <w:gridCol w:w="2175"/>
        <w:gridCol w:w="2496"/>
      </w:tblGrid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-244" w:hanging="3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 xml:space="preserve">Погружной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насос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«Иртыш» РФ2 80/140.134-20-5,5/2-106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val="en-US"/>
              </w:rPr>
              <w:t>с даты подписания договора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 xml:space="preserve">по  </w:t>
            </w:r>
            <w:r>
              <w:rPr>
                <w:i w:val="false"/>
                <w:iCs w:val="false"/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.</w:t>
            </w:r>
            <w:r>
              <w:rPr>
                <w:i w:val="false"/>
                <w:iCs w:val="false"/>
                <w:color w:val="000000"/>
                <w:sz w:val="24"/>
                <w:szCs w:val="24"/>
                <w:lang w:val="en-US"/>
              </w:rPr>
              <w:t>09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.2026г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02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tabs>
          <w:tab w:val="clear" w:pos="0"/>
        </w:tabs>
        <w:ind w:left="432" w:hanging="0"/>
        <w:rPr/>
      </w:pPr>
      <w:r>
        <w:rPr/>
      </w:r>
      <w:bookmarkStart w:id="23" w:name="_Toc51339698"/>
      <w:bookmarkStart w:id="24" w:name="_Toc198203041"/>
      <w:bookmarkStart w:id="25" w:name="_Toc754465801"/>
      <w:bookmarkStart w:id="26" w:name="_Toc51339698"/>
      <w:bookmarkStart w:id="27" w:name="_Toc198203041"/>
      <w:bookmarkStart w:id="28" w:name="_Toc754465801"/>
      <w:bookmarkEnd w:id="28"/>
    </w:p>
    <w:p>
      <w:pPr>
        <w:pStyle w:val="Heading4"/>
        <w:numPr>
          <w:ilvl w:val="1"/>
          <w:numId w:val="3"/>
        </w:numPr>
        <w:rPr/>
      </w:pPr>
      <w:bookmarkStart w:id="29" w:name="_Toc46743511"/>
      <w:r>
        <w:rPr/>
        <w:t xml:space="preserve">Требования к </w:t>
      </w:r>
      <w:bookmarkEnd w:id="29"/>
      <w:r>
        <w:rPr>
          <w:lang w:val="ru-RU"/>
        </w:rPr>
        <w:t>качеству продукции</w:t>
      </w:r>
      <w:bookmarkEnd w:id="2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19820304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0"/>
      <w:r>
        <w:rPr>
          <w:sz w:val="24"/>
          <w:szCs w:val="24"/>
        </w:rPr>
        <w:t xml:space="preserve"> </w:t>
      </w:r>
      <w:bookmarkEnd w:id="26"/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Style w:val="affff7"/>
        <w:tblW w:w="1514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916"/>
        <w:gridCol w:w="3953"/>
        <w:gridCol w:w="6"/>
        <w:gridCol w:w="3089"/>
        <w:gridCol w:w="2638"/>
        <w:gridCol w:w="2268"/>
        <w:gridCol w:w="2271"/>
      </w:tblGrid>
      <w:tr>
        <w:trPr/>
        <w:tc>
          <w:tcPr>
            <w:tcW w:w="916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953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95" w:type="dxa"/>
            <w:gridSpan w:val="2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06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1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95" w:type="dxa"/>
            <w:gridSpan w:val="2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7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459" w:hanging="567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 xml:space="preserve">Погружной </w:t>
            </w: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насос </w:t>
            </w: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«Иртыш»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80/140.134-20-5,5/2-106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Исполнение электродвигателя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базовый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Объект применения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Для перекачки сточных вод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Подача,м3/ч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60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Номинальный диаметр напорного патрубка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80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Номинальный диаметр рабочего колеса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140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1.1.6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Фактический диаметр рабочего колеса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134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459" w:hanging="567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Мощность потребляемая насосом(макс),кВТ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5,5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Частота вращения, об/мин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2850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КПД,%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72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Степень защиты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IP68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Максимальная глубина погружения,м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Перекачиваемая среда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вода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Масса, кг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116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1.3.1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эксплуатации,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1.3.2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Срок службы 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1.3.3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Максимальная температура перекачиваемой среды не более,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1.3.4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Количество пусков в час, макс.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1.5.2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Температура перекачиваемой жидкости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от+10до+60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1.5.3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Количество пусков в час, макс.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13" w:hanging="0"/>
              <w:contextualSpacing/>
              <w:jc w:val="left"/>
              <w:rPr>
                <w:b/>
                <w:bCs/>
                <w:lang w:eastAsia="x-none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kern w:val="0"/>
                <w:lang w:val="ru-RU" w:eastAsia="x-none" w:bidi="ar-SA"/>
              </w:rPr>
              <w:t>2.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Liberation Serif" w:hAnsi="Liberation Serif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поставляемой продукцией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BodyText1"/>
              <w:widowControl w:val="false"/>
              <w:suppressAutoHyphens w:val="true"/>
              <w:spacing w:before="0" w:after="12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BodyText1"/>
              <w:widowControl w:val="false"/>
              <w:numPr>
                <w:ilvl w:val="0"/>
                <w:numId w:val="8"/>
              </w:numPr>
              <w:suppressAutoHyphens w:val="true"/>
              <w:spacing w:before="0" w:after="12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Акты приемки продукции ОТК завода-изготовителя;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316" w:hanging="316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Паспорта на изделие, сертификаты на использованные материалы (бумажный вид, электронный вид) – 1 экз.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13" w:hanging="0"/>
              <w:contextualSpacing/>
              <w:jc w:val="left"/>
              <w:rPr>
                <w:b/>
                <w:bCs/>
                <w:lang w:eastAsia="x-none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kern w:val="0"/>
                <w:lang w:val="ru-RU" w:eastAsia="x-none" w:bidi="ar-SA"/>
              </w:rPr>
              <w:t>3.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Liberation Serif" w:hAnsi="Liberation Serif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3.1.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(склад Заказчика)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КБР, Чегемский район, 9 км ж/д станции «Нартан», Производственно-строительная база филиала ПАО «РусГидро» – «Кабардино-Балкарский филиал».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3.2.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упаковке и доставке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11" w:leader="none"/>
              </w:tabs>
              <w:suppressAutoHyphens w:val="true"/>
              <w:spacing w:before="0" w:after="0"/>
              <w:ind w:left="113" w:firstLine="227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Поставляемая продукция должна быть  упакована и защищена надлежащим образом для транспортировки. Способ упаковки продукции должен гарантировать, что   продукция не будет повреждена, деформирована или утеряна во время транспортировки.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11" w:leader="none"/>
              </w:tabs>
              <w:suppressAutoHyphens w:val="true"/>
              <w:spacing w:before="0" w:after="0"/>
              <w:ind w:left="113" w:firstLine="227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экстремальных температур, осадков во время транспортировки, а также открытого хранения. Поставщик несёт ответственность за качество упаковки.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11" w:leader="none"/>
              </w:tabs>
              <w:suppressAutoHyphens w:val="true"/>
              <w:spacing w:before="0" w:after="0"/>
              <w:ind w:left="113" w:firstLine="113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Поставляемая продукция должна быть доставлена в промаркированных ящиках, способных выдержать длительное хранение (в соответствии с требованиями ГОСТ 9.014-78 и ГОСТ 15150-69).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283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283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Поставка производится на склад Заказчика.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283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Стоимость тары и упаковки включена в Цену Договора. Тара и упаковка возврату не подлежат.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397"/>
              <w:contextualSpacing w:val="false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Поставляемая продукция должна быть новой и ранее не использованной.</w:t>
            </w:r>
          </w:p>
          <w:p>
            <w:pPr>
              <w:pStyle w:val="BodyText1"/>
              <w:widowControl w:val="false"/>
              <w:numPr>
                <w:ilvl w:val="0"/>
                <w:numId w:val="9"/>
              </w:numPr>
              <w:suppressAutoHyphens w:val="true"/>
              <w:spacing w:before="0" w:after="12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Наличие страховки грузов до места доставки всего поставляемого оборудования от утери, от порчи. </w:t>
            </w:r>
            <w:r>
              <w:rPr>
                <w:rFonts w:eastAsia="Times New Roman" w:cs="Times New Roman" w:ascii="Liberation Serif" w:hAnsi="Liberation Serif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  <w:t>Поставляемые материалы должны быть укомплектованы следующей документацией: Документы о качестве(сертификаты, паспорта) примененных материалов и оборудования; Акты приемки продукций ОТК завода-изготовителя. Срок гарантии поставщика не менее 12месяцев.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57" w:firstLine="454"/>
              <w:contextualSpacing w:val="false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Поставщик гарантирует замену утерянного, поврежденного при транспортировке или выбракованного при первичном осмотре оборудования. Стоимость страховки грузов до места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b/>
                <w:bCs/>
                <w:lang w:eastAsia="x-none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kern w:val="0"/>
                <w:lang w:val="ru-RU" w:eastAsia="x-none" w:bidi="ar-SA"/>
              </w:rPr>
              <w:t>4.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4.1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участникам закупки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Участвовать в закупке может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июля 2022 года № 255-ФЗ  «О контроле за деятельностью лиц, находящихся под иностранным влиянием».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4.2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Для продукции, в отношении которой подлежит применению законодательство о национальном режиме в соответствии с требованием столбца 4 Таблицы 1.1. «Перечень и объем закупаемой продукции» настоящих технических требований, информацией и документами, подтверждающими страну происхождения, являются: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- номер реестровой записи из евразийского реестра промышленных товаров государств-членов Евразийского экономического союза, порядок формирования и ведения которого устанавливается правом Евразийского экономического союза.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1" w:name="_Toc198203043"/>
      <w:bookmarkStart w:id="32" w:name="_Toc46743519"/>
      <w:bookmarkStart w:id="33" w:name="_Toc51339699"/>
      <w:bookmarkEnd w:id="32"/>
      <w:bookmarkEnd w:id="33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1"/>
    </w:p>
    <w:p>
      <w:pPr>
        <w:pStyle w:val="Normal"/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предоставить технико-коммерческое предложение, спецификацию поставляемого оборудования соответствующее следующей форме: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4" w:name="_Toc513396991"/>
      <w:bookmarkStart w:id="35" w:name="_Toc467435191"/>
      <w:bookmarkStart w:id="36" w:name="_Toc513396991"/>
      <w:bookmarkStart w:id="37" w:name="_Toc467435191"/>
      <w:bookmarkEnd w:id="36"/>
      <w:bookmarkEnd w:id="37"/>
    </w:p>
    <w:p>
      <w:pPr>
        <w:pStyle w:val="Normal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tbl>
      <w:tblPr>
        <w:tblW w:w="15047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5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>
        <w:trPr>
          <w:trHeight w:val="100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p>
      <w:pPr>
        <w:pStyle w:val="Normal"/>
        <w:rPr>
          <w:sz w:val="22"/>
          <w:szCs w:val="22"/>
        </w:rPr>
      </w:pPr>
      <w:r>
        <w:rPr/>
      </w:r>
    </w:p>
    <w:sectPr>
      <w:headerReference w:type="default" r:id="rId8"/>
      <w:headerReference w:type="first" r:id="rId9"/>
      <w:type w:val="nextPage"/>
      <w:pgSz w:orient="landscape" w:w="16838" w:h="11906"/>
      <w:pgMar w:left="1134" w:right="539" w:gutter="0" w:header="709" w:top="1304" w:footer="0" w:bottom="9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6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20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Bodytext" w:customStyle="1">
    <w:name w:val="Body text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9"/>
      <w:sz w:val="21"/>
      <w:szCs w:val="21"/>
      <w:u w:val="none"/>
    </w:rPr>
  </w:style>
  <w:style w:type="character" w:styleId="23" w:customStyle="1">
    <w:name w:val="Основной текст2"/>
    <w:basedOn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9"/>
      <w:w w:val="100"/>
      <w:sz w:val="21"/>
      <w:szCs w:val="21"/>
      <w:u w:val="none"/>
      <w:lang w:val="ru-RU"/>
    </w:rPr>
  </w:style>
  <w:style w:type="character" w:styleId="Bodytext75ptSmallCaps" w:customStyle="1">
    <w:name w:val="Body text + 7;5 pt;Small Caps"/>
    <w:basedOn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smallCaps/>
      <w:strike w:val="false"/>
      <w:dstrike w:val="false"/>
      <w:color w:val="000000"/>
      <w:spacing w:val="9"/>
      <w:w w:val="100"/>
      <w:sz w:val="15"/>
      <w:szCs w:val="15"/>
      <w:u w:val="none"/>
      <w:lang w:val="en-US"/>
    </w:rPr>
  </w:style>
  <w:style w:type="character" w:styleId="WW8Num9z0" w:customStyle="1">
    <w:name w:val="WW8Num9z0"/>
    <w:qFormat/>
    <w:rPr>
      <w:rFonts w:ascii="Symbol" w:hAnsi="Symbol" w:cs="Symbol"/>
    </w:rPr>
  </w:style>
  <w:style w:type="paragraph" w:styleId="Style15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1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14" w:customStyle="1">
    <w:name w:val="Заголовок1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4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42" w:customStyle="1">
    <w:name w:val="Основной текст4"/>
    <w:basedOn w:val="Normal"/>
    <w:qFormat/>
    <w:pPr>
      <w:shd w:val="clear" w:color="auto" w:fill="FFFFFF"/>
      <w:spacing w:lineRule="exact" w:line="274" w:before="60" w:after="240"/>
      <w:ind w:hanging="260"/>
      <w:jc w:val="right"/>
    </w:pPr>
    <w:rPr>
      <w:spacing w:val="9"/>
      <w:sz w:val="21"/>
      <w:szCs w:val="21"/>
    </w:rPr>
  </w:style>
  <w:style w:type="paragraph" w:styleId="111" w:customStyle="1">
    <w:name w:val="Без интервала1"/>
    <w:basedOn w:val="Normal"/>
    <w:qFormat/>
    <w:pPr>
      <w:spacing w:lineRule="atLeast" w:line="100"/>
    </w:pPr>
    <w:rPr>
      <w:rFonts w:eastAsia="Calibri"/>
      <w:szCs w:val="24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WW8Num9" w:customStyle="1">
    <w:name w:val="WW8Num9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5B89-4EB1-46E6-97C5-DA1350F7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Application>AlterOffice/3.4.0.9$Linux_X86_64 LibreOffice_project/b8daf9e823b1a5463a2f48435ddc2e8696e7d4fc</Application>
  <AppVersion>15.0000</AppVersion>
  <Pages>12</Pages>
  <Words>1176</Words>
  <Characters>8285</Characters>
  <CharactersWithSpaces>9352</CharactersWithSpaces>
  <Paragraphs>255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2025-05-15T09:18:00Z</dcterms:created>
  <dc:creator>Быстров Олег Геннадьевич</dc:creator>
  <dc:description/>
  <dc:language>ru-RU</dc:language>
  <cp:lastModifiedBy>kharkizovra@corp.gidroogk.com</cp:lastModifiedBy>
  <cp:lastPrinted>2026-07-23T13:49:39Z</cp:lastPrinted>
  <dcterms:modified xsi:type="dcterms:W3CDTF">2026-07-27T16:56:19Z</dcterms:modified>
  <cp:revision>98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