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</w:t>
      </w:r>
      <w:r>
        <w:rPr>
          <w:rFonts w:eastAsia="Calibri"/>
          <w:b/>
          <w:sz w:val="26"/>
          <w:szCs w:val="26"/>
          <w:shd w:fill="auto" w:val="clear"/>
        </w:rPr>
        <w:t>49.42.19.000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>«</w:t>
      </w:r>
      <w:r>
        <w:rPr>
          <w:rFonts w:eastAsia="Times New Roman" w:cs="Times New Roman"/>
          <w:b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Капитальный ремонт турбины ст. №13 Жигулевской ГЭС, </w:t>
      </w:r>
    </w:p>
    <w:p>
      <w:pPr>
        <w:pStyle w:val="Normal"/>
        <w:bidi w:val="0"/>
        <w:jc w:val="center"/>
        <w:rPr>
          <w:highlight w:val="none"/>
          <w:shd w:fill="auto" w:val="clear"/>
        </w:rPr>
      </w:pPr>
      <w:r>
        <w:rPr>
          <w:rFonts w:eastAsia="Times New Roman" w:cs="Times New Roman"/>
          <w:b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в части транспортировки корпуса и деталей рабочего колеса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000000"/>
          <w:kern w:val="0"/>
          <w:sz w:val="24"/>
          <w:szCs w:val="24"/>
          <w:shd w:fill="auto" w:val="clear"/>
          <w:lang w:val="ru-RU" w:eastAsia="ru-RU" w:bidi="ar-SA"/>
        </w:rPr>
        <w:t>с АО «ТЯЖМАШ» в филиал ПАО «РусГидро» - «Жигулёвская ГЭС»».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№___________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4912400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0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сокращения…………………………………………………………………………………..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0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продукции………………………………………………………………………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0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оказания услуг…………………………………………………………………………………………..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05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Существующее положение…………………………………………………………………………………...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widowControl/>
            <w:tabs>
              <w:tab w:val="clear" w:pos="708"/>
              <w:tab w:val="right" w:pos="9911" w:leader="dot"/>
            </w:tabs>
            <w:suppressAutoHyphens w:val="true"/>
            <w:bidi w:val="0"/>
            <w:spacing w:before="120" w:after="0"/>
            <w:jc w:val="left"/>
            <w:rPr>
              <w:rFonts w:ascii="Times New Roman" w:hAnsi="Times New Roman" w:eastAsia="Times New Roman" w:cs="Calibri Light (Заголовки)"/>
              <w:b w:val="false"/>
              <w:bCs w:val="false"/>
              <w:vanish w:val="false"/>
              <w:color w:val="auto"/>
              <w:kern w:val="0"/>
              <w:lang w:val="ru-RU" w:eastAsia="ru-RU" w:bidi="ar-SA"/>
            </w:rPr>
          </w:pPr>
          <w:r>
            <w:rPr>
              <w:rFonts w:eastAsia="Times New Roman" w:cs="Calibri Light (Заголовки)"/>
              <w:b w:val="false"/>
              <w:bCs w:val="false"/>
              <w:vanish w:val="false"/>
              <w:color w:val="auto"/>
              <w:kern w:val="0"/>
              <w:lang w:val="ru-RU" w:eastAsia="ru-RU" w:bidi="ar-SA"/>
            </w:rPr>
            <w:t>Таблица 1. Перечень объектов заказчика</w:t>
            <w:tab/>
            <w:t>4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07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договора)………………………………………………………………………………………………………………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5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19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Иные требования и сведения общего характера……………………………………………………………</w:t>
            </w:r>
          </w:hyperlink>
          <w:r>
            <w:rPr/>
            <w:t>.</w:t>
          </w:r>
          <w:hyperlink w:anchor="_Toc149124023">
            <w:r>
              <w:rPr>
                <w:webHidden/>
                <w:rStyle w:val="Style14"/>
                <w:rFonts w:eastAsia="Times New Roman" w:cs="Calibri Light (Заголовки)"/>
                <w:b w:val="false"/>
                <w:bCs w:val="false"/>
                <w:vanish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ab/>
            </w:r>
          </w:hyperlink>
          <w:hyperlink w:anchor="_Toc14912401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_Toc149124019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9124020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21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оказания услуг……………………………………………………………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6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22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vanish w:val="false"/>
                <w:sz w:val="22"/>
                <w:szCs w:val="22"/>
              </w:rPr>
              <w:tab/>
            </w:r>
            <w:r>
              <w:rPr>
                <w:rStyle w:val="Style14"/>
                <w:vanish w:val="false"/>
              </w:rPr>
              <w:t>Требования к перечню и объему услуг</w:t>
              <w:tab/>
            </w:r>
          </w:hyperlink>
          <w:r>
            <w:rPr>
              <w:vanish w:val="false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9124023">
            <w:r>
              <w:rPr>
                <w:webHidden/>
                <w:rStyle w:val="Style14"/>
                <w:rFonts w:eastAsia="Times New Roman" w:cs="Calibri Light (Заголовки)"/>
                <w:b w:val="false"/>
                <w:bCs w:val="false"/>
                <w:vanish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Таблица 2. Перечень и объем оказываемых услуг</w:t>
              <w:tab/>
            </w:r>
          </w:hyperlink>
          <w:r>
            <w:rPr>
              <w:b w:val="false"/>
              <w:bCs w:val="false"/>
              <w:vanish w:val="false"/>
            </w:rPr>
            <w:t>6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24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912402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b w:val="false"/>
                <w:bCs w:val="false"/>
                <w:vanish w:val="false"/>
              </w:rPr>
              <w:t>Таблица 3. Требования к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26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услуг…………………………………………………………………………………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912402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eastAsia="Times New Roman" w:cs="Calibri Light (Заголовки)"/>
                <w:b w:val="false"/>
                <w:bCs w:val="false"/>
                <w:vanish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Таблица 4. 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9124028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..13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4912400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149124002"/>
      <w:r>
        <w:rPr/>
        <w:t>Обозначения и сокращения</w:t>
      </w:r>
      <w:bookmarkEnd w:id="1"/>
      <w:bookmarkEnd w:id="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 xml:space="preserve">гидроэлектростанция 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гидроагрегат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РК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рабочее колесо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46743506"/>
      <w:bookmarkStart w:id="4" w:name="_Toc149124003"/>
      <w:r>
        <w:rPr/>
        <w:t>Наименование закупаемой продукции</w:t>
      </w:r>
      <w:bookmarkEnd w:id="3"/>
      <w:bookmarkEnd w:id="4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ОКП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Д2 49.42.19.000 «Капитальный ремонт турбины ст. №13 Жигулевской ГЭС, в части транспортировки корпуса и деталей рабочего колеса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с АО «ТЯЖМАШ» в филиал                  ПАО «РусГидро» - «Жигулёвская ГЭС»»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Style w:val="Style8"/>
          <w:b/>
          <w:lang w:val="ru-RU"/>
        </w:rPr>
      </w:pPr>
      <w:bookmarkStart w:id="5" w:name="_Toc149124004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>Перевозка корпуса и деталей</w:t>
      </w:r>
      <w:r>
        <w:rPr>
          <w:rFonts w:eastAsia="Times New Roman" w:cs="Times New Roman"/>
          <w:kern w:val="0"/>
          <w:sz w:val="24"/>
          <w:szCs w:val="24"/>
          <w:shd w:fill="auto" w:val="clear"/>
          <w:lang w:val="ru-RU" w:eastAsia="ru-RU" w:bidi="ar-SA"/>
        </w:rPr>
        <w:t xml:space="preserve"> РК </w:t>
      </w:r>
      <w:r>
        <w:rPr>
          <w:sz w:val="24"/>
          <w:szCs w:val="24"/>
          <w:shd w:fill="auto" w:val="clear"/>
        </w:rPr>
        <w:t>гидроагрегата ст.№13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fill="auto" w:val="clear"/>
        </w:rPr>
        <w:t xml:space="preserve">в филиал ПАО «РусГидро» - «Жигулёвская ГЭС»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после</w:t>
      </w:r>
      <w:r>
        <w:rPr>
          <w:sz w:val="24"/>
          <w:szCs w:val="24"/>
          <w:shd w:fill="auto" w:val="clear"/>
        </w:rPr>
        <w:t xml:space="preserve"> капитального ремонта на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АО «ТЯЖМАШ» в</w:t>
      </w:r>
      <w:r>
        <w:rPr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г. Жигулёвск</w:t>
      </w:r>
      <w:r>
        <w:rPr>
          <w:sz w:val="24"/>
          <w:szCs w:val="24"/>
          <w:shd w:fill="auto" w:val="clear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7" w:name="_Toc149124005"/>
      <w:bookmarkStart w:id="8" w:name="_Toc46743508"/>
      <w:r>
        <w:rPr/>
        <w:t>Существующее положение</w:t>
      </w:r>
      <w:bookmarkEnd w:id="7"/>
      <w:bookmarkEnd w:id="8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2026-27 гг на филиале ПАО «РусГидро» - «Жигулёвская ГЭС» запланирован капитальный ремонт гидроагрегата ст.№13 с переводом гидротурбины в поворотно-лопастной режим работы.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После проведенного ремонта корпуса РК, днища РК и крестовины РК в заводских условиях на АО «ТЯЖМАШ» в г. Сызрань необходимо выполнить обратную транспортировку в филиал ПАО «РусГидро» - «Жигулёвская ГЭС».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 w:val="false"/>
          <w:bCs w:val="false"/>
        </w:rPr>
      </w:pPr>
      <w:bookmarkStart w:id="9" w:name="_Toc149124006"/>
      <w:r>
        <w:rPr>
          <w:b w:val="false"/>
          <w:bCs w:val="false"/>
          <w:sz w:val="24"/>
          <w:szCs w:val="24"/>
        </w:rPr>
        <w:t>Таблица 1</w:t>
      </w:r>
      <w:r>
        <w:rPr>
          <w:b w:val="false"/>
          <w:bCs w:val="false"/>
          <w:sz w:val="24"/>
          <w:szCs w:val="24"/>
          <w:lang w:val="ru-RU"/>
        </w:rPr>
        <w:t>.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Перечень объектов заказчика</w:t>
      </w:r>
      <w:bookmarkEnd w:id="9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41"/>
        <w:gridCol w:w="2147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 xml:space="preserve">Корпус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РК 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</w:t>
            </w:r>
            <w:r>
              <w:rPr>
                <w:iCs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днище РК</w:t>
            </w:r>
            <w:r>
              <w:rPr>
                <w:iCs/>
                <w:sz w:val="24"/>
                <w:szCs w:val="24"/>
                <w:shd w:fill="auto" w:val="clear"/>
              </w:rPr>
              <w:t xml:space="preserve"> и крестовина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РК </w:t>
            </w:r>
            <w:r>
              <w:rPr>
                <w:iCs/>
                <w:sz w:val="24"/>
                <w:szCs w:val="24"/>
                <w:shd w:fill="auto" w:val="clear"/>
              </w:rPr>
              <w:t>гидроагрегата ст.№13.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ПАО «РусГидро»-«Жигулевская ГЭС»,  Российская Федерация, Самарская обл.,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Жигулевск,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Московское шоссе, д.2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Турбина гидравлическая поворотно-лопастная осевая ПЛ 30/877-В-930 ст. №13 (Номер ОС: ЖГ002489)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нет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10" w:name="_Toc149124007"/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0"/>
    </w:p>
    <w:p>
      <w:pPr>
        <w:pStyle w:val="ListParagraph"/>
        <w:keepNext w:val="true"/>
        <w:numPr>
          <w:ilvl w:val="0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12" w:name="_Hlk48209761"/>
      <w:bookmarkStart w:id="13" w:name="_Toc149124008"/>
      <w:bookmarkStart w:id="14" w:name="_Toc149057440"/>
      <w:bookmarkStart w:id="15" w:name="_Hlk48209761"/>
      <w:bookmarkStart w:id="16" w:name="_Toc149124008"/>
      <w:bookmarkStart w:id="17" w:name="_Toc149057440"/>
      <w:bookmarkEnd w:id="15"/>
      <w:bookmarkEnd w:id="16"/>
      <w:bookmarkEnd w:id="17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18" w:name="_Toc149124009"/>
      <w:bookmarkStart w:id="19" w:name="_Toc149057441"/>
      <w:bookmarkStart w:id="20" w:name="_Toc149124009"/>
      <w:bookmarkStart w:id="21" w:name="_Toc149057441"/>
      <w:bookmarkEnd w:id="20"/>
      <w:bookmarkEnd w:id="21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22" w:name="_Toc149057442"/>
      <w:bookmarkStart w:id="23" w:name="_Toc149124010"/>
      <w:bookmarkStart w:id="24" w:name="_Toc149057442"/>
      <w:bookmarkStart w:id="25" w:name="_Toc149124010"/>
      <w:bookmarkEnd w:id="24"/>
      <w:bookmarkEnd w:id="25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26" w:name="_Toc149124011"/>
      <w:bookmarkStart w:id="27" w:name="_Toc149057443"/>
      <w:bookmarkStart w:id="28" w:name="_Toc149124011"/>
      <w:bookmarkStart w:id="29" w:name="_Toc149057443"/>
      <w:bookmarkEnd w:id="28"/>
      <w:bookmarkEnd w:id="29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30" w:name="_Toc149124012"/>
      <w:bookmarkStart w:id="31" w:name="_Toc149057444"/>
      <w:bookmarkStart w:id="32" w:name="_Toc149124012"/>
      <w:bookmarkStart w:id="33" w:name="_Toc149057444"/>
      <w:bookmarkEnd w:id="32"/>
      <w:bookmarkEnd w:id="33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34" w:name="_Toc149124013"/>
      <w:bookmarkStart w:id="35" w:name="_Toc149057445"/>
      <w:bookmarkStart w:id="36" w:name="_Toc149124013"/>
      <w:bookmarkStart w:id="37" w:name="_Toc149057445"/>
      <w:bookmarkEnd w:id="36"/>
      <w:bookmarkEnd w:id="37"/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>
          <w:rFonts w:ascii="Times New Roman" w:hAnsi="Times New Roman" w:eastAsia="Calibri" w:cs="Times New Roman"/>
          <w:b w:val="false"/>
          <w:color w:val="auto"/>
          <w:kern w:val="0"/>
          <w:sz w:val="24"/>
          <w:szCs w:val="24"/>
          <w:lang w:val="x-none" w:eastAsia="x-none" w:bidi="ar-SA"/>
        </w:rPr>
      </w:pPr>
      <w:bookmarkStart w:id="38" w:name="_Toc149124014"/>
      <w:bookmarkStart w:id="39" w:name="_Toc149057446"/>
      <w:r>
        <w:rPr>
          <w:rFonts w:eastAsia="Calibri" w:cs="Times New Roman"/>
          <w:b w:val="false"/>
          <w:color w:val="auto"/>
          <w:kern w:val="0"/>
          <w:sz w:val="24"/>
          <w:szCs w:val="24"/>
          <w:lang w:val="x-none" w:eastAsia="x-none" w:bidi="ar-SA"/>
        </w:rPr>
        <w:t xml:space="preserve">Заказчик планирует перевезти негабаритный груз в соответствии с табл. 1 настоящих Технических требований. </w:t>
      </w:r>
      <w:bookmarkEnd w:id="38"/>
      <w:bookmarkEnd w:id="39"/>
      <w:r>
        <w:rPr>
          <w:rFonts w:eastAsia="Calibri" w:cs="Times New Roman"/>
          <w:b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Перевозку груза, указанного в</w:t>
      </w:r>
      <w:r>
        <w:rPr>
          <w:rFonts w:eastAsia="Calibri" w:cs="Times New Roman"/>
          <w:b w:val="false"/>
          <w:color w:val="000000"/>
          <w:kern w:val="0"/>
          <w:sz w:val="24"/>
          <w:szCs w:val="24"/>
          <w:shd w:fill="auto" w:val="clear"/>
          <w:lang w:val="x-none" w:eastAsia="x-none" w:bidi="ar-SA"/>
        </w:rPr>
        <w:t xml:space="preserve"> </w:t>
      </w:r>
      <w:r>
        <w:rPr>
          <w:rFonts w:eastAsia="Calibri" w:cs="Times New Roman"/>
          <w:b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 xml:space="preserve">табл. 1 возможно выполнять как на одном, так и на двух транспортных средствах. Погрузка груза на транспорт Исполнителя осуществляется силами </w:t>
      </w:r>
      <w:r>
        <w:rPr>
          <w:rFonts w:eastAsia="Times New Roman" w:cs="Times New Roman"/>
          <w:b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АО «ТЯЖМАШ»</w:t>
      </w:r>
      <w:r>
        <w:rPr>
          <w:rFonts w:eastAsia="Calibri" w:cs="Times New Roman"/>
          <w:b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.</w:t>
      </w:r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>
          <w:b w:val="false"/>
        </w:rPr>
      </w:pPr>
      <w:r>
        <w:rPr>
          <w:b w:val="false"/>
        </w:rPr>
        <w:t>И</w:t>
      </w:r>
      <w:bookmarkStart w:id="40" w:name="_Toc149124015"/>
      <w:bookmarkStart w:id="41" w:name="_Toc149057447"/>
      <w:r>
        <w:rPr>
          <w:b w:val="false"/>
        </w:rPr>
        <w:t>сполнитель должен иметь для исполнения договора квалифицированный и аттестованный персонал на каждую единицу техники.</w:t>
      </w:r>
      <w:bookmarkEnd w:id="40"/>
      <w:bookmarkEnd w:id="41"/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/>
      </w:pPr>
      <w:bookmarkStart w:id="42" w:name="_Toc149124016"/>
      <w:bookmarkStart w:id="43" w:name="_Toc149057448"/>
      <w:r>
        <w:rPr>
          <w:b w:val="false"/>
        </w:rPr>
        <w:t>Перевозка негабаритного груза должна осуществляться в соответствии с законодательством РФ.</w:t>
      </w:r>
      <w:bookmarkEnd w:id="42"/>
      <w:bookmarkEnd w:id="43"/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>
          <w:highlight w:val="none"/>
          <w:shd w:fill="auto" w:val="clear"/>
        </w:rPr>
      </w:pPr>
      <w:bookmarkStart w:id="44" w:name="_Toc149124017"/>
      <w:bookmarkStart w:id="45" w:name="_Toc149057449"/>
      <w:r>
        <w:rPr>
          <w:b w:val="false"/>
          <w:shd w:fill="auto" w:val="clear"/>
        </w:rPr>
        <w:t>Перевозка негабаритного груза должна быть согласована  по всему маршруту движения с органами управления автомобильными дорогами, балансодержателями искусственных сооружений и коммуникаций, отделениями железных дорог (мосты, путепроводы, железнодорожные переезды,  подземные трубопроводы и кабели, воздушные линии электроснабжения и</w:t>
      </w:r>
      <w:r>
        <w:rPr>
          <w:b w:val="false"/>
          <w:shd w:fill="auto" w:val="clear"/>
          <w:lang w:val="ru-RU"/>
        </w:rPr>
        <w:t xml:space="preserve"> связи и т.п.), службами, уполномоченными органами субъекта </w:t>
      </w:r>
      <w:r>
        <w:rPr>
          <w:b w:val="false"/>
          <w:shd w:fill="auto" w:val="clear"/>
        </w:rPr>
        <w:t>Российской Федерации или органами местного самоуправления, управлять улично-дорожной сетью городов и других населенных пунктов.</w:t>
      </w:r>
      <w:bookmarkEnd w:id="44"/>
      <w:bookmarkEnd w:id="45"/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>
          <w:highlight w:val="none"/>
          <w:shd w:fill="auto" w:val="clear"/>
        </w:rPr>
      </w:pPr>
      <w:bookmarkStart w:id="46" w:name="_Toc149124018"/>
      <w:bookmarkStart w:id="47" w:name="_Toc149057450"/>
      <w:r>
        <w:rPr>
          <w:b w:val="false"/>
          <w:shd w:fill="auto" w:val="clear"/>
        </w:rPr>
        <w:t>Исполнитель обязан обеспечить диспетчерский контроль за перевозкой негабаритного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незамедлительно информировать Заказчика обо всех случаях задержки транспортных средств, которые повлекли или могут повлечь за собой нарушение срока перевозки, или не обеспечение их сохранности с указанием причин возникновения.</w:t>
      </w:r>
      <w:bookmarkEnd w:id="46"/>
      <w:bookmarkEnd w:id="47"/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/>
      </w:pPr>
      <w:r>
        <w:rPr>
          <w:rStyle w:val="Strong"/>
          <w:rFonts w:eastAsia="Times New Roman" w:cs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Исполнитель обязан в течении 24 часов с момента сообщения о готовности деталей РК к отгрузке прибыть на загрузку в АО «ТЯЖМАШ» по адресу: Российская Федерация, Самарская обл., г. Сызрань, ул. Гидротурбинная, зд. 13 и в течении 48 часов доставить детали РК в Филиал ПАО «РусГидро»-«Жигулевская ГЭС».</w:t>
      </w:r>
    </w:p>
    <w:p>
      <w:pPr>
        <w:pStyle w:val="Normal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</w:r>
    </w:p>
    <w:p>
      <w:pPr>
        <w:pStyle w:val="Heading4"/>
        <w:numPr>
          <w:ilvl w:val="1"/>
          <w:numId w:val="3"/>
        </w:numPr>
        <w:rPr/>
      </w:pPr>
      <w:bookmarkStart w:id="48" w:name="_Toc149124019"/>
      <w:bookmarkStart w:id="49" w:name="_Toc46743510"/>
      <w:bookmarkStart w:id="50" w:name="_Toc50125126"/>
      <w:bookmarkStart w:id="51" w:name="_Hlk48209761_Копия_1"/>
      <w:bookmarkEnd w:id="49"/>
      <w:bookmarkEnd w:id="50"/>
      <w:bookmarkEnd w:id="51"/>
      <w:r>
        <w:rPr/>
        <w:t>Иные требования и сведения общего характера</w:t>
      </w:r>
      <w:bookmarkEnd w:id="48"/>
    </w:p>
    <w:p>
      <w:pPr>
        <w:pStyle w:val="Normal"/>
        <w:jc w:val="both"/>
        <w:rPr>
          <w:sz w:val="24"/>
          <w:szCs w:val="24"/>
          <w:lang w:val="ru-RU"/>
        </w:rPr>
      </w:pPr>
      <w:bookmarkStart w:id="52" w:name="_Toc51339693"/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Транспортировка груза по маршруту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г. Сызрань — г. Жигулёвск в составе: </w:t>
      </w:r>
    </w:p>
    <w:p>
      <w:pPr>
        <w:pStyle w:val="ListParagraph"/>
        <w:numPr>
          <w:ilvl w:val="0"/>
          <w:numId w:val="11"/>
        </w:numPr>
        <w:jc w:val="both"/>
        <w:rPr>
          <w:lang w:val="ru-RU"/>
        </w:rPr>
      </w:pPr>
      <w:r>
        <w:rPr>
          <w:lang w:val="ru-RU"/>
        </w:rPr>
        <w:t xml:space="preserve">корпус </w:t>
      </w:r>
      <w:r>
        <w:rPr>
          <w:rFonts w:eastAsia="Times New Roman" w:cs="Times New Roman"/>
          <w:kern w:val="0"/>
          <w:sz w:val="24"/>
          <w:szCs w:val="24"/>
          <w:lang w:val="ru-RU" w:eastAsia="ru-RU" w:bidi="ar-SA"/>
        </w:rPr>
        <w:t>РК (</w:t>
      </w:r>
      <w:r>
        <w:rPr>
          <w:rFonts w:eastAsia="Times New Roman" w:cs="Times New Roman"/>
          <w:kern w:val="0"/>
          <w:sz w:val="24"/>
          <w:szCs w:val="24"/>
          <w:shd w:fill="auto" w:val="clear"/>
          <w:lang w:val="ru-RU" w:eastAsia="ru-RU" w:bidi="ar-SA"/>
        </w:rPr>
        <w:t xml:space="preserve">в сборе с втулкой направляющей - 1 шт., втулками наружными цапф лопастей - 5 шт., втулками внутренними цапф лопастей - 5 шт.,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цапфами РК - 5 шт., кольцами опорными - 5 шт., рычагами - 5 шт., серьгами - 5 шт., проушинами - 5 шт.</w:t>
      </w:r>
      <w:r>
        <w:rPr>
          <w:rFonts w:eastAsia="Times New Roman" w:cs="Times New Roman"/>
          <w:kern w:val="0"/>
          <w:sz w:val="24"/>
          <w:szCs w:val="24"/>
          <w:shd w:fill="auto" w:val="clear"/>
          <w:lang w:val="ru-RU" w:eastAsia="ru-RU" w:bidi="ar-SA"/>
        </w:rPr>
        <w:t>)</w:t>
      </w:r>
      <w:r>
        <w:rPr>
          <w:lang w:val="ru-RU"/>
        </w:rPr>
        <w:t xml:space="preserve"> </w:t>
      </w:r>
      <w:r>
        <w:rPr>
          <w:rFonts w:eastAsia="Symbol" w:cs="Symbol" w:ascii="Symbol" w:hAnsi="Symbol"/>
          <w:lang w:val="ru-RU"/>
        </w:rPr>
        <w:sym w:font="Symbol" w:char="f0c6"/>
      </w:r>
      <w:r>
        <w:rPr>
          <w:lang w:val="ru-RU"/>
        </w:rPr>
        <w:t xml:space="preserve">4200 мм, Н= </w:t>
      </w:r>
      <w:r>
        <w:rPr>
          <w:shd w:fill="auto" w:val="clear"/>
          <w:lang w:val="ru-RU"/>
        </w:rPr>
        <w:t>3430</w:t>
      </w:r>
      <w:r>
        <w:rPr>
          <w:lang w:val="ru-RU"/>
        </w:rPr>
        <w:t xml:space="preserve"> мм, масса 131 000 кг, восстановительная стоимо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сть: 145 981 271,09 руб.</w:t>
      </w:r>
      <w:r>
        <w:rPr>
          <w:lang w:val="ru-RU"/>
        </w:rPr>
        <w:t>;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>
          <w:lang w:val="ru-RU"/>
        </w:rPr>
        <w:t xml:space="preserve">крестовина </w:t>
      </w:r>
      <w:r>
        <w:rPr>
          <w:rFonts w:eastAsia="Times New Roman" w:cs="Times New Roman"/>
          <w:kern w:val="0"/>
          <w:sz w:val="24"/>
          <w:szCs w:val="24"/>
          <w:lang w:val="ru-RU" w:eastAsia="ru-RU" w:bidi="ar-SA"/>
        </w:rPr>
        <w:t>РК</w:t>
      </w:r>
      <w:r>
        <w:rPr>
          <w:lang w:val="ru-RU"/>
        </w:rPr>
        <w:t xml:space="preserve"> </w:t>
      </w:r>
      <w:r>
        <w:rPr/>
        <w:t>(ДхШхВ) 2850х2850х900 мм, масса 15995 кг,</w:t>
      </w:r>
      <w:r>
        <w:rPr>
          <w:lang w:val="ru-RU"/>
        </w:rPr>
        <w:t xml:space="preserve"> восстановительная стоимость: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 xml:space="preserve"> 17 824 188,20 </w:t>
      </w:r>
      <w:r>
        <w:rPr>
          <w:lang w:val="ru-RU"/>
        </w:rPr>
        <w:t>руб.;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/>
        <w:t>днище РК</w:t>
      </w:r>
      <w:r>
        <w:rPr>
          <w:lang w:val="ru-RU"/>
        </w:rPr>
        <w:t xml:space="preserve"> </w:t>
      </w:r>
      <w:r>
        <w:rPr>
          <w:rFonts w:eastAsia="Symbol" w:cs="Symbol" w:ascii="Symbol" w:hAnsi="Symbol"/>
          <w:lang w:val="ru-RU"/>
        </w:rPr>
        <w:sym w:font="Symbol" w:char="f0c6"/>
      </w:r>
      <w:r>
        <w:rPr>
          <w:lang w:val="ru-RU"/>
        </w:rPr>
        <w:t>3600 мм, Н=</w:t>
      </w:r>
      <w:r>
        <w:rPr/>
        <w:t>1500 мм, масса 9931 кг,</w:t>
      </w:r>
      <w:r>
        <w:rPr>
          <w:lang w:val="ru-RU"/>
        </w:rPr>
        <w:t xml:space="preserve"> восстановительная                     стоимость: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11 066 717,58 р</w:t>
      </w:r>
      <w:r>
        <w:rPr>
          <w:lang w:val="ru-RU"/>
        </w:rPr>
        <w:t>уб.</w:t>
      </w:r>
    </w:p>
    <w:p>
      <w:pPr>
        <w:pStyle w:val="ListParagraph"/>
        <w:numPr>
          <w:ilvl w:val="0"/>
          <w:numId w:val="0"/>
        </w:numPr>
        <w:ind w:left="720" w:hanging="0"/>
        <w:jc w:val="both"/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ListParagraph"/>
        <w:numPr>
          <w:ilvl w:val="0"/>
          <w:numId w:val="0"/>
        </w:numPr>
        <w:ind w:left="720" w:hanging="0"/>
        <w:jc w:val="both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53" w:name="_Toc149124020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52"/>
      <w:bookmarkEnd w:id="53"/>
    </w:p>
    <w:p>
      <w:pPr>
        <w:pStyle w:val="Heading4"/>
        <w:numPr>
          <w:ilvl w:val="1"/>
          <w:numId w:val="3"/>
        </w:numPr>
        <w:rPr>
          <w:b/>
          <w:bCs/>
        </w:rPr>
      </w:pPr>
      <w:bookmarkStart w:id="54" w:name="_Toc149124021"/>
      <w:r>
        <w:rPr>
          <w:b/>
          <w:bCs/>
        </w:rPr>
        <w:t xml:space="preserve">Требования к объемам и срокам </w:t>
      </w:r>
      <w:r>
        <w:rPr>
          <w:b/>
          <w:bCs/>
          <w:lang w:val="ru-RU"/>
        </w:rPr>
        <w:t>оказания услуг</w:t>
      </w:r>
      <w:bookmarkEnd w:id="54"/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before="120" w:after="60"/>
        <w:jc w:val="left"/>
        <w:rPr>
          <w:rFonts w:ascii="Times New Roman" w:hAnsi="Times New Roman"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</w:pPr>
      <w:bookmarkStart w:id="55" w:name="_Toc149124022"/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>Требования к перечню и объему услуг</w:t>
      </w:r>
      <w:bookmarkEnd w:id="5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 w:val="false"/>
          <w:bCs w:val="false"/>
        </w:rPr>
      </w:pPr>
      <w:bookmarkStart w:id="56" w:name="_Toc149124023"/>
      <w:bookmarkStart w:id="57" w:name="_Toc51339695"/>
      <w:r>
        <w:rPr>
          <w:b w:val="false"/>
          <w:bCs w:val="false"/>
          <w:sz w:val="24"/>
          <w:szCs w:val="24"/>
        </w:rPr>
        <w:t xml:space="preserve">Таблица </w:t>
      </w:r>
      <w:r>
        <w:rPr>
          <w:b w:val="false"/>
          <w:bCs w:val="false"/>
          <w:sz w:val="24"/>
          <w:szCs w:val="24"/>
          <w:lang w:val="ru-RU"/>
        </w:rPr>
        <w:t>2.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 xml:space="preserve">Перечень </w:t>
      </w:r>
      <w:bookmarkEnd w:id="57"/>
      <w:r>
        <w:rPr>
          <w:b w:val="false"/>
          <w:bCs w:val="false"/>
          <w:sz w:val="24"/>
          <w:szCs w:val="24"/>
          <w:lang w:val="ru-RU"/>
        </w:rPr>
        <w:t>и объем оказываемых услуг</w:t>
      </w:r>
      <w:bookmarkEnd w:id="56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Перевозка корпуса РК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 крышки РК, днища РК и крестовины РК гидроагрегата ст.№13 </w:t>
            </w:r>
            <w:r>
              <w:rPr>
                <w:sz w:val="24"/>
                <w:szCs w:val="24"/>
              </w:rPr>
              <w:t xml:space="preserve">по маршруту: </w:t>
            </w:r>
          </w:p>
          <w:p>
            <w:pPr>
              <w:pStyle w:val="Normal"/>
              <w:widowControl w:val="false"/>
              <w:suppressAutoHyphens w:val="tru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г. Сызрань – г. Жигулёвск.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bCs w:val="false"/>
        </w:rPr>
      </w:pPr>
      <w:bookmarkStart w:id="58" w:name="_Toc149124024"/>
      <w:bookmarkStart w:id="59" w:name="_Toc51339696"/>
      <w:r>
        <w:rPr>
          <w:b w:val="false"/>
          <w:bCs w:val="false"/>
          <w:lang w:val="ru-RU"/>
        </w:rPr>
        <w:t xml:space="preserve">Требования </w:t>
      </w:r>
      <w:bookmarkEnd w:id="59"/>
      <w:r>
        <w:rPr>
          <w:b w:val="false"/>
          <w:bCs w:val="false"/>
          <w:lang w:val="ru-RU"/>
        </w:rPr>
        <w:t>к срокам оказания услуг</w:t>
      </w:r>
      <w:bookmarkEnd w:id="5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 w:val="false"/>
          <w:bCs w:val="false"/>
        </w:rPr>
      </w:pPr>
      <w:bookmarkStart w:id="60" w:name="_Toc149124025"/>
      <w:bookmarkStart w:id="61" w:name="_Toc50125127"/>
      <w:bookmarkStart w:id="62" w:name="_Toc51339697"/>
      <w:bookmarkStart w:id="63" w:name="_Toc50125126_Копия_1"/>
      <w:bookmarkEnd w:id="63"/>
      <w:r>
        <w:rPr>
          <w:b w:val="false"/>
          <w:bCs w:val="false"/>
          <w:sz w:val="24"/>
          <w:szCs w:val="24"/>
        </w:rPr>
        <w:t xml:space="preserve">Таблица </w:t>
      </w:r>
      <w:r>
        <w:rPr>
          <w:b w:val="false"/>
          <w:bCs w:val="false"/>
          <w:sz w:val="24"/>
          <w:szCs w:val="24"/>
          <w:lang w:val="ru-RU"/>
        </w:rPr>
        <w:t>3</w:t>
      </w:r>
      <w:r>
        <w:rPr>
          <w:b w:val="false"/>
          <w:bCs w:val="false"/>
          <w:sz w:val="24"/>
          <w:szCs w:val="24"/>
        </w:rPr>
        <w:t xml:space="preserve">. </w:t>
      </w:r>
      <w:bookmarkStart w:id="64" w:name="_Hlk50465284"/>
      <w:r>
        <w:rPr>
          <w:b w:val="false"/>
          <w:bCs w:val="false"/>
          <w:sz w:val="24"/>
          <w:szCs w:val="24"/>
        </w:rPr>
        <w:t xml:space="preserve">Требования </w:t>
      </w:r>
      <w:r>
        <w:rPr>
          <w:b w:val="false"/>
          <w:bCs w:val="false"/>
          <w:sz w:val="24"/>
          <w:szCs w:val="24"/>
          <w:lang w:val="ru-RU"/>
        </w:rPr>
        <w:t>к</w:t>
      </w:r>
      <w:r>
        <w:rPr>
          <w:b w:val="false"/>
          <w:bCs w:val="false"/>
          <w:sz w:val="24"/>
          <w:szCs w:val="24"/>
        </w:rPr>
        <w:t xml:space="preserve"> срокам </w:t>
      </w:r>
      <w:bookmarkEnd w:id="61"/>
      <w:bookmarkEnd w:id="62"/>
      <w:bookmarkEnd w:id="64"/>
      <w:r>
        <w:rPr>
          <w:b w:val="false"/>
          <w:bCs w:val="false"/>
          <w:sz w:val="24"/>
          <w:szCs w:val="24"/>
          <w:lang w:val="ru-RU"/>
        </w:rPr>
        <w:t>оказания услуг</w:t>
      </w:r>
      <w:bookmarkEnd w:id="60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Перевозка корпуса РК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  днища РК и крестовины РК гидроагрегата ст.№13 </w:t>
            </w:r>
            <w:r>
              <w:rPr>
                <w:sz w:val="24"/>
                <w:szCs w:val="24"/>
              </w:rPr>
              <w:t xml:space="preserve">по маршруту: </w:t>
            </w:r>
          </w:p>
          <w:p>
            <w:pPr>
              <w:pStyle w:val="Normal"/>
              <w:widowControl w:val="false"/>
              <w:suppressAutoHyphens w:val="tru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г. Сызрань –</w:t>
            </w:r>
          </w:p>
          <w:p>
            <w:pPr>
              <w:pStyle w:val="Normal"/>
              <w:widowControl w:val="false"/>
              <w:suppressAutoHyphens w:val="tru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г. Жигулёвск.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14.02.2027*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15.04.2027*</w:t>
            </w:r>
          </w:p>
        </w:tc>
      </w:tr>
      <w:tr>
        <w:trPr/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65" w:name="_Toc46743510_Копия_1"/>
            <w:bookmarkEnd w:id="65"/>
            <w:r>
              <w:rPr>
                <w:sz w:val="24"/>
                <w:szCs w:val="24"/>
              </w:rPr>
              <w:t>*Сроки услуг по перевозке груза ориентировочные и могут быть изменены Заказчиком.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66" w:name="_Toc51339698"/>
      <w:bookmarkStart w:id="67" w:name="_Toc149124026"/>
      <w:bookmarkStart w:id="68" w:name="_Toc46743511"/>
      <w:r>
        <w:rPr/>
        <w:t xml:space="preserve">Требования к </w:t>
      </w:r>
      <w:bookmarkEnd w:id="68"/>
      <w:r>
        <w:rPr>
          <w:lang w:val="ru-RU"/>
        </w:rPr>
        <w:t>качеству услуг</w:t>
      </w:r>
      <w:bookmarkEnd w:id="6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 w:val="false"/>
          <w:bCs w:val="false"/>
        </w:rPr>
      </w:pPr>
      <w:bookmarkStart w:id="69" w:name="_Toc149124027"/>
      <w:r>
        <w:rPr>
          <w:b w:val="false"/>
          <w:bCs w:val="false"/>
          <w:sz w:val="24"/>
          <w:szCs w:val="24"/>
        </w:rPr>
        <w:t>Таблица </w:t>
      </w:r>
      <w:r>
        <w:rPr>
          <w:b w:val="false"/>
          <w:bCs w:val="false"/>
          <w:sz w:val="24"/>
          <w:szCs w:val="24"/>
          <w:lang w:val="ru-RU"/>
        </w:rPr>
        <w:t>4</w:t>
      </w:r>
      <w:r>
        <w:rPr>
          <w:b w:val="false"/>
          <w:bCs w:val="false"/>
          <w:sz w:val="24"/>
          <w:szCs w:val="24"/>
        </w:rPr>
        <w:t xml:space="preserve">. Требования к </w:t>
      </w:r>
      <w:bookmarkEnd w:id="66"/>
      <w:r>
        <w:rPr>
          <w:b w:val="false"/>
          <w:bCs w:val="false"/>
          <w:sz w:val="24"/>
          <w:szCs w:val="24"/>
          <w:lang w:val="ru-RU"/>
        </w:rPr>
        <w:t>качеству услуг</w:t>
      </w:r>
      <w:bookmarkEnd w:id="69"/>
      <w:r>
        <w:rPr>
          <w:b w:val="false"/>
          <w:bCs w:val="false"/>
          <w:sz w:val="24"/>
          <w:szCs w:val="24"/>
        </w:rPr>
        <w:t xml:space="preserve"> </w:t>
      </w:r>
    </w:p>
    <w:p>
      <w:pPr>
        <w:pStyle w:val="Normal"/>
        <w:rPr/>
      </w:pPr>
      <w:r>
        <w:rPr>
          <w:b w:val="false"/>
          <w:bCs w:val="false"/>
          <w:sz w:val="24"/>
          <w:szCs w:val="24"/>
        </w:rPr>
        <w:t>Наименование услуг/этапа услуг (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Перевозка корпуса РК </w:t>
      </w:r>
      <w:r>
        <w:rPr>
          <w:rFonts w:eastAsia="Times New Roman" w:cs="Times New Roman"/>
          <w:b w:val="false"/>
          <w:bCs w:val="false"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 днища РК и крестовины РК гидроагрегата ст.№13</w:t>
      </w:r>
      <w:r>
        <w:rPr>
          <w:b w:val="false"/>
          <w:bCs w:val="false"/>
          <w:sz w:val="24"/>
          <w:szCs w:val="24"/>
        </w:rPr>
        <w:t>):</w:t>
      </w:r>
      <w:r>
        <w:rPr>
          <w:rStyle w:val="Style8"/>
          <w:b w:val="false"/>
          <w:bCs w:val="false"/>
          <w:iCs/>
          <w:sz w:val="24"/>
          <w:szCs w:val="24"/>
        </w:rPr>
        <w:t xml:space="preserve"> </w:t>
      </w:r>
    </w:p>
    <w:tbl>
      <w:tblPr>
        <w:tblStyle w:val="af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5"/>
        <w:gridCol w:w="2093"/>
        <w:gridCol w:w="4704"/>
        <w:gridCol w:w="1757"/>
        <w:gridCol w:w="2561"/>
        <w:gridCol w:w="2744"/>
      </w:tblGrid>
      <w:tr>
        <w:trPr/>
        <w:tc>
          <w:tcPr>
            <w:tcW w:w="10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7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3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2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7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70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70"/>
          </w:p>
        </w:tc>
        <w:tc>
          <w:tcPr>
            <w:tcW w:w="20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Маршрут передвижения</w:t>
            </w:r>
          </w:p>
        </w:tc>
        <w:tc>
          <w:tcPr>
            <w:tcW w:w="47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Перевозка корпуса РК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 днища РК и крестовины РК гидроагрегата ст.№13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 маршруту: 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г. Сызрань – г. Жигулёвск.</w:t>
            </w:r>
          </w:p>
        </w:tc>
        <w:tc>
          <w:tcPr>
            <w:tcW w:w="175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1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7" w:hRule="atLeast"/>
        </w:trPr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 технические характеристики автотранспорта, используемой для оказания услуг в соответствии с настоящими техническими</w:t>
            </w:r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требованиями и действующих нормативных актов РФ, сроков исполнения, в полном объеме, с надлежащим качеством.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Лица, управляющие автотранспортом, должны иметь действующие водительское удостоверение с разрешенной категорией.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назначить своего полномочного представителя, имеющего право осуществлять оперативную связь с представителем Заказчика. Полномочия представителя должны быть подтверждены надлежащим образом оформленной доверенностью, передаваемой Заказчику в течение 3 (трех) дней с даты заключения Договора.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результатам услуг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Исполнителя технологической, производственной и трудовой дисциплин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требования технологической, производственной и трудовой дисциплины.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услуг автотранспорта Заказчику.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полную материальную ответственность за сохранность груза с момента принятия его для перевозки и до момента выдачи грузополучателю или управомоченному им лицу.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утраты, гибели, порчи груза, его стоимость возмещается Заказчику в полном объеме, а именно  указанную в п.1.6 ТТ заявленную восстановительную стоимость.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нести все расходы, связанные с эксплуатацией автотранспорта, включая, но не ограничиваясь расходами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оплачивает за свой счет сборы, пошлины, дорожные, экологические, въездные и другие платежи, связанные с осуществлением перевозки.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Ответственность Исполнителя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освободить Заказчика от ответственности за которую отвечает Исполнитель, выплат по претензиям, требованиям и судебным искам, предъявляемым третьими лицами в связи с оказанием Услуг, а также компенсировать ущерб, связанный с причинением Исполнителем вреда жизни или здоровью людей, имуществу Заказчика  или третьих лиц, окружающей среде, без какого-либо ограничения размера такого возмещения, включая затраты, связанные с устранением последствий материального ущерба, в том числе: затраты на разборку поврежденного имущества, непригодного для дальнейшего использования, затраты на оплату профессиональных услуг привлеченных специалистов, если такие услуги необходимы для устранения последствий материального ущерба; дополнительные расходы на оплату работ/услуг в сверхурочное время, ночное время, в официальные праздники и выходные дни, а также транспортные расходы, вызванные срочностью проведения работ, в том числе в случае, если такой ущерб причинен в результате недостатков оказанных Услуг.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Опыт работы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Опыт выполнения аналогичных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у Участника закупки опыта оказания аналогичных услуг не менее 3 лет, при этом за данный период участником должны быть исполнены обязательства (выполнены указанные работы) как минимум по 3 договорам в объёмах, не менее 30% от НМЦ лота.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 перечне и годовых объёмах выполнения аналогичных договоров», приведенной в Документации о закупке.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Адрес места нахождения груза и грузоотправитель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Российская Федерация, Самарская обл., г. Сызрань, ул. Г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идротурбинная, зд. 13,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АО «ТЯЖМАШ».  Погрузка груза на транспорт Исполнителя осуществляется силами и средствами АО «ТЯЖМАШ».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Адрес места доставки груза и грузополучатель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Российская Федерация, Самарская обл.,         г. Жигулевск, ул. Московское шоссе, д.2,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монтажная площадка здания ГЭС, отм.50 (53.423192, 49.479693);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Разгрузка груза в месте доставки осуществляется силами и средствами Заказчика на монтажной площадке Филиала ПАО «РусГидро»-«Жигулевская ГЭС».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Способ транспортировки груза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груза осуществляется в горизонтальном положении «открытое место» с учетом фиксации от возможных перемещений при транспортировке.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1 место: Корпус РК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 на транспортировочной площадке (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 xml:space="preserve">Приложение №1. Эскиз корпуса РК,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фото 1).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 место: днище РК и крестовина РК (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 xml:space="preserve">Приложение №2. Эскиз крестовины РК, </w:t>
            </w:r>
            <w:r>
              <w:rPr>
                <w:sz w:val="24"/>
                <w:szCs w:val="24"/>
                <w:lang w:eastAsia="x-none"/>
              </w:rPr>
              <w:t xml:space="preserve">Приложение №3.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Эскиз днища РК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За 5 рабочих дней до начала выполнения работ Исполнитель предоставляет Заказчику на согласование схему раскладки и крепления груза на полуприцепе автотранспортного средства.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Метод крепления на транспортное средство и упаковка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Корпус РК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 днище РК и крестовину РК гидроагрегата ст.№13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установить на «подкладки» (листовая резина, доски, фанеру, бруски). Крепление груза производится силами и средствами Исполнителя. Упаковка груза и погрузка производится Заказчиком.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Способ крепления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Крепление производить за не обработанные поверхности (например, за лучи крестовины с помощью цепей и талрепов). 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перевозки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перевозки негабаритного груза является фиксированной и постоянной на протяжении всего срока действия договора.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Подтверждение оказания услуг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предоставить Заказчику Акт об оказании услуг, оригиналы товаросопроводительных документов (Транспортная накладная), подтверждающих прием-передачу грузов, Счет и при необходимости иные документы.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lang w:val="ru-RU"/>
        </w:rPr>
      </w:pPr>
      <w:bookmarkStart w:id="71" w:name="_Toc149124028"/>
      <w:r>
        <w:rPr>
          <w:iCs/>
          <w:lang w:val="ru-RU"/>
        </w:rPr>
        <w:t>Приложения</w:t>
      </w:r>
      <w:bookmarkEnd w:id="71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№1. Эскиз корпуса РК.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№2. Эскиз крестовины РК.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№3. Эскиз днища РК.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7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13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Apple-converted-space" w:customStyle="1">
    <w:name w:val="apple-converted-space"/>
    <w:qFormat/>
    <w:rsid w:val="00a270d0"/>
    <w:rPr>
      <w:rFonts w:cs="Times New Roman"/>
    </w:rPr>
  </w:style>
  <w:style w:type="character" w:styleId="Style14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DE3B5-F3ED-479B-8010-3A6D9E621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Application>AlterOffice/3.4.0.9$Linux_X86_64 LibreOffice_project/b8daf9e823b1a5463a2f48435ddc2e8696e7d4fc</Application>
  <AppVersion>15.0000</AppVersion>
  <Pages>13</Pages>
  <Words>1895</Words>
  <Characters>13001</Characters>
  <CharactersWithSpaces>14705</CharactersWithSpaces>
  <Paragraphs>243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2024-03-27T11:34:00Z</dcterms:created>
  <dc:creator>Быстров Олег Геннадьевич</dc:creator>
  <dc:description/>
  <dc:language>ru-RU</dc:language>
  <cp:lastModifiedBy>ilyichevdu@corp.gidroogk.com</cp:lastModifiedBy>
  <cp:lastPrinted>2026-05-15T13:22:51Z</cp:lastPrinted>
  <dcterms:modified xsi:type="dcterms:W3CDTF">2026-07-28T15:44:08Z</dcterms:modified>
  <cp:revision>84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