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ОКПД2 </w:t>
      </w:r>
      <w:r>
        <w:rPr>
          <w:rFonts w:eastAsia="Calibri"/>
          <w:b/>
          <w:sz w:val="26"/>
          <w:szCs w:val="26"/>
          <w:shd w:fill="auto" w:val="clear"/>
        </w:rPr>
        <w:t>49.42.19.000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  <w:t>«</w:t>
      </w:r>
      <w:r>
        <w:rPr>
          <w:rFonts w:eastAsia="Times New Roman" w:cs="Times New Roman"/>
          <w:b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Капитальный ремонт турбины ст. №11 Жигулевской ГЭС, </w:t>
      </w:r>
    </w:p>
    <w:p>
      <w:pPr>
        <w:pStyle w:val="Normal"/>
        <w:bidi w:val="0"/>
        <w:jc w:val="center"/>
        <w:rPr>
          <w:highlight w:val="none"/>
          <w:shd w:fill="auto" w:val="clear"/>
        </w:rPr>
      </w:pPr>
      <w:r>
        <w:rPr>
          <w:rFonts w:eastAsia="Times New Roman" w:cs="Times New Roman"/>
          <w:b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в части транспортировки корпуса и деталей рабочего колеса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  <w:t xml:space="preserve">с филиала ПАО «РусГидро» - «Жигулёвская ГЭС» </w:t>
      </w:r>
      <w:r>
        <w:rPr>
          <w:rFonts w:eastAsia="Times New Roman" w:cs="Times New Roman"/>
          <w:b/>
          <w:color w:val="000000"/>
          <w:kern w:val="0"/>
          <w:sz w:val="24"/>
          <w:szCs w:val="24"/>
          <w:shd w:fill="auto" w:val="clear"/>
          <w:lang w:val="ru-RU" w:eastAsia="ru-RU" w:bidi="ar-SA"/>
        </w:rPr>
        <w:t>на АО «ТЯЖМАШ».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Лот №___________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49124001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02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Обозначения и сокращения…………………………………………………………………………………..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03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продукции………………………………………………………………………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04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оказания услуг…………………………………………………………………………………………..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05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Существующее положение…………………………………………………………………………………...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_Toc149124005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widowControl/>
            <w:tabs>
              <w:tab w:val="clear" w:pos="708"/>
              <w:tab w:val="right" w:pos="9911" w:leader="dot"/>
            </w:tabs>
            <w:suppressAutoHyphens w:val="true"/>
            <w:bidi w:val="0"/>
            <w:spacing w:before="120" w:after="0"/>
            <w:jc w:val="left"/>
            <w:rPr>
              <w:rFonts w:ascii="Times New Roman" w:hAnsi="Times New Roman" w:eastAsia="Times New Roman" w:cs="Calibri Light (Заголовки)"/>
              <w:b w:val="false"/>
              <w:bCs w:val="false"/>
              <w:vanish w:val="false"/>
              <w:color w:val="auto"/>
              <w:kern w:val="0"/>
              <w:lang w:val="ru-RU" w:eastAsia="ru-RU" w:bidi="ar-SA"/>
            </w:rPr>
          </w:pPr>
          <w:r>
            <w:rPr>
              <w:rFonts w:eastAsia="Times New Roman" w:cs="Calibri Light (Заголовки)"/>
              <w:b w:val="false"/>
              <w:bCs w:val="false"/>
              <w:vanish w:val="false"/>
              <w:color w:val="auto"/>
              <w:kern w:val="0"/>
              <w:lang w:val="ru-RU" w:eastAsia="ru-RU" w:bidi="ar-SA"/>
            </w:rPr>
            <w:t>Таблица 1. Перечень объектов заказчика</w:t>
            <w:tab/>
            <w:t>4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07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договора)………………………………………………………………………………………………………………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5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19">
            <w:r>
              <w:rPr>
                <w:webHidden/>
                <w:rStyle w:val="Style14"/>
                <w:iCs/>
                <w:vanish w:val="false"/>
              </w:rPr>
              <w:t>1.6.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Иные требования и сведения общего характера……………………………………………………………</w:t>
            </w:r>
          </w:hyperlink>
          <w:r>
            <w:rPr/>
            <w:t>.</w:t>
          </w:r>
          <w:hyperlink w:anchor="_Toc149124023">
            <w:r>
              <w:rPr>
                <w:webHidden/>
                <w:rStyle w:val="Style14"/>
                <w:rFonts w:eastAsia="Times New Roman" w:cs="Calibri Light (Заголовки)"/>
                <w:b w:val="false"/>
                <w:bCs w:val="false"/>
                <w:vanish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ab/>
            </w:r>
          </w:hyperlink>
          <w:hyperlink w:anchor="_Toc14912401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_Toc149124019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9124020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21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оказания услуг……………………………………………………………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6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22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vanish w:val="false"/>
                <w:sz w:val="22"/>
                <w:szCs w:val="22"/>
              </w:rPr>
              <w:tab/>
            </w:r>
            <w:r>
              <w:rPr>
                <w:rStyle w:val="Style14"/>
                <w:vanish w:val="false"/>
              </w:rPr>
              <w:t>Требования к перечню и объему услуг</w:t>
              <w:tab/>
            </w:r>
          </w:hyperlink>
          <w:r>
            <w:rPr>
              <w:vanish w:val="false"/>
            </w:rPr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9124023">
            <w:r>
              <w:rPr>
                <w:webHidden/>
                <w:rStyle w:val="Style14"/>
                <w:rFonts w:eastAsia="Times New Roman" w:cs="Calibri Light (Заголовки)"/>
                <w:b w:val="false"/>
                <w:bCs w:val="false"/>
                <w:vanish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Таблица 2. Перечень и объем оказываемых услуг</w:t>
              <w:tab/>
            </w:r>
          </w:hyperlink>
          <w:r>
            <w:rPr>
              <w:b w:val="false"/>
              <w:bCs w:val="false"/>
              <w:vanish w:val="false"/>
            </w:rPr>
            <w:t>6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24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912402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_Toc149124025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b w:val="false"/>
                <w:bCs w:val="false"/>
                <w:vanish w:val="false"/>
              </w:rPr>
              <w:t>Таблица 3. Требования к срокам оказания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9124026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услуг…………………………………………………………………………………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912402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_Toc149124027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rFonts w:eastAsia="Times New Roman" w:cs="Calibri Light (Заголовки)"/>
                <w:b w:val="false"/>
                <w:bCs w:val="false"/>
                <w:vanish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Таблица 4. Требования к качеству услуг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9124028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_Toc149124028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..13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149124001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149124002"/>
      <w:bookmarkStart w:id="2" w:name="_Toc46743505"/>
      <w:r>
        <w:rPr/>
        <w:t>Обозначения и сокращения</w:t>
      </w:r>
      <w:bookmarkEnd w:id="1"/>
      <w:bookmarkEnd w:id="2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/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/>
              <w:t>публичное 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/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/>
              <w:t xml:space="preserve">гидроэлектростанция 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ГА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гидроагрегат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РК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рабочее колесо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3" w:name="_Toc149124003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ОКП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Д2 49.42.19.000 «Капитальный ремонт турбины ст. №11 Жигулевской ГЭС, в части транспортировки корпуса и деталей рабочего колеса с филиала ПАО «РусГидро» - «Жигулёвская ГЭС» на АО «ТЯЖМАШ».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rStyle w:val="Style8"/>
          <w:b/>
          <w:lang w:val="ru-RU"/>
        </w:rPr>
      </w:pPr>
      <w:bookmarkStart w:id="5" w:name="_Toc149124004"/>
      <w:bookmarkStart w:id="6" w:name="_Toc46743507"/>
      <w:r>
        <w:rPr/>
        <w:t xml:space="preserve">Цель </w:t>
      </w:r>
      <w:bookmarkEnd w:id="6"/>
      <w:r>
        <w:rPr>
          <w:lang w:val="ru-RU"/>
        </w:rPr>
        <w:t>оказания услуг</w:t>
      </w:r>
      <w:bookmarkEnd w:id="5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</w:rPr>
        <w:t>Перевозка корпуса и деталей</w:t>
      </w:r>
      <w:r>
        <w:rPr>
          <w:rFonts w:eastAsia="Times New Roman" w:cs="Times New Roman"/>
          <w:kern w:val="0"/>
          <w:sz w:val="24"/>
          <w:szCs w:val="24"/>
          <w:shd w:fill="auto" w:val="clear"/>
          <w:lang w:val="ru-RU" w:eastAsia="ru-RU" w:bidi="ar-SA"/>
        </w:rPr>
        <w:t xml:space="preserve"> РК </w:t>
      </w:r>
      <w:r>
        <w:rPr>
          <w:sz w:val="24"/>
          <w:szCs w:val="24"/>
          <w:shd w:fill="auto" w:val="clear"/>
        </w:rPr>
        <w:t>гидроагрегата ст.№11</w:t>
      </w:r>
      <w:r>
        <w:rPr>
          <w:sz w:val="24"/>
          <w:szCs w:val="24"/>
        </w:rPr>
        <w:t xml:space="preserve"> с филиала ПАО «РусГидро» - «Жигулёвская ГЭС» на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АО «ТЯЖМАШ» в г. Сызрань для</w:t>
      </w:r>
      <w:r>
        <w:rPr>
          <w:sz w:val="24"/>
          <w:szCs w:val="24"/>
        </w:rPr>
        <w:t xml:space="preserve"> капитального ремонта.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7" w:name="_Toc46743508"/>
      <w:bookmarkStart w:id="8" w:name="_Toc149124005"/>
      <w:r>
        <w:rPr/>
        <w:t>Существующее положение</w:t>
      </w:r>
      <w:bookmarkEnd w:id="7"/>
      <w:bookmarkEnd w:id="8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2027-28 гг на филиале ПАО «РусГидро» - «Жигулёвская ГЭС» запланирован капитальный ремонт гидроагрегата ст.№11 с переводом гидротурбины в поворотно-лопастной режим работы. После разборки гидроагрегата и частичной разборки </w:t>
      </w:r>
      <w:r>
        <w:rPr>
          <w:rFonts w:eastAsia="Times New Roman" w:cs="Times New Roman"/>
          <w:kern w:val="0"/>
          <w:sz w:val="24"/>
          <w:szCs w:val="24"/>
          <w:lang w:val="ru-RU" w:eastAsia="ru-RU" w:bidi="ar-SA"/>
        </w:rPr>
        <w:t>РК</w:t>
      </w:r>
      <w:r>
        <w:rPr>
          <w:sz w:val="24"/>
          <w:szCs w:val="24"/>
        </w:rPr>
        <w:t xml:space="preserve"> на монтажной площадке здания ГЭС (демонтажа обтекателя РК, днища РК, крышки штока РК, лопастей РК, крышки РК, поршня РК, штока РК и крестовины </w:t>
      </w:r>
      <w:r>
        <w:rPr>
          <w:rFonts w:eastAsia="Times New Roman" w:cs="Times New Roman"/>
          <w:kern w:val="0"/>
          <w:sz w:val="24"/>
          <w:szCs w:val="24"/>
          <w:lang w:val="ru-RU" w:eastAsia="ru-RU" w:bidi="ar-SA"/>
        </w:rPr>
        <w:t>РК</w:t>
      </w:r>
      <w:r>
        <w:rPr>
          <w:sz w:val="24"/>
          <w:szCs w:val="24"/>
        </w:rPr>
        <w:t xml:space="preserve">) дальнейшую разборку, дефектацию и ремонт кинематики </w:t>
      </w:r>
      <w:r>
        <w:rPr>
          <w:rFonts w:eastAsia="Times New Roman" w:cs="Times New Roman"/>
          <w:kern w:val="0"/>
          <w:sz w:val="24"/>
          <w:szCs w:val="24"/>
          <w:lang w:val="ru-RU" w:eastAsia="ru-RU" w:bidi="ar-SA"/>
        </w:rPr>
        <w:t>РК</w:t>
      </w:r>
      <w:r>
        <w:rPr>
          <w:sz w:val="24"/>
          <w:szCs w:val="24"/>
        </w:rPr>
        <w:t xml:space="preserve"> необходимо выполнить в заводских условиях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на АО «ТЯЖМАШ» в г. Сызрань.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b w:val="false"/>
          <w:bCs w:val="false"/>
        </w:rPr>
      </w:pPr>
      <w:bookmarkStart w:id="9" w:name="_Toc149124006"/>
      <w:r>
        <w:rPr>
          <w:b w:val="false"/>
          <w:bCs w:val="false"/>
          <w:sz w:val="24"/>
          <w:szCs w:val="24"/>
        </w:rPr>
        <w:t>Таблица 1</w:t>
      </w:r>
      <w:r>
        <w:rPr>
          <w:b w:val="false"/>
          <w:bCs w:val="false"/>
          <w:sz w:val="24"/>
          <w:szCs w:val="24"/>
          <w:lang w:val="ru-RU"/>
        </w:rPr>
        <w:t>.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Перечень объектов заказчика</w:t>
      </w:r>
      <w:bookmarkEnd w:id="9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840"/>
        <w:gridCol w:w="2148"/>
        <w:gridCol w:w="2129"/>
        <w:gridCol w:w="198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 xml:space="preserve">Корпус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РК (в сборе с втулкой направляющей-1шт., втулками наружными цапф лопастей-5шт., втулками внутренними цапф лопастей-5шт., цапфами-5шт., кольцами опорными-5шт., рычагами-5шт., серьгами-5шт., проушинами-5шт.),</w:t>
            </w:r>
            <w:r>
              <w:rPr>
                <w:iCs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днище РК</w:t>
            </w:r>
            <w:r>
              <w:rPr>
                <w:iCs/>
                <w:sz w:val="24"/>
                <w:szCs w:val="24"/>
                <w:shd w:fill="auto" w:val="clear"/>
              </w:rPr>
              <w:t xml:space="preserve"> и крестовина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РК </w:t>
            </w:r>
            <w:r>
              <w:rPr>
                <w:iCs/>
                <w:sz w:val="24"/>
                <w:szCs w:val="24"/>
                <w:shd w:fill="auto" w:val="clear"/>
              </w:rPr>
              <w:t>гидроагрегата ст.№11.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ПАО «РусГидро»-«Жигулевская ГЭС»,  Российская Федерация, Самарская обл., 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Жигулевск, 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Московское шоссе, д.2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Турбина гидравлическая поворотно-лопастная осевая ПЛ 30/877-В-930 ст. №11 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(Номер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ОС: 10901040000025960000)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нет</w:t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10" w:name="_Toc149124007"/>
      <w:r>
        <w:rPr/>
        <w:t xml:space="preserve">Информация в отношении исполнения договора, </w:t>
      </w:r>
      <w:bookmarkStart w:id="11" w:name="_Hlk46492347"/>
      <w:r>
        <w:rPr/>
        <w:t xml:space="preserve">которая должна быть учтена при подготовке заявки </w:t>
      </w:r>
      <w:bookmarkEnd w:id="11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0"/>
    </w:p>
    <w:p>
      <w:pPr>
        <w:pStyle w:val="ListParagraph"/>
        <w:keepNext w:val="true"/>
        <w:numPr>
          <w:ilvl w:val="0"/>
          <w:numId w:val="10"/>
        </w:numPr>
        <w:tabs>
          <w:tab w:val="clear" w:pos="708"/>
          <w:tab w:val="left" w:pos="851" w:leader="none"/>
          <w:tab w:val="left" w:pos="993" w:leader="none"/>
        </w:tabs>
        <w:suppressAutoHyphens w:val="true"/>
        <w:spacing w:before="0" w:after="0"/>
        <w:contextualSpacing w:val="false"/>
        <w:jc w:val="both"/>
        <w:outlineLvl w:val="2"/>
        <w:rPr>
          <w:i/>
          <w:i/>
          <w:vanish/>
          <w:lang w:val="x-none" w:eastAsia="x-none"/>
        </w:rPr>
      </w:pPr>
      <w:r>
        <w:rPr>
          <w:i/>
          <w:vanish/>
          <w:lang w:val="x-none" w:eastAsia="x-none"/>
        </w:rPr>
      </w:r>
      <w:bookmarkStart w:id="12" w:name="_Toc149057440"/>
      <w:bookmarkStart w:id="13" w:name="_Toc149124008"/>
      <w:bookmarkStart w:id="14" w:name="_Hlk48209761"/>
      <w:bookmarkStart w:id="15" w:name="_Toc149057440"/>
      <w:bookmarkStart w:id="16" w:name="_Toc149124008"/>
      <w:bookmarkStart w:id="17" w:name="_Hlk48209761"/>
      <w:bookmarkEnd w:id="15"/>
      <w:bookmarkEnd w:id="16"/>
      <w:bookmarkEnd w:id="17"/>
    </w:p>
    <w:p>
      <w:pPr>
        <w:pStyle w:val="ListParagraph"/>
        <w:keepNext w:val="true"/>
        <w:numPr>
          <w:ilvl w:val="1"/>
          <w:numId w:val="10"/>
        </w:numPr>
        <w:tabs>
          <w:tab w:val="clear" w:pos="708"/>
          <w:tab w:val="left" w:pos="851" w:leader="none"/>
          <w:tab w:val="left" w:pos="993" w:leader="none"/>
        </w:tabs>
        <w:suppressAutoHyphens w:val="true"/>
        <w:spacing w:before="0" w:after="0"/>
        <w:contextualSpacing w:val="false"/>
        <w:jc w:val="both"/>
        <w:outlineLvl w:val="2"/>
        <w:rPr>
          <w:i/>
          <w:i/>
          <w:vanish/>
          <w:lang w:val="x-none" w:eastAsia="x-none"/>
        </w:rPr>
      </w:pPr>
      <w:r>
        <w:rPr>
          <w:i/>
          <w:vanish/>
          <w:lang w:val="x-none" w:eastAsia="x-none"/>
        </w:rPr>
      </w:r>
      <w:bookmarkStart w:id="18" w:name="_Toc149057441"/>
      <w:bookmarkStart w:id="19" w:name="_Toc149124009"/>
      <w:bookmarkStart w:id="20" w:name="_Toc149057441"/>
      <w:bookmarkStart w:id="21" w:name="_Toc149124009"/>
      <w:bookmarkEnd w:id="20"/>
      <w:bookmarkEnd w:id="21"/>
    </w:p>
    <w:p>
      <w:pPr>
        <w:pStyle w:val="ListParagraph"/>
        <w:keepNext w:val="true"/>
        <w:numPr>
          <w:ilvl w:val="1"/>
          <w:numId w:val="10"/>
        </w:numPr>
        <w:tabs>
          <w:tab w:val="clear" w:pos="708"/>
          <w:tab w:val="left" w:pos="851" w:leader="none"/>
          <w:tab w:val="left" w:pos="993" w:leader="none"/>
        </w:tabs>
        <w:suppressAutoHyphens w:val="true"/>
        <w:spacing w:before="0" w:after="0"/>
        <w:contextualSpacing w:val="false"/>
        <w:jc w:val="both"/>
        <w:outlineLvl w:val="2"/>
        <w:rPr>
          <w:i/>
          <w:i/>
          <w:vanish/>
          <w:lang w:val="x-none" w:eastAsia="x-none"/>
        </w:rPr>
      </w:pPr>
      <w:r>
        <w:rPr>
          <w:i/>
          <w:vanish/>
          <w:lang w:val="x-none" w:eastAsia="x-none"/>
        </w:rPr>
      </w:r>
      <w:bookmarkStart w:id="22" w:name="_Toc149124010"/>
      <w:bookmarkStart w:id="23" w:name="_Toc149057442"/>
      <w:bookmarkStart w:id="24" w:name="_Toc149124010"/>
      <w:bookmarkStart w:id="25" w:name="_Toc149057442"/>
      <w:bookmarkEnd w:id="24"/>
      <w:bookmarkEnd w:id="25"/>
    </w:p>
    <w:p>
      <w:pPr>
        <w:pStyle w:val="ListParagraph"/>
        <w:keepNext w:val="true"/>
        <w:numPr>
          <w:ilvl w:val="1"/>
          <w:numId w:val="10"/>
        </w:numPr>
        <w:tabs>
          <w:tab w:val="clear" w:pos="708"/>
          <w:tab w:val="left" w:pos="851" w:leader="none"/>
          <w:tab w:val="left" w:pos="993" w:leader="none"/>
        </w:tabs>
        <w:suppressAutoHyphens w:val="true"/>
        <w:spacing w:before="0" w:after="0"/>
        <w:contextualSpacing w:val="false"/>
        <w:jc w:val="both"/>
        <w:outlineLvl w:val="2"/>
        <w:rPr>
          <w:i/>
          <w:i/>
          <w:vanish/>
          <w:lang w:val="x-none" w:eastAsia="x-none"/>
        </w:rPr>
      </w:pPr>
      <w:r>
        <w:rPr>
          <w:i/>
          <w:vanish/>
          <w:lang w:val="x-none" w:eastAsia="x-none"/>
        </w:rPr>
      </w:r>
      <w:bookmarkStart w:id="26" w:name="_Toc149057443"/>
      <w:bookmarkStart w:id="27" w:name="_Toc149124011"/>
      <w:bookmarkStart w:id="28" w:name="_Toc149057443"/>
      <w:bookmarkStart w:id="29" w:name="_Toc149124011"/>
      <w:bookmarkEnd w:id="28"/>
      <w:bookmarkEnd w:id="29"/>
    </w:p>
    <w:p>
      <w:pPr>
        <w:pStyle w:val="ListParagraph"/>
        <w:keepNext w:val="true"/>
        <w:numPr>
          <w:ilvl w:val="1"/>
          <w:numId w:val="10"/>
        </w:numPr>
        <w:tabs>
          <w:tab w:val="clear" w:pos="708"/>
          <w:tab w:val="left" w:pos="851" w:leader="none"/>
          <w:tab w:val="left" w:pos="993" w:leader="none"/>
        </w:tabs>
        <w:suppressAutoHyphens w:val="true"/>
        <w:spacing w:before="0" w:after="0"/>
        <w:contextualSpacing w:val="false"/>
        <w:jc w:val="both"/>
        <w:outlineLvl w:val="2"/>
        <w:rPr>
          <w:i/>
          <w:i/>
          <w:vanish/>
          <w:lang w:val="x-none" w:eastAsia="x-none"/>
        </w:rPr>
      </w:pPr>
      <w:r>
        <w:rPr>
          <w:i/>
          <w:vanish/>
          <w:lang w:val="x-none" w:eastAsia="x-none"/>
        </w:rPr>
      </w:r>
      <w:bookmarkStart w:id="30" w:name="_Toc149057444"/>
      <w:bookmarkStart w:id="31" w:name="_Toc149124012"/>
      <w:bookmarkStart w:id="32" w:name="_Toc149057444"/>
      <w:bookmarkStart w:id="33" w:name="_Toc149124012"/>
      <w:bookmarkEnd w:id="32"/>
      <w:bookmarkEnd w:id="33"/>
    </w:p>
    <w:p>
      <w:pPr>
        <w:pStyle w:val="ListParagraph"/>
        <w:keepNext w:val="true"/>
        <w:numPr>
          <w:ilvl w:val="1"/>
          <w:numId w:val="10"/>
        </w:numPr>
        <w:tabs>
          <w:tab w:val="clear" w:pos="708"/>
          <w:tab w:val="left" w:pos="851" w:leader="none"/>
          <w:tab w:val="left" w:pos="993" w:leader="none"/>
        </w:tabs>
        <w:suppressAutoHyphens w:val="true"/>
        <w:spacing w:before="0" w:after="0"/>
        <w:contextualSpacing w:val="false"/>
        <w:jc w:val="both"/>
        <w:outlineLvl w:val="2"/>
        <w:rPr>
          <w:i/>
          <w:i/>
          <w:vanish/>
          <w:lang w:val="x-none" w:eastAsia="x-none"/>
        </w:rPr>
      </w:pPr>
      <w:r>
        <w:rPr>
          <w:i/>
          <w:vanish/>
          <w:lang w:val="x-none" w:eastAsia="x-none"/>
        </w:rPr>
      </w:r>
      <w:bookmarkStart w:id="34" w:name="_Toc149057445"/>
      <w:bookmarkStart w:id="35" w:name="_Toc149124013"/>
      <w:bookmarkStart w:id="36" w:name="_Toc149057445"/>
      <w:bookmarkStart w:id="37" w:name="_Toc149124013"/>
      <w:bookmarkEnd w:id="36"/>
      <w:bookmarkEnd w:id="37"/>
    </w:p>
    <w:p>
      <w:pPr>
        <w:pStyle w:val="Heading3"/>
        <w:numPr>
          <w:ilvl w:val="2"/>
          <w:numId w:val="3"/>
        </w:numPr>
        <w:tabs>
          <w:tab w:val="clear" w:pos="708"/>
          <w:tab w:val="left" w:pos="-720" w:leader="none"/>
          <w:tab w:val="left" w:pos="851" w:leader="none"/>
          <w:tab w:val="left" w:pos="993" w:leader="none"/>
        </w:tabs>
        <w:suppressAutoHyphens w:val="true"/>
        <w:spacing w:before="0" w:after="0"/>
        <w:ind w:left="567" w:hanging="567"/>
        <w:jc w:val="both"/>
        <w:rPr>
          <w:rFonts w:ascii="Times New Roman" w:hAnsi="Times New Roman" w:eastAsia="Calibri" w:cs="Times New Roman"/>
          <w:b w:val="false"/>
          <w:color w:val="auto"/>
          <w:kern w:val="0"/>
          <w:sz w:val="24"/>
          <w:szCs w:val="24"/>
          <w:lang w:val="x-none" w:eastAsia="x-none" w:bidi="ar-SA"/>
        </w:rPr>
      </w:pPr>
      <w:bookmarkStart w:id="38" w:name="_Toc149057446"/>
      <w:bookmarkStart w:id="39" w:name="_Toc149124014"/>
      <w:r>
        <w:rPr>
          <w:rFonts w:eastAsia="Calibri" w:cs="Times New Roman"/>
          <w:b w:val="false"/>
          <w:color w:val="auto"/>
          <w:kern w:val="0"/>
          <w:sz w:val="24"/>
          <w:szCs w:val="24"/>
          <w:lang w:val="x-none" w:eastAsia="x-none" w:bidi="ar-SA"/>
        </w:rPr>
        <w:t>Заказчик планирует перевезти негабаритный груз в соответствии с табл. 1 настоящих Технических требований). Перевозку груза, указанного в табл. 1 необходимо выполнять  на двух транспортных средствах. Погрузка груза на транспорт Исполнителя осуществляется на монтажной площадке Филиала ПАО «РусГидро»-«Жигулевская ГЭС» силами Заказчика</w:t>
      </w:r>
      <w:bookmarkEnd w:id="38"/>
      <w:bookmarkEnd w:id="39"/>
      <w:r>
        <w:rPr>
          <w:rFonts w:eastAsia="Calibri" w:cs="Times New Roman"/>
          <w:b w:val="false"/>
          <w:color w:val="auto"/>
          <w:kern w:val="0"/>
          <w:sz w:val="24"/>
          <w:szCs w:val="24"/>
          <w:lang w:val="x-none" w:eastAsia="x-none" w:bidi="ar-SA"/>
        </w:rPr>
        <w:t>.</w:t>
      </w:r>
    </w:p>
    <w:p>
      <w:pPr>
        <w:pStyle w:val="Heading3"/>
        <w:numPr>
          <w:ilvl w:val="2"/>
          <w:numId w:val="3"/>
        </w:numPr>
        <w:tabs>
          <w:tab w:val="clear" w:pos="708"/>
          <w:tab w:val="left" w:pos="-720" w:leader="none"/>
          <w:tab w:val="left" w:pos="851" w:leader="none"/>
          <w:tab w:val="left" w:pos="993" w:leader="none"/>
        </w:tabs>
        <w:suppressAutoHyphens w:val="true"/>
        <w:spacing w:before="0" w:after="0"/>
        <w:ind w:left="567" w:hanging="567"/>
        <w:jc w:val="both"/>
        <w:rPr>
          <w:b w:val="false"/>
        </w:rPr>
      </w:pPr>
      <w:r>
        <w:rPr>
          <w:b w:val="false"/>
        </w:rPr>
        <w:t>И</w:t>
      </w:r>
      <w:bookmarkStart w:id="40" w:name="_Toc149057447"/>
      <w:bookmarkStart w:id="41" w:name="_Toc149124015"/>
      <w:r>
        <w:rPr>
          <w:b w:val="false"/>
        </w:rPr>
        <w:t>сполнитель должен иметь для исполнения договора квалифицированный и аттестованный персонал на каждую единицу техники.</w:t>
      </w:r>
      <w:bookmarkEnd w:id="40"/>
      <w:bookmarkEnd w:id="41"/>
    </w:p>
    <w:p>
      <w:pPr>
        <w:pStyle w:val="Heading3"/>
        <w:numPr>
          <w:ilvl w:val="2"/>
          <w:numId w:val="3"/>
        </w:numPr>
        <w:tabs>
          <w:tab w:val="clear" w:pos="708"/>
          <w:tab w:val="left" w:pos="-720" w:leader="none"/>
          <w:tab w:val="left" w:pos="851" w:leader="none"/>
          <w:tab w:val="left" w:pos="993" w:leader="none"/>
        </w:tabs>
        <w:suppressAutoHyphens w:val="true"/>
        <w:spacing w:before="0" w:after="0"/>
        <w:ind w:left="567" w:hanging="567"/>
        <w:jc w:val="both"/>
        <w:rPr/>
      </w:pPr>
      <w:bookmarkStart w:id="42" w:name="_Toc149057448"/>
      <w:bookmarkStart w:id="43" w:name="_Toc149124016"/>
      <w:r>
        <w:rPr>
          <w:b w:val="false"/>
        </w:rPr>
        <w:t>Перевозка негабаритного груза должна осуществляться в соответствии с законодательством РФ.</w:t>
      </w:r>
      <w:bookmarkEnd w:id="42"/>
      <w:bookmarkEnd w:id="43"/>
    </w:p>
    <w:p>
      <w:pPr>
        <w:pStyle w:val="Heading3"/>
        <w:numPr>
          <w:ilvl w:val="2"/>
          <w:numId w:val="3"/>
        </w:numPr>
        <w:tabs>
          <w:tab w:val="clear" w:pos="708"/>
          <w:tab w:val="left" w:pos="-720" w:leader="none"/>
          <w:tab w:val="left" w:pos="851" w:leader="none"/>
          <w:tab w:val="left" w:pos="993" w:leader="none"/>
        </w:tabs>
        <w:suppressAutoHyphens w:val="true"/>
        <w:spacing w:before="0" w:after="0"/>
        <w:ind w:left="567" w:hanging="567"/>
        <w:jc w:val="both"/>
        <w:rPr>
          <w:highlight w:val="none"/>
          <w:shd w:fill="auto" w:val="clear"/>
        </w:rPr>
      </w:pPr>
      <w:bookmarkStart w:id="44" w:name="_Toc149057449"/>
      <w:bookmarkStart w:id="45" w:name="_Toc149124017"/>
      <w:r>
        <w:rPr>
          <w:b w:val="false"/>
          <w:shd w:fill="auto" w:val="clear"/>
        </w:rPr>
        <w:t>Перевозка негабаритного груза должна быть согласована  по всему маршруту движения с органами управления автомобильными дорогами, балансодержателями искусственных сооружений и коммуникаций, отделениями железных дорог (мосты, путепроводы, железнодорожные переезды,  подземные трубопроводы и кабели, воздушные линии электроснабжения и</w:t>
      </w:r>
      <w:r>
        <w:rPr>
          <w:b w:val="false"/>
          <w:shd w:fill="auto" w:val="clear"/>
          <w:lang w:val="ru-RU"/>
        </w:rPr>
        <w:t xml:space="preserve"> связи и т.п.), службами, уполномоченными органами субъекта </w:t>
      </w:r>
      <w:r>
        <w:rPr>
          <w:b w:val="false"/>
          <w:shd w:fill="auto" w:val="clear"/>
        </w:rPr>
        <w:t>Российской Федерации или органами местного самоуправления, управлять улично-дорожной сетью городов и других населенных пунктов.</w:t>
      </w:r>
      <w:bookmarkEnd w:id="44"/>
      <w:bookmarkEnd w:id="45"/>
    </w:p>
    <w:p>
      <w:pPr>
        <w:pStyle w:val="Heading3"/>
        <w:numPr>
          <w:ilvl w:val="2"/>
          <w:numId w:val="3"/>
        </w:numPr>
        <w:tabs>
          <w:tab w:val="clear" w:pos="708"/>
          <w:tab w:val="left" w:pos="-720" w:leader="none"/>
          <w:tab w:val="left" w:pos="851" w:leader="none"/>
          <w:tab w:val="left" w:pos="993" w:leader="none"/>
        </w:tabs>
        <w:suppressAutoHyphens w:val="true"/>
        <w:spacing w:before="0" w:after="0"/>
        <w:ind w:left="567" w:hanging="567"/>
        <w:jc w:val="both"/>
        <w:rPr>
          <w:highlight w:val="none"/>
          <w:shd w:fill="auto" w:val="clear"/>
        </w:rPr>
      </w:pPr>
      <w:bookmarkStart w:id="46" w:name="_Toc149057450"/>
      <w:bookmarkStart w:id="47" w:name="_Toc149124018"/>
      <w:r>
        <w:rPr>
          <w:b w:val="false"/>
          <w:shd w:fill="auto" w:val="clear"/>
        </w:rPr>
        <w:t>Исполнитель обязан обеспечить диспетчерский контроль за перевозкой негабаритного груза, при возникновении нештатной ситуации, немедленно принять меры для устранения факторов способных повлиять на не своевременную доставку груза в пункт назначения, незамедлительно информировать Заказчика обо всех случаях задержки транспортных средств, которые повлекли или могут повлечь за собой нарушение срока перевозки, или не обеспечение их сохранности с указанием причин возникновения.</w:t>
      </w:r>
      <w:bookmarkEnd w:id="46"/>
      <w:bookmarkEnd w:id="47"/>
    </w:p>
    <w:p>
      <w:pPr>
        <w:pStyle w:val="Heading3"/>
        <w:numPr>
          <w:ilvl w:val="2"/>
          <w:numId w:val="3"/>
        </w:numPr>
        <w:tabs>
          <w:tab w:val="clear" w:pos="708"/>
          <w:tab w:val="left" w:pos="-720" w:leader="none"/>
          <w:tab w:val="left" w:pos="851" w:leader="none"/>
          <w:tab w:val="left" w:pos="993" w:leader="none"/>
        </w:tabs>
        <w:suppressAutoHyphens w:val="true"/>
        <w:spacing w:before="0" w:after="0"/>
        <w:ind w:left="567" w:hanging="567"/>
        <w:jc w:val="both"/>
        <w:rPr/>
      </w:pPr>
      <w:r>
        <w:rPr>
          <w:b w:val="false"/>
        </w:rPr>
        <w:t xml:space="preserve">Исполнитель </w:t>
      </w:r>
      <w:r>
        <w:rPr>
          <w:b w:val="false"/>
          <w:lang w:val="ru-RU"/>
        </w:rPr>
        <w:t xml:space="preserve">обязан в течении 24 часов с момента сообщения о готовности </w:t>
      </w:r>
      <w:r>
        <w:rPr>
          <w:rStyle w:val="Strong"/>
          <w:rFonts w:eastAsia="Times New Roman" w:cs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корпуса РК и  </w:t>
      </w:r>
      <w:r>
        <w:rPr>
          <w:b w:val="false"/>
          <w:lang w:val="ru-RU"/>
        </w:rPr>
        <w:t xml:space="preserve">деталей </w:t>
      </w:r>
      <w:r>
        <w:rPr>
          <w:rFonts w:eastAsia="Times New Roman" w:cs="Times New Roman"/>
          <w:b w:val="false"/>
          <w:kern w:val="0"/>
          <w:sz w:val="24"/>
          <w:szCs w:val="24"/>
          <w:lang w:val="ru-RU" w:eastAsia="ru-RU" w:bidi="ar-SA"/>
        </w:rPr>
        <w:t>РК</w:t>
      </w:r>
      <w:r>
        <w:rPr>
          <w:b w:val="false"/>
          <w:lang w:val="ru-RU"/>
        </w:rPr>
        <w:t xml:space="preserve"> к отгрузке прибыть на загрузку в </w:t>
      </w:r>
      <w:r>
        <w:rPr>
          <w:b w:val="false"/>
          <w:sz w:val="24"/>
          <w:szCs w:val="24"/>
          <w:lang w:val="ru-RU"/>
        </w:rPr>
        <w:t xml:space="preserve">Филиал ПАО «РусГидро»-«Жигулевская ГЭС» по адресу: Российская Федерация, Самарская обл., г. Жигулевск, ул. Московское шоссе, д.2 </w:t>
      </w:r>
      <w:r>
        <w:rPr>
          <w:rStyle w:val="Strong"/>
          <w:rFonts w:eastAsia="Times New Roman" w:cs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и в течении 48 часов доставить корпус РК и детали РК в АО «ТЯЖМАШ» по адресу: Российская Федерация, Самарская обл., г. Сызрань, ул. Гидротурбинная, зд. 13.</w:t>
      </w:r>
    </w:p>
    <w:p>
      <w:pPr>
        <w:pStyle w:val="Normal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</w:r>
    </w:p>
    <w:p>
      <w:pPr>
        <w:pStyle w:val="Heading4"/>
        <w:numPr>
          <w:ilvl w:val="1"/>
          <w:numId w:val="3"/>
        </w:numPr>
        <w:rPr/>
      </w:pPr>
      <w:bookmarkStart w:id="48" w:name="_Toc149124019"/>
      <w:bookmarkStart w:id="49" w:name="_Hlk48209761_Копия_1"/>
      <w:bookmarkStart w:id="50" w:name="_Toc50125126"/>
      <w:bookmarkStart w:id="51" w:name="_Toc46743510"/>
      <w:bookmarkEnd w:id="49"/>
      <w:bookmarkEnd w:id="50"/>
      <w:bookmarkEnd w:id="51"/>
      <w:r>
        <w:rPr/>
        <w:t>Иные требования и сведения общего характера</w:t>
      </w:r>
      <w:bookmarkEnd w:id="48"/>
    </w:p>
    <w:p>
      <w:pPr>
        <w:pStyle w:val="Normal"/>
        <w:jc w:val="both"/>
        <w:rPr>
          <w:sz w:val="24"/>
          <w:szCs w:val="24"/>
          <w:lang w:val="ru-RU"/>
        </w:rPr>
      </w:pPr>
      <w:bookmarkStart w:id="52" w:name="_Toc51339693"/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Транспортировка груза по маршруту г. Жи</w:t>
      </w:r>
      <w:r>
        <w:rPr>
          <w:sz w:val="24"/>
          <w:szCs w:val="24"/>
        </w:rPr>
        <w:t xml:space="preserve">гулёвск — г. Сызрань </w:t>
      </w:r>
      <w:r>
        <w:rPr>
          <w:sz w:val="24"/>
          <w:szCs w:val="24"/>
          <w:lang w:val="ru-RU"/>
        </w:rPr>
        <w:t xml:space="preserve">в составе: </w:t>
      </w:r>
    </w:p>
    <w:p>
      <w:pPr>
        <w:pStyle w:val="ListParagraph"/>
        <w:numPr>
          <w:ilvl w:val="0"/>
          <w:numId w:val="11"/>
        </w:numPr>
        <w:jc w:val="both"/>
        <w:rPr/>
      </w:pPr>
      <w:r>
        <w:rPr>
          <w:lang w:val="ru-RU"/>
        </w:rPr>
        <w:t xml:space="preserve">корпус </w:t>
      </w:r>
      <w:r>
        <w:rPr>
          <w:rFonts w:eastAsia="Times New Roman" w:cs="Times New Roman"/>
          <w:kern w:val="0"/>
          <w:sz w:val="24"/>
          <w:szCs w:val="24"/>
          <w:lang w:val="ru-RU" w:eastAsia="ru-RU" w:bidi="ar-SA"/>
        </w:rPr>
        <w:t>РК (</w:t>
      </w:r>
      <w:r>
        <w:rPr>
          <w:rFonts w:eastAsia="Times New Roman" w:cs="Times New Roman"/>
          <w:kern w:val="0"/>
          <w:sz w:val="24"/>
          <w:szCs w:val="24"/>
          <w:shd w:fill="auto" w:val="clear"/>
          <w:lang w:val="ru-RU" w:eastAsia="ru-RU" w:bidi="ar-SA"/>
        </w:rPr>
        <w:t xml:space="preserve">в сборе с втулкой направляющей - 1 шт., втулками наружными цапф лопастей - 5 шт., втулками внутренними цапф лопастей - 5 шт., </w:t>
      </w:r>
      <w:r>
        <w:rPr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цапфами РК - 5 шт., кольцами опорными - 5 шт., рычагами - 5 шт., серьгами - 5 шт., проушинами - 5 шт.</w:t>
      </w:r>
      <w:r>
        <w:rPr>
          <w:rFonts w:eastAsia="Times New Roman" w:cs="Times New Roman"/>
          <w:kern w:val="0"/>
          <w:sz w:val="24"/>
          <w:szCs w:val="24"/>
          <w:shd w:fill="auto" w:val="clear"/>
          <w:lang w:val="ru-RU" w:eastAsia="ru-RU" w:bidi="ar-SA"/>
        </w:rPr>
        <w:t>)</w:t>
      </w:r>
      <w:r>
        <w:rPr>
          <w:lang w:val="ru-RU"/>
        </w:rPr>
        <w:t xml:space="preserve"> </w:t>
      </w:r>
      <w:r>
        <w:rPr>
          <w:rFonts w:eastAsia="Symbol" w:cs="Symbol" w:ascii="Symbol" w:hAnsi="Symbol"/>
          <w:lang w:val="ru-RU"/>
        </w:rPr>
        <w:sym w:font="Symbol" w:char="f0c6"/>
      </w:r>
      <w:r>
        <w:rPr>
          <w:lang w:val="ru-RU"/>
        </w:rPr>
        <w:t xml:space="preserve">4200 мм, Н= </w:t>
      </w:r>
      <w:r>
        <w:rPr>
          <w:shd w:fill="auto" w:val="clear"/>
          <w:lang w:val="ru-RU"/>
        </w:rPr>
        <w:t>3430</w:t>
      </w:r>
      <w:r>
        <w:rPr>
          <w:lang w:val="ru-RU"/>
        </w:rPr>
        <w:t xml:space="preserve"> мм, масса 131 000 кг, восстановительная стоимо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  <w:t>сть: 125 665 598,73 руб.</w:t>
      </w:r>
      <w:r>
        <w:rPr>
          <w:lang w:val="ru-RU"/>
        </w:rPr>
        <w:t>;</w:t>
      </w:r>
    </w:p>
    <w:p>
      <w:pPr>
        <w:pStyle w:val="ListParagraph"/>
        <w:numPr>
          <w:ilvl w:val="0"/>
          <w:numId w:val="11"/>
        </w:numPr>
        <w:jc w:val="both"/>
        <w:rPr/>
      </w:pPr>
      <w:r>
        <w:rPr>
          <w:lang w:val="ru-RU"/>
        </w:rPr>
        <w:t xml:space="preserve">крестовина </w:t>
      </w:r>
      <w:r>
        <w:rPr>
          <w:rFonts w:eastAsia="Times New Roman" w:cs="Times New Roman"/>
          <w:kern w:val="0"/>
          <w:sz w:val="24"/>
          <w:szCs w:val="24"/>
          <w:lang w:val="ru-RU" w:eastAsia="ru-RU" w:bidi="ar-SA"/>
        </w:rPr>
        <w:t>РК</w:t>
      </w:r>
      <w:r>
        <w:rPr>
          <w:lang w:val="ru-RU"/>
        </w:rPr>
        <w:t xml:space="preserve"> </w:t>
      </w:r>
      <w:r>
        <w:rPr/>
        <w:t>(ДхШхВ) 2850х2850х900 мм, масса 15995 кг,</w:t>
      </w:r>
      <w:r>
        <w:rPr>
          <w:lang w:val="ru-RU"/>
        </w:rPr>
        <w:t xml:space="preserve"> восстановительная стоим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  <w:t>ость: 15 343 673,68 руб.;</w:t>
      </w:r>
    </w:p>
    <w:p>
      <w:pPr>
        <w:pStyle w:val="ListParagraph"/>
        <w:numPr>
          <w:ilvl w:val="0"/>
          <w:numId w:val="11"/>
        </w:numPr>
        <w:jc w:val="both"/>
        <w:rPr/>
      </w:pPr>
      <w:r>
        <w:rPr/>
        <w:t>днище РК</w:t>
      </w:r>
      <w:r>
        <w:rPr>
          <w:lang w:val="ru-RU"/>
        </w:rPr>
        <w:t xml:space="preserve"> </w:t>
      </w:r>
      <w:r>
        <w:rPr>
          <w:rFonts w:eastAsia="Symbol" w:cs="Symbol" w:ascii="Symbol" w:hAnsi="Symbol"/>
          <w:lang w:val="ru-RU"/>
        </w:rPr>
        <w:sym w:font="Symbol" w:char="f0c6"/>
      </w:r>
      <w:r>
        <w:rPr>
          <w:lang w:val="ru-RU"/>
        </w:rPr>
        <w:t>3600 мм, Н=</w:t>
      </w:r>
      <w:r>
        <w:rPr/>
        <w:t>1500 мм, масса 9931 кг,</w:t>
      </w:r>
      <w:r>
        <w:rPr>
          <w:lang w:val="ru-RU"/>
        </w:rPr>
        <w:t xml:space="preserve"> восстановительная сто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  <w:t>имость:                                     9 526 603,52 руб.</w:t>
      </w:r>
    </w:p>
    <w:p>
      <w:pPr>
        <w:pStyle w:val="ListParagraph"/>
        <w:numPr>
          <w:ilvl w:val="0"/>
          <w:numId w:val="0"/>
        </w:numPr>
        <w:ind w:left="720" w:hanging="0"/>
        <w:jc w:val="both"/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ListParagraph"/>
        <w:numPr>
          <w:ilvl w:val="0"/>
          <w:numId w:val="0"/>
        </w:numPr>
        <w:ind w:left="720" w:hanging="0"/>
        <w:jc w:val="both"/>
        <w:rPr>
          <w:rFonts w:ascii="Times New Roman" w:hAnsi="Times New Roman" w:eastAsia="Calibri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jc w:val="both"/>
        <w:rPr/>
      </w:pPr>
      <w:r>
        <w:rPr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53" w:name="_Toc149124020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52"/>
      <w:bookmarkEnd w:id="53"/>
    </w:p>
    <w:p>
      <w:pPr>
        <w:pStyle w:val="Heading4"/>
        <w:numPr>
          <w:ilvl w:val="1"/>
          <w:numId w:val="3"/>
        </w:numPr>
        <w:rPr>
          <w:b/>
          <w:bCs/>
        </w:rPr>
      </w:pPr>
      <w:bookmarkStart w:id="54" w:name="_Toc149124021"/>
      <w:r>
        <w:rPr>
          <w:b/>
          <w:bCs/>
        </w:rPr>
        <w:t xml:space="preserve">Требования к объемам и срокам </w:t>
      </w:r>
      <w:r>
        <w:rPr>
          <w:b/>
          <w:bCs/>
          <w:lang w:val="ru-RU"/>
        </w:rPr>
        <w:t>оказания услуг</w:t>
      </w:r>
      <w:bookmarkEnd w:id="54"/>
    </w:p>
    <w:p>
      <w:pPr>
        <w:pStyle w:val="Heading3"/>
        <w:keepNext w:val="true"/>
        <w:widowControl/>
        <w:numPr>
          <w:ilvl w:val="2"/>
          <w:numId w:val="3"/>
        </w:numPr>
        <w:suppressAutoHyphens w:val="true"/>
        <w:bidi w:val="0"/>
        <w:spacing w:before="120" w:after="60"/>
        <w:jc w:val="left"/>
        <w:rPr>
          <w:rFonts w:ascii="Times New Roman" w:hAnsi="Times New Roman" w:eastAsia="Calibri" w:cs="Times New Roman"/>
          <w:b w:val="false"/>
          <w:bCs w:val="false"/>
          <w:color w:val="auto"/>
          <w:kern w:val="0"/>
          <w:sz w:val="24"/>
          <w:szCs w:val="24"/>
          <w:lang w:val="ru-RU" w:eastAsia="x-none" w:bidi="ar-SA"/>
        </w:rPr>
      </w:pPr>
      <w:bookmarkStart w:id="55" w:name="_Toc149124022"/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ru-RU" w:eastAsia="x-none" w:bidi="ar-SA"/>
        </w:rPr>
        <w:t>Требования к перечню и объему услуг</w:t>
      </w:r>
      <w:bookmarkEnd w:id="55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b w:val="false"/>
          <w:bCs w:val="false"/>
        </w:rPr>
      </w:pPr>
      <w:bookmarkStart w:id="56" w:name="_Toc149124023"/>
      <w:bookmarkStart w:id="57" w:name="_Toc51339695"/>
      <w:r>
        <w:rPr>
          <w:b w:val="false"/>
          <w:bCs w:val="false"/>
          <w:sz w:val="24"/>
          <w:szCs w:val="24"/>
        </w:rPr>
        <w:t xml:space="preserve">Таблица </w:t>
      </w:r>
      <w:r>
        <w:rPr>
          <w:b w:val="false"/>
          <w:bCs w:val="false"/>
          <w:sz w:val="24"/>
          <w:szCs w:val="24"/>
          <w:lang w:val="ru-RU"/>
        </w:rPr>
        <w:t>2.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 xml:space="preserve">Перечень </w:t>
      </w:r>
      <w:bookmarkEnd w:id="57"/>
      <w:r>
        <w:rPr>
          <w:b w:val="false"/>
          <w:bCs w:val="false"/>
          <w:sz w:val="24"/>
          <w:szCs w:val="24"/>
          <w:lang w:val="ru-RU"/>
        </w:rPr>
        <w:t>и объем оказываемых услуг</w:t>
      </w:r>
      <w:bookmarkEnd w:id="56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5"/>
        <w:gridCol w:w="211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Перевозка корпуса РК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(в сборе с втулкой направляющей-1шт., втулками наружными цапф лопастей-5шт., втулками внутренними цапф лопастей-5шт., цапфами-5шт., кольцами опорными-5шт., рычагами-5шт., серьгами-5шт., проушинами-5шт.), днища РК и крестовины РК гидроагрегата ст.№11 </w:t>
            </w:r>
            <w:r>
              <w:rPr>
                <w:sz w:val="24"/>
                <w:szCs w:val="24"/>
              </w:rPr>
              <w:t xml:space="preserve">по маршруту: </w:t>
            </w:r>
          </w:p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Жигулёвск – г. Сызрань.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bCs w:val="false"/>
        </w:rPr>
      </w:pPr>
      <w:bookmarkStart w:id="58" w:name="_Toc149124024"/>
      <w:bookmarkStart w:id="59" w:name="_Toc51339696"/>
      <w:r>
        <w:rPr>
          <w:b w:val="false"/>
          <w:bCs w:val="false"/>
          <w:lang w:val="ru-RU"/>
        </w:rPr>
        <w:t xml:space="preserve">Требования </w:t>
      </w:r>
      <w:bookmarkEnd w:id="59"/>
      <w:r>
        <w:rPr>
          <w:b w:val="false"/>
          <w:bCs w:val="false"/>
          <w:lang w:val="ru-RU"/>
        </w:rPr>
        <w:t>к срокам оказания услуг</w:t>
      </w:r>
      <w:bookmarkEnd w:id="58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b w:val="false"/>
          <w:bCs w:val="false"/>
        </w:rPr>
      </w:pPr>
      <w:bookmarkStart w:id="60" w:name="_Toc149124025"/>
      <w:bookmarkStart w:id="61" w:name="_Toc51339697"/>
      <w:bookmarkStart w:id="62" w:name="_Toc50125127"/>
      <w:bookmarkStart w:id="63" w:name="_Toc50125126_Копия_1"/>
      <w:bookmarkEnd w:id="63"/>
      <w:r>
        <w:rPr>
          <w:b w:val="false"/>
          <w:bCs w:val="false"/>
          <w:sz w:val="24"/>
          <w:szCs w:val="24"/>
        </w:rPr>
        <w:t xml:space="preserve">Таблица </w:t>
      </w:r>
      <w:r>
        <w:rPr>
          <w:b w:val="false"/>
          <w:bCs w:val="false"/>
          <w:sz w:val="24"/>
          <w:szCs w:val="24"/>
          <w:lang w:val="ru-RU"/>
        </w:rPr>
        <w:t>3</w:t>
      </w:r>
      <w:r>
        <w:rPr>
          <w:b w:val="false"/>
          <w:bCs w:val="false"/>
          <w:sz w:val="24"/>
          <w:szCs w:val="24"/>
        </w:rPr>
        <w:t xml:space="preserve">. </w:t>
      </w:r>
      <w:bookmarkStart w:id="64" w:name="_Hlk50465284"/>
      <w:r>
        <w:rPr>
          <w:b w:val="false"/>
          <w:bCs w:val="false"/>
          <w:sz w:val="24"/>
          <w:szCs w:val="24"/>
        </w:rPr>
        <w:t xml:space="preserve">Требования </w:t>
      </w:r>
      <w:r>
        <w:rPr>
          <w:b w:val="false"/>
          <w:bCs w:val="false"/>
          <w:sz w:val="24"/>
          <w:szCs w:val="24"/>
          <w:lang w:val="ru-RU"/>
        </w:rPr>
        <w:t>к</w:t>
      </w:r>
      <w:r>
        <w:rPr>
          <w:b w:val="false"/>
          <w:bCs w:val="false"/>
          <w:sz w:val="24"/>
          <w:szCs w:val="24"/>
        </w:rPr>
        <w:t xml:space="preserve"> срокам </w:t>
      </w:r>
      <w:bookmarkEnd w:id="61"/>
      <w:bookmarkEnd w:id="62"/>
      <w:bookmarkEnd w:id="64"/>
      <w:r>
        <w:rPr>
          <w:b w:val="false"/>
          <w:bCs w:val="false"/>
          <w:sz w:val="24"/>
          <w:szCs w:val="24"/>
          <w:lang w:val="ru-RU"/>
        </w:rPr>
        <w:t>оказания услуг</w:t>
      </w:r>
      <w:bookmarkEnd w:id="60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Перевозка корпуса РК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(в сборе с втулкой направляющей-1шт., втулками наружными цапф лопастей-5шт., втулками внутренними цапф лопастей-5шт., цапфами-5шт., кольцами опорными-5шт., рычагами-5шт., серьгами-5шт., проушинами-5шт.),  днища РК и крестовины РК гидроагрегата ст.№11 </w:t>
            </w:r>
            <w:r>
              <w:rPr>
                <w:sz w:val="24"/>
                <w:szCs w:val="24"/>
              </w:rPr>
              <w:t xml:space="preserve">по маршруту: </w:t>
            </w:r>
          </w:p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Жигулёвск – </w:t>
            </w:r>
          </w:p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Сызрань.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30.08.2027*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29.10.2027*</w:t>
            </w:r>
          </w:p>
        </w:tc>
      </w:tr>
      <w:tr>
        <w:trPr/>
        <w:tc>
          <w:tcPr>
            <w:tcW w:w="9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65" w:name="_Toc46743510_Копия_1"/>
            <w:bookmarkEnd w:id="65"/>
            <w:r>
              <w:rPr>
                <w:sz w:val="24"/>
                <w:szCs w:val="24"/>
              </w:rPr>
              <w:t>*Сроки услуг по перевозке груза ориентировочные и могут быть изменены Заказчиком.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66" w:name="_Toc51339698"/>
      <w:bookmarkStart w:id="67" w:name="_Toc149124026"/>
      <w:bookmarkStart w:id="68" w:name="_Toc46743511"/>
      <w:r>
        <w:rPr/>
        <w:t xml:space="preserve">Требования к </w:t>
      </w:r>
      <w:bookmarkEnd w:id="68"/>
      <w:r>
        <w:rPr>
          <w:lang w:val="ru-RU"/>
        </w:rPr>
        <w:t>качеству услуг</w:t>
      </w:r>
      <w:bookmarkEnd w:id="67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b w:val="false"/>
          <w:bCs w:val="false"/>
        </w:rPr>
      </w:pPr>
      <w:bookmarkStart w:id="69" w:name="_Toc149124027"/>
      <w:r>
        <w:rPr>
          <w:b w:val="false"/>
          <w:bCs w:val="false"/>
          <w:sz w:val="24"/>
          <w:szCs w:val="24"/>
        </w:rPr>
        <w:t>Таблица </w:t>
      </w:r>
      <w:r>
        <w:rPr>
          <w:b w:val="false"/>
          <w:bCs w:val="false"/>
          <w:sz w:val="24"/>
          <w:szCs w:val="24"/>
          <w:lang w:val="ru-RU"/>
        </w:rPr>
        <w:t>4</w:t>
      </w:r>
      <w:r>
        <w:rPr>
          <w:b w:val="false"/>
          <w:bCs w:val="false"/>
          <w:sz w:val="24"/>
          <w:szCs w:val="24"/>
        </w:rPr>
        <w:t xml:space="preserve">. Требования к </w:t>
      </w:r>
      <w:bookmarkEnd w:id="66"/>
      <w:r>
        <w:rPr>
          <w:b w:val="false"/>
          <w:bCs w:val="false"/>
          <w:sz w:val="24"/>
          <w:szCs w:val="24"/>
          <w:lang w:val="ru-RU"/>
        </w:rPr>
        <w:t>качеству услуг</w:t>
      </w:r>
      <w:bookmarkEnd w:id="69"/>
      <w:r>
        <w:rPr>
          <w:b w:val="false"/>
          <w:bCs w:val="false"/>
          <w:sz w:val="24"/>
          <w:szCs w:val="24"/>
        </w:rPr>
        <w:t xml:space="preserve"> </w:t>
      </w:r>
    </w:p>
    <w:p>
      <w:pPr>
        <w:pStyle w:val="Normal"/>
        <w:rPr/>
      </w:pPr>
      <w:r>
        <w:rPr>
          <w:b w:val="false"/>
          <w:bCs w:val="false"/>
          <w:sz w:val="24"/>
          <w:szCs w:val="24"/>
        </w:rPr>
        <w:t>Наименование услуг/этапа услуг (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 xml:space="preserve">Перевозка корпуса РК </w:t>
      </w:r>
      <w:r>
        <w:rPr>
          <w:rFonts w:eastAsia="Times New Roman" w:cs="Times New Roman"/>
          <w:b w:val="false"/>
          <w:bCs w:val="false"/>
          <w:iCs/>
          <w:color w:val="000000"/>
          <w:kern w:val="0"/>
          <w:sz w:val="24"/>
          <w:szCs w:val="24"/>
          <w:shd w:fill="auto" w:val="clear"/>
          <w:lang w:val="ru-RU" w:eastAsia="ru-RU" w:bidi="ar-SA"/>
        </w:rPr>
        <w:t>(в сборе с втулкой направляющей-1шт., втулками наружными цапф лопастей-5шт., втулками внутренними цапф лопастей-5шт., цапфами-5шт., кольцами опорными-5шт., рычагами-5шт., серьгами-5шт., проушинами-5шт.), днища РК и крестовины РК гидроагрегата ст.№11</w:t>
      </w:r>
      <w:r>
        <w:rPr>
          <w:b w:val="false"/>
          <w:bCs w:val="false"/>
          <w:sz w:val="24"/>
          <w:szCs w:val="24"/>
        </w:rPr>
        <w:t>):</w:t>
      </w:r>
      <w:r>
        <w:rPr>
          <w:rStyle w:val="Style8"/>
          <w:b w:val="false"/>
          <w:bCs w:val="false"/>
          <w:iCs/>
          <w:sz w:val="24"/>
          <w:szCs w:val="24"/>
        </w:rPr>
        <w:t xml:space="preserve"> </w:t>
      </w:r>
    </w:p>
    <w:tbl>
      <w:tblPr>
        <w:tblStyle w:val="af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5"/>
        <w:gridCol w:w="2093"/>
        <w:gridCol w:w="4704"/>
        <w:gridCol w:w="1757"/>
        <w:gridCol w:w="2561"/>
        <w:gridCol w:w="2744"/>
      </w:tblGrid>
      <w:tr>
        <w:trPr/>
        <w:tc>
          <w:tcPr>
            <w:tcW w:w="102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09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70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3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2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9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70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7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70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70"/>
          </w:p>
        </w:tc>
        <w:tc>
          <w:tcPr>
            <w:tcW w:w="20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7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7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Маршрут передвижения</w:t>
            </w:r>
          </w:p>
        </w:tc>
        <w:tc>
          <w:tcPr>
            <w:tcW w:w="47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Перевозка корпуса РК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(в сборе с втулкой направляющей-1шт., втулками наружными цапф лопастей-5шт., втулками внутренними цапф лопастей-5шт., цапфами-5шт., кольцами опорными-5шт., рычагами-5шт., серьгами-5шт., проушинами-5шт.), днища РК и крестовины РК гидроагрегата ст.№11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маршруту: г. Жигулёвск  – г. Сызрань.</w:t>
            </w:r>
          </w:p>
        </w:tc>
        <w:tc>
          <w:tcPr>
            <w:tcW w:w="175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1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7" w:hRule="atLeast"/>
        </w:trPr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Ответственность Исполнителя в части оказания услуг</w:t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несет ответственность за качество, работоспособность, функциональные свойства и технические характеристики автотранспорта, используемой для оказания услуг в соответствии с настоящими техническими</w:t>
            </w:r>
            <w:r>
              <w:rPr>
                <w:rFonts w:eastAsia="Times New Roman" w:cs="Times New Roman"/>
                <w:color w:val="FF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требованиями и действующих нормативных актов РФ, сроков исполнения, в полном объеме, с надлежащим качеством.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Лица, управляющие автотранспортом, должны иметь действующие водительское удостоверение с разрешенной категорией.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назначить своего полномочного представителя, имеющего право осуществлять оперативную связь с представителем Заказчика. Полномочия представителя должны быть подтверждены надлежащим образом оформленной доверенностью, передаваемой Заказчику в течение 3 (трех) дней с даты заключения Договора.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к результатам услуг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соблюдению Исполнителя технологической, производственной и трудовой дисциплин</w:t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соблюдать требования технологической, производственной и трудовой дисциплины.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ТС законодательству РФ</w:t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соблюдать законодательство РФ при эксплуатации, обслуживании и предоставлении услуг автотранспорта Заказчику.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несет полную материальную ответственность за сохранность груза с момента принятия его для перевозки и до момента выдачи грузополучателю или управомоченному им лицу.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утраты, гибели, порчи груза, его стоимость возмещается Заказчику в полном объеме, а именно  указанную в п.1.6 ТТ заявленную восстановительную стоимость.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нести все расходы, связанные с эксплуатацией автотранспорта, включая, но не ограничиваясь расходами на заработную плату членам экипажей, оплату топлива, горюче-смазочных материалов и эксплуатационных жидкостей, оплату ремонта и запасных частей для спецтехники, оплату стоимости налоговых пошлин, страховых сборов, оплату штрафов, и иных расходов, возникающих в связи с эксплуатацией спецтехники.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оплачивает за свой счет сборы, пошлины, дорожные, экологические, въездные и другие платежи, связанные с осуществлением перевозки.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Ответственность Исполнителя</w:t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освободить Заказчика от ответственности за которую отвечает Исполнитель, выплат по претензиям, требованиям и судебным искам, предъявляемым третьими лицами в связи с оказанием Услуг, а также компенсировать ущерб, связанный с причинением Исполнителем вреда жизни или здоровью людей, имуществу Заказчика  или третьих лиц, окружающей среде, без какого-либо ограничения размера такого возмещения, включая затраты, связанные с устранением последствий материального ущерба, в том числе: затраты на разборку поврежденного имущества, непригодного для дальнейшего использования, затраты на оплату профессиональных услуг привлеченных специалистов, если такие услуги необходимы для устранения последствий материального ущерба; дополнительные расходы на оплату работ/услуг в сверхурочное время, ночное время, в официальные праздники и выходные дни, а также транспортные расходы, вызванные срочностью проведения работ, в том числе в случае, если такой ущерб причинен в результате недостатков оказанных Услуг.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75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Опыт работы</w:t>
            </w:r>
          </w:p>
        </w:tc>
        <w:tc>
          <w:tcPr>
            <w:tcW w:w="47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Опыт выполнения аналогичных работ.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у Участника закупки опыта оказания аналогичных услуг не менее 3 лет, при этом за данный период участником должны быть исполнены обязательства (выполнены указанные работы) как минимум по 3 договорам в объёмах, не менее 30% от НМЦ лота.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«Справка о перечне и годовых объёмах выполнения аналогичных договоров», приведенной в Документации о закупке.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79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75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6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both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Адрес места нахождения груза и грузоотправитель</w:t>
            </w:r>
          </w:p>
        </w:tc>
        <w:tc>
          <w:tcPr>
            <w:tcW w:w="47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Российская Федерация, Самарская обл., г. Жигулевск, ул. Московское шоссе, д.2,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монтажная площадка здания ГЭС, отм.50 (53.423192, 49.479693).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Погрузка груза на транспорт Исполнителя осуществляется силами и средствами Заказчика на монтажной площадке Филиала ПАО «РусГидро»-«Жигулевская ГЭС».</w:t>
            </w:r>
          </w:p>
        </w:tc>
        <w:tc>
          <w:tcPr>
            <w:tcW w:w="1757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both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Адрес места доставки груза и грузополучатель</w:t>
            </w:r>
          </w:p>
        </w:tc>
        <w:tc>
          <w:tcPr>
            <w:tcW w:w="47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Российская Федерация, Самарская обл., г. Сыз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рань, ул. Г</w:t>
            </w: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идротурбинная, зд. 13,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АО «ТЯЖМАШ».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Разгрузка груза в месте доставки осуществляется силами и средствами АО «ТЯЖМАШ».</w:t>
            </w:r>
          </w:p>
        </w:tc>
        <w:tc>
          <w:tcPr>
            <w:tcW w:w="1757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both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Способ транспортировки груза</w:t>
            </w:r>
          </w:p>
        </w:tc>
        <w:tc>
          <w:tcPr>
            <w:tcW w:w="47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груза осуществляется в горизонтальном положении «открытое место» с учетом фиксации от возможных перемещений при транспортировке.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1 место: Корпус РК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(в сборе с втулкой направляющей-1шт., втулками наружными цапф лопастей-5шт., втулками внутренними цапф лопастей-5шт., цапфами-5шт., кольцами опорными-5шт., рычагами-5шт., серьгами-5шт., проушинами-5шт.) на транспортировочной площадке (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 xml:space="preserve">Приложение №1. Эскиз корпуса РК,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фото 1).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2 место: днище РК и крестовина РК (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 xml:space="preserve">Приложение №2. Эскиз крестовины РК, </w:t>
            </w:r>
            <w:r>
              <w:rPr>
                <w:sz w:val="24"/>
                <w:szCs w:val="24"/>
                <w:lang w:eastAsia="x-none"/>
              </w:rPr>
              <w:t xml:space="preserve">Приложение №3.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Эскиз днища РК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За 5 рабочих дней до начала выполнения работ Исполнитель предоставляет Заказчику на согласование схему раскладки и крепления груза на полуприцепе автотранспортного средства.</w:t>
            </w:r>
          </w:p>
        </w:tc>
        <w:tc>
          <w:tcPr>
            <w:tcW w:w="1757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both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Метод крепления на транспортное средство и упаковка</w:t>
            </w:r>
          </w:p>
        </w:tc>
        <w:tc>
          <w:tcPr>
            <w:tcW w:w="47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Корпус РК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(в сборе с втулкой направляющей-1шт., втулками наружными цапф лопастей-5шт., втулками внутренними цапф лопастей-5шт., цапфами-5шт., кольцами опорными-5шт., рычагами-5шт., серьгами-5шт., проушинами-5шт.), днище РК и крестовину РК гидроагрегата ст.№11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установить на «подкладки» (листовая резина, доски, фанеру, бруски). Крепление груза производится силами и средствами Исполнителя. Упаковка груза и погрузка производится Заказчиком.</w:t>
            </w:r>
          </w:p>
        </w:tc>
        <w:tc>
          <w:tcPr>
            <w:tcW w:w="1757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Способ крепления</w:t>
            </w:r>
          </w:p>
        </w:tc>
        <w:tc>
          <w:tcPr>
            <w:tcW w:w="47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Крепление производить за не обработанные поверхности (например, за лучи крестовины с помощью цепей и талрепов). </w:t>
            </w:r>
          </w:p>
        </w:tc>
        <w:tc>
          <w:tcPr>
            <w:tcW w:w="1757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перевозки</w:t>
            </w:r>
          </w:p>
        </w:tc>
        <w:tc>
          <w:tcPr>
            <w:tcW w:w="47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перевозки негабаритного груза является фиксированной и постоянной на протяжении всего срока действия договора.</w:t>
            </w:r>
          </w:p>
        </w:tc>
        <w:tc>
          <w:tcPr>
            <w:tcW w:w="1757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0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Подтверждение оказания услуг</w:t>
            </w:r>
          </w:p>
        </w:tc>
        <w:tc>
          <w:tcPr>
            <w:tcW w:w="47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предоставить Заказчику Акт об оказании услуг, оригиналы товаросопроводительных документов (Транспортная накладная), подтверждающих прием-передачу грузов, Счет и при необходимости иные документы.</w:t>
            </w:r>
          </w:p>
        </w:tc>
        <w:tc>
          <w:tcPr>
            <w:tcW w:w="1757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561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7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lang w:val="ru-RU"/>
        </w:rPr>
      </w:pPr>
      <w:bookmarkStart w:id="71" w:name="_Toc149124028"/>
      <w:r>
        <w:rPr>
          <w:iCs/>
          <w:lang w:val="ru-RU"/>
        </w:rPr>
        <w:t>Приложения</w:t>
      </w:r>
      <w:bookmarkEnd w:id="71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Приложение №1. Эскиз корпуса РК.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Приложение №2. Эскиз крестовины РК.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Приложение №3. Эскиз днища РК.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7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13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 w:val="false"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Apple-converted-space" w:customStyle="1">
    <w:name w:val="apple-converted-space"/>
    <w:qFormat/>
    <w:rsid w:val="00a270d0"/>
    <w:rPr>
      <w:rFonts w:cs="Times New Roman"/>
    </w:rPr>
  </w:style>
  <w:style w:type="character" w:styleId="Style14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DE3B5-F3ED-479B-8010-3A6D9E621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4635</TotalTime>
  <Application>AlterOffice/3.4.0.9$Linux_X86_64 LibreOffice_project/b8daf9e823b1a5463a2f48435ddc2e8696e7d4fc</Application>
  <AppVersion>15.0000</AppVersion>
  <Pages>13</Pages>
  <Words>1931</Words>
  <Characters>13244</Characters>
  <CharactersWithSpaces>14979</CharactersWithSpaces>
  <Paragraphs>244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2024-03-27T11:34:00Z</dcterms:created>
  <dc:creator>Быстров Олег Геннадьевич</dc:creator>
  <dc:description/>
  <dc:language>ru-RU</dc:language>
  <cp:lastModifiedBy>ilyichevdu@corp.gidroogk.com</cp:lastModifiedBy>
  <cp:lastPrinted>2026-05-15T13:22:51Z</cp:lastPrinted>
  <dcterms:modified xsi:type="dcterms:W3CDTF">2026-07-28T15:54:52Z</dcterms:modified>
  <cp:revision>81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