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>
      <w:pPr>
        <w:pStyle w:val="Normal"/>
        <w:spacing w:lineRule="auto" w:line="240" w:before="0" w:after="0"/>
        <w:ind w:firstLine="709" w:start="0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оказание услуг по предоставлению информации с установленных элементов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Миасское км 75+210 и по обслуживанию оборудования (Комплексов ФВФ) весового и габаритного контроля транспортных средств на автоматическом пункте весогабаритного контроля (АПВГК), расположенного на участке автодороги Шадринск – Ялуторовск км 86+700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 Цели и задачи 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повышение безопасности дорожного движения на территории Курганской области;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сохранности автомобильных дорог регионального и межмуниципального значения Курганской области;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эффективное обеспечение работы весогабаритного контроля ТС;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Основными задачами являются: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Повышение качества контроля проезда транспортных средств, перевозящих тяжеловесные и крупногабаритные грузы;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Обеспечение сохранности автомобильных дорог общего пользования путем: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недопущения несанкционированного проезда транспортных средств, с превышением предельно допустимых норм весогабаритных параметров транспортных средств, установленных на территории РФ;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принятия необходимых мер по поддержанию эксплуатационных характеристик автомобильных дорог, на основе обобщения и анализа полученных данных о суммарной нагрузке, создаваемой транспортными средствами в процессе жизненного цикла автомобильных дорог;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Увеличение срока службы дорожного покрытия и искусственных сооружений;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Повышение уровня безопасности дорожного движения.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Перечень сокращений и обозначений</w:t>
      </w:r>
    </w:p>
    <w:p>
      <w:pPr>
        <w:pStyle w:val="A1"/>
        <w:widowControl w:val="false"/>
        <w:spacing w:lineRule="auto" w:line="240" w:before="0" w:after="0"/>
        <w:ind w:firstLine="709" w:start="0" w:end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W w:w="9920" w:type="dxa"/>
        <w:jc w:val="end"/>
        <w:tblInd w:w="0" w:type="dxa"/>
        <w:tblLayout w:type="fixed"/>
        <w:tblCellMar>
          <w:top w:w="80" w:type="dxa"/>
          <w:start w:w="108" w:type="dxa"/>
          <w:bottom w:w="80" w:type="dxa"/>
          <w:end w:w="108" w:type="dxa"/>
        </w:tblCellMar>
        <w:tblLook w:val="04a0" w:noHBand="0" w:noVBand="1" w:firstColumn="1" w:lastRow="0" w:lastColumn="0" w:firstRow="1"/>
      </w:tblPr>
      <w:tblGrid>
        <w:gridCol w:w="3515"/>
        <w:gridCol w:w="6405"/>
      </w:tblGrid>
      <w:tr>
        <w:trPr>
          <w:tblHeader w:val="true"/>
          <w:trHeight w:val="49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Сокращения, обозначения, термины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ind w:firstLine="709" w:start="0" w:end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Значение</w:t>
            </w:r>
          </w:p>
        </w:tc>
      </w:tr>
      <w:tr>
        <w:trPr>
          <w:tblHeader w:val="true"/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АПВГК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Автоматический пункт весогабаритного контроля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VPN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частная сеть (Virtual Private Network)</w:t>
            </w:r>
          </w:p>
        </w:tc>
      </w:tr>
      <w:tr>
        <w:trPr>
          <w:trHeight w:val="121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Автоматическая фиксация (автоматический режим работы)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работы специальных технических средств, обеспечивающий выявление фиксируемого события без участия человека (оператора), формирование и хранение необходимой и достаточной доказательной базы для вынесения постановлений по делам об административных правонарушениях.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ВГК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Весогабаритный контроль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ГРЗ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регистрационный знак</w:t>
            </w:r>
          </w:p>
        </w:tc>
      </w:tr>
      <w:tr>
        <w:trPr>
          <w:trHeight w:val="14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Комплекс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ФВФ/Оборудование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Специальные технические средства, работающие в автоматическом режиме и имеющие функции фото- и киносъемки, видеозаписи.</w:t>
            </w:r>
          </w:p>
        </w:tc>
      </w:tr>
      <w:tr>
        <w:trPr>
          <w:trHeight w:val="49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Опора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Несущая конструкция, используемая для монтажа элементов ТСАФ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ПДД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дорожного движения Российской Федерации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ТС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Транспортное средство</w:t>
            </w:r>
          </w:p>
        </w:tc>
      </w:tr>
      <w:tr>
        <w:trPr>
          <w:trHeight w:val="73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Полное распознавание ГРЗ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Результирующая последовательность кодов символов, полностью соответствующая цифробуквенной последовательности исходного ГРЗ ТС</w:t>
            </w:r>
          </w:p>
        </w:tc>
      </w:tr>
      <w:tr>
        <w:trPr>
          <w:trHeight w:val="73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Полоса движения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Любая из продольных полос проезжей части, обозначенная или не обозначенная разметкой и имеющая ширину, достаточную для движения автомобилей в один ряд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Проезжая часть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 дороги, предназначенный для движения безрельсовых ТС</w:t>
            </w:r>
          </w:p>
        </w:tc>
      </w:tr>
      <w:tr>
        <w:trPr>
          <w:trHeight w:val="73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Различимый ГРЗ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Визуально различимый с расстояния не менее 40 метров государственный регистрационный знак, соответствующий Конвенции о дорожном движении от 8 ноября 1968 года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Рубеж контроля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размещения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Комплексов ФВФ</w:t>
            </w:r>
          </w:p>
        </w:tc>
      </w:tr>
      <w:tr>
        <w:trPr>
          <w:trHeight w:val="97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Условное распознавание ГРЗ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Результирующая последовательность кодов символов, отличающаяся от цифробуквенной последовательности исходного ГРЗ одним символом; при этом нераспознанный символ заменен символом сомнения</w:t>
            </w:r>
          </w:p>
        </w:tc>
      </w:tr>
      <w:tr>
        <w:trPr>
          <w:trHeight w:val="25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ТС, зафиксированное ТСАФ в Зоне контроля</w:t>
            </w:r>
          </w:p>
        </w:tc>
      </w:tr>
      <w:tr>
        <w:trPr>
          <w:trHeight w:val="491" w:hRule="atLeast"/>
        </w:trPr>
        <w:tc>
          <w:tcPr>
            <w:tcW w:w="351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КоАП РФ</w:t>
            </w:r>
          </w:p>
        </w:tc>
        <w:tc>
          <w:tcPr>
            <w:tcW w:w="6405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Кодекс Российской Федерации об административных правонарушениях</w:t>
            </w:r>
          </w:p>
        </w:tc>
      </w:tr>
      <w:tr>
        <w:trPr>
          <w:trHeight w:val="491" w:hRule="atLeast"/>
        </w:trPr>
        <w:tc>
          <w:tcPr>
            <w:tcW w:w="3515" w:type="dxa"/>
            <w:tcBorders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ind w:firstLine="709" w:start="0" w:end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</w:p>
        </w:tc>
        <w:tc>
          <w:tcPr>
            <w:tcW w:w="6405" w:type="dxa"/>
            <w:tcBorders>
              <w:bottom w:val="single" w:sz="4" w:space="0" w:color="00000A"/>
            </w:tcBorders>
            <w:vAlign w:val="center"/>
          </w:tcPr>
          <w:p>
            <w:pPr>
              <w:pStyle w:val="A1"/>
              <w:widowControl w:val="false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Модуль  обработки выявленных фактов уклонения от ВГК путем скрытия ГРЗ</w:t>
            </w:r>
          </w:p>
        </w:tc>
      </w:tr>
    </w:tbl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Назначение и состав Комплексов ФВФ -элементов весового и габаритного контроля (далее ВГК)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требованиями п. 38 приказа Министерства транспорта РФ 31 августа 2020 г. № 348 “Об утверждении Порядка осуществления весового и габаритного контроля транспортных средств”, на АПВГК, расположенных на участках автомобильных дорог (Приложение 1 к Техническому заданию) необходимо установить средства для формирования обзорной фотографии транспортных средств  и средства фотовидеофиксации государственных регистрационных номеров транспортных средств с функцией распознавания таких номеров и формирования фронтальной фотографии транспортных средств. Установка Комплексов ФВФ  на рубеже контроля в соответствии с Техническим заданием позволяет выявить факты уклонения от ВГК путем скрытия ГРЗ (далее – элементы ВГК), зафиксированных АПВГК с закрытым ГРЗ, по установленным признакам выявления ТС с незакрытым ГРЗ по маршруту следования и информационной интеграцией двух и более зафиксированных проездов в единую карточку зафиксированного нарушения правил движения ТКТС (присвоение ГРЗ) с отражением даты и времени фиксации, направления движения и времени прохождения в пути от точки дислокации АПВГК (фиксация проезда с закрытым ГРЗ) до точек дислокации средств фотовидеофиксации, находящихся на пути следования по маршруту движения (фиксация проезда с открытым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ГРЗ).</w:t>
      </w:r>
    </w:p>
    <w:p>
      <w:pPr>
        <w:pStyle w:val="A1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Функциональные требования к модулю обработки выявленных фактов уклонения от ВГК путем скрытия ГРЗ.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В рамках функционирования модуля происходит процесс обработки автоматически выявленных фактов сокрытия ГРЗ, за счет интеграции данных от АПВГК, камеры с функцией распознавания ГРЗ и средствами ФВФ, находящихся вблизи АПВГК и на связанных участках. Модуль позволяет: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sz w:val="24"/>
        </w:rPr>
        <w:t>Выявить факт сокрытия ГРЗ грузовым;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sz w:val="24"/>
        </w:rPr>
        <w:t>Найти ТС по фактам сокрытия ГРЗ на комплексах ФВФ, находящихся вблизи АПВГК и на связанных участках (при их проезде ТС);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sz w:val="24"/>
        </w:rPr>
        <w:t>Рассчитать фактическое время фиксаций на АПВГК (со скрытым ГРЗ) и ФВФ (с распознанным ГРЗ);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• </w:t>
      </w:r>
      <w:r>
        <w:rPr>
          <w:rFonts w:ascii="Times New Roman" w:hAnsi="Times New Roman"/>
          <w:sz w:val="24"/>
        </w:rPr>
        <w:t>Сопоставить выявленные факты и интегрировать факт проезда в единую карточку нарушения;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Собрать доказательную базу по каждому подозрению на сокрытие ГРЗ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 xml:space="preserve">Подтвердить или отклонить каждое подозрение на сокрытие ГРЗ 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Подозрения на сокрытие ГРЗ 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Модуль на основе данных о фиксациях ТС на комплексах ФВФ и камерах с функциями распознавания ГРЗ должен выявлять подозрения на уклонения от ВГК путем скрытия ГРЗ на основе выполнения набора следующих критериев: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</w:t>
        <w:tab/>
        <w:t>Проезд выполнен грузовым ТС и присутствует признак наличия нарушения (по общей массе, нагрузке на ось или превышение габаритов);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</w:t>
        <w:tab/>
        <w:t>Предполагаемый маршрут, проходящий через АПВГК (фиксации ТС на ФВФ должны объединяться в маршрут, который предположительно также проходит через АПВГК);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Поиск похожих ТС по их характеристикам должен осуществляться на основе исторических данных о характеристиках ТС, накопленных в базе данных по результатам прошлых фиксаций ТС с данным ГРЗ на АПВГК: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  <w:tab/>
        <w:t>Просмотр фактов уклонения от ВГК путем сокрытия ГРЗ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 выполнении проверки или просмотра фактов уклонений должны отображаться следующие параметры фактов проездов со скрытым ГРЗ, выбранных АПВГК, со следующими данными: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ГРЗ;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Идентификационный номер и координаты АПВГК;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Даты и времени фиксации на ФВФ;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Дата и время фиксации на АПВГК;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Модуль должен предоставлять возможность выбора подходящих фиксаций из числа найденных комплексом в автоматическом режиме и возможность запуска операций "Подтвердить" и "Отклонить".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Пользователь просматривает и выполняет подтверждение факта выбор фиксаций похожих ТС или отклоняет факт, после чего факт сохраняется в разделе подтвержденных или отклоненных соответственно.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  <w:tab/>
        <w:t>Просмотр отчетов по сокрытию ГРЗ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модуле должны быть доступны следующие отчеты: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-Топ нарушителей, скрывающих ГРЗ;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Количество подтвержденных фактов скрытия ГРЗ за выбранный период;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Пользователь может указать параметры формирования отчета: Период - выбор дат начала и окончания периода, за который анализируются факты;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Отчет должен представлять собой таблицу, содержащую следующие поля: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</w:t>
        <w:tab/>
        <w:t>ГРЗ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</w:t>
        <w:tab/>
        <w:t>Количество подтвержденных фактов скрытия ГРЗ за выбранный период;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</w:t>
        <w:tab/>
        <w:t>Изображения ТС с читаемым (распознанным) ГРЗ.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Пользователь должен иметь возможность при выборе конкретной строки отчета (ГРЗ) перейти к списку подтвержденных фактов по данному ГРЗ.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Краткие характеристики элементов ВГК (комплексов ФВФ).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На объекте </w:t>
      </w:r>
      <w:r>
        <w:rPr>
          <w:rFonts w:ascii="Times New Roman" w:hAnsi="Times New Roman"/>
          <w:spacing w:val="-4"/>
          <w:sz w:val="24"/>
        </w:rPr>
        <w:t>км 75+210 автомобильной дороги Шадринск – Миасское в Катайском муниципальном округе</w:t>
      </w:r>
      <w:r>
        <w:rPr>
          <w:rFonts w:ascii="Times New Roman" w:hAnsi="Times New Roman"/>
          <w:sz w:val="24"/>
        </w:rPr>
        <w:t xml:space="preserve"> Исполнитель осуществляет за счет собственных средств, доставку, установку Комплексов ФВФ (Оборудование) в соответствии с Техническим заданием, и обязуется оказать услуги в соответствии с условиями настоящего Технического задания. Тип и места устанавливаемых элементов ВГК для каждого конкретного места размещения определяются Исполнителем по результатам натурного обследования мест установки АПВГК.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На объекте км 86+700 автомобильной дороги Шадринск – Ялуторовск в Шатровском муниципальном округе Курганской области Заказчик передает Исполнителю по акту приема-передачи комплексы ФВФ в кол-ве</w:t>
      </w:r>
      <w:r>
        <w:rPr>
          <w:rFonts w:ascii="Times New Roman" w:hAnsi="Times New Roman"/>
          <w:color w:val="000000"/>
          <w:sz w:val="24"/>
        </w:rPr>
        <w:t xml:space="preserve"> 2 штук (по адресу: г. Курган, ул. Свердлова, д. 13).</w:t>
      </w:r>
      <w:r>
        <w:rPr>
          <w:rFonts w:ascii="Times New Roman" w:hAnsi="Times New Roman"/>
          <w:sz w:val="24"/>
        </w:rPr>
        <w:t xml:space="preserve"> Исполнитель осуществляет за счет собственных средств, доставку, установку Комплексов ФВФ в соответствии с Техническим заданием, и обязуется оказать услуги в соответствии с условиями настоящего Технического задания. Тип и места устанавливаемых элементов ВГК (комплексов ФВФ) для каждого конкретного места размещения определяются Исполнителем по результатам натурного обследования мест установки АПВГК.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Эксплуатация Оборудования позволит повысить безопасность дорожного движения, использовать его в целях осуществления контроля за дорожным движением, фиксации административных правонарушений, совершаемых участниками дорожного движения.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Элементы ВГК (комплексы ФВФ), в том числе перечисленные в составе приложений, предназначены для статистического анализа транспортного потока в целях выявления параметров транспортного потока и контроля за количеством и качеством проездов для последующего анализа в целях формирования целевых показателей для автоматизации транспортной подсистемы и формирования задач развития сегмента транспортного контроля, повышения безопасности на транспорте. </w:t>
      </w:r>
    </w:p>
    <w:p>
      <w:pPr>
        <w:pStyle w:val="Normal"/>
        <w:rPr/>
      </w:pPr>
      <w:r>
        <w:rPr>
          <w:rFonts w:ascii="Times New Roman" w:hAnsi="Times New Roman"/>
          <w:color w:val="000000"/>
          <w:sz w:val="24"/>
        </w:rPr>
        <w:t xml:space="preserve">Точное место установки элементов ВГК (средств ФВФ) определяется Исполнителем на этапе разработки эскизного проекта и согласовывается с Заказчиком. Эскизный проект направляется электронно посредство электронной почты:  </w:t>
      </w:r>
      <w:hyperlink r:id="rId2">
        <w:r>
          <w:rPr>
            <w:rStyle w:val="Style4"/>
            <w:rFonts w:ascii="Times New Roman" w:hAnsi="Times New Roman"/>
            <w:color w:val="000000"/>
            <w:sz w:val="24"/>
          </w:rPr>
          <w:t>pshenichnikova-nm@ural.rt.ru</w:t>
        </w:r>
      </w:hyperlink>
      <w:r>
        <w:rPr>
          <w:rFonts w:ascii="Times New Roman" w:hAnsi="Times New Roman"/>
          <w:color w:val="000000"/>
          <w:sz w:val="24"/>
        </w:rPr>
        <w:t>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 Требования к установке элементов ВГК (Комплексов ФВФ).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Общие требования.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6.1.1. Выполнение установки предполагает следующие работы: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установку опор (стоек), либо использование существующей инфраструктуры;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монтаж элементов ВГК (Комплексов ФВФ);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монтаж бокса для аккумуляторных батарей (боксы должны быть окрашены в серый цвет и иметь нанесенную светоотражающую ленту желтого цвета по периметру);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подключение к каналам связи для передачи данных;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настройку и пуско-наладку Оборудования;</w:t>
      </w:r>
    </w:p>
    <w:p>
      <w:pPr>
        <w:pStyle w:val="A1"/>
        <w:widowControl w:val="false"/>
        <w:numPr>
          <w:ilvl w:val="0"/>
          <w:numId w:val="2"/>
        </w:numPr>
        <w:spacing w:lineRule="auto" w:line="240" w:before="0" w:after="0"/>
        <w:ind w:firstLine="535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электропитания, в том числе от аккумуляторных батарей/источников бесперебойного питания.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bookmarkStart w:id="0" w:name="_GoBack"/>
      <w:r>
        <w:rPr>
          <w:rFonts w:ascii="Times New Roman" w:hAnsi="Times New Roman"/>
          <w:sz w:val="24"/>
        </w:rPr>
        <w:t xml:space="preserve">установка (строительно-монтажные работы) комплексов ФВФ;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-проведение пуско-наладочных работ, достаточных для полноценного функционирования комплексов ФВФ;</w:t>
      </w:r>
    </w:p>
    <w:p>
      <w:pPr>
        <w:pStyle w:val="Normal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/>
        <w:t xml:space="preserve">-  </w:t>
      </w:r>
      <w:r>
        <w:rPr>
          <w:rFonts w:ascii="Times New Roman" w:hAnsi="Times New Roman"/>
          <w:sz w:val="24"/>
        </w:rPr>
        <w:t>тестирование   комплексов ФВФ с целью проверки их соответствия требованиям Технического задания с участием представителей Заказчика.</w:t>
      </w:r>
    </w:p>
    <w:p>
      <w:pPr>
        <w:pStyle w:val="Normal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выполнения работ:  в течение 5 (пяти) календарных дней с момента подписания  контракта с Государственным заказчиком. Датой начала оказания Услуг является дата подписания акта тестирования, подтверждающая прохождение тестирования по результатам работ. </w:t>
      </w:r>
      <w:bookmarkEnd w:id="0"/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6.2. Требования к размещению оборудования элементов ВГК.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 Расстояние от нижнего края оборудования до поверхности дорожного покрытия (высота установки) должно соответствовать ГОСТ Р 57145-2016 «Специальные технические средства, работающие в автоматическом режиме и имеющие функции фото- и киносъемки, видеозаписи, для обеспечения контроля за дорожным движением. Правила применения».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6.2.2. В случае необходимости получения согласований с государственными органами, органами местного самоуправления, иными заинтересованными службами и организациями на проведение Работ, данные согласования должны быть получены Исполнителем самостоятельно.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6.2.3. Устанавливаемые элементы ВГК (Комплексы ФВФ) должны работать от источников бесперебойного питания и иметь возможность для подключения в постоянным источникам электроснабжения.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6.3. Требования к качеству услуг, к техническим и функциональным характеристикам услуг: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6.3.1. Комплексы ФВФ, с которых передаётся информация, должны быть размещены на территории Курганской области, зафиксированная информация должна передаваться с комплексов ФВФ в ГКУ «Курганавтодор». Точкой входа для приема данных с комплексов ФВФ является серверная ГКУ «Курганавтодор», размещенная по адресу: г. Курган, ул. Володарского, д.103.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</w:t>
        <w:tab/>
        <w:t>Исполнитель на весь срок оказания услуг должен обеспечивать работоспособность и функционирование комплексов ФВФ в соответствии с нормо-часами в размере 500 (пятьсот) часов в месяц, осуществлять эксплуатацию комплексов ФВФ, каналов связи, нести расходы на их содержание, технологическое обслуживание, включая расходы на ремонт, расходы на проведение поверки комплексов ФВФ в порядке, предусмотренном действующим законодательством Российской Федерации, на оплату каналов связи.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Согласование размещения комплексов ФВФ для оказания Услуг Исполнитель осуществляет своими силами за свой счет без привлечения Заказчика. Исполнитель выполняет подключение к каналам связи комплексов своими силами и за свой счет. Условия подключения каналов связи Исполнитель осуществляет своими силами за свой счет без привлечения Заказчика. С целью обеспечения передачи данных о событиях, фиксируемых комплексами ФВФ, Исполнитель обеспечивает пропускную способность канала связи, необходимую для качественного оказания Услуг.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6.3.3.</w:t>
        <w:tab/>
        <w:t>Комплексы, размещенные на территории Курганской области, должны в любое время суток и при любых погодных условиях обеспечивать выполнение функций и требований, предусмотренных Техническим заданием, на протяжении всего срока оказания услуг.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6.3.4.</w:t>
        <w:tab/>
        <w:t>На весь срок оказания услуг все комплексы должны иметь действующие свидетельства об утверждении типа средства измерения в соответствии с требованиями Федерального закона от 26.06.2008 № 102-ФЗ «Об обеспечении единства измерений.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6.3.5.</w:t>
        <w:tab/>
        <w:t>Комплексы должны являться средствами измерения, внесенными в государственный реестр средств измерений, размещенный на официальном сайте Федерального информационного фонда по обеспечению единства измерений -ФГИС «АРШИН».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6.3.6.</w:t>
        <w:tab/>
        <w:t>На момент оказания Услуг все ко</w:t>
      </w:r>
      <w:r>
        <w:rPr>
          <w:rFonts w:ascii="Times New Roman" w:hAnsi="Times New Roman"/>
          <w:b w:val="false"/>
          <w:bCs w:val="false"/>
          <w:color w:val="000000"/>
          <w:sz w:val="24"/>
        </w:rPr>
        <w:t>мплексы ФВФ дол</w:t>
      </w:r>
      <w:r>
        <w:rPr>
          <w:rFonts w:ascii="Times New Roman" w:hAnsi="Times New Roman"/>
          <w:sz w:val="24"/>
        </w:rPr>
        <w:t>жны иметь действующие свидетельства о поверке.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</w:t>
        <w:tab/>
        <w:t>Порядок передачи информации с комплексов ФВФ.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6.4.1.</w:t>
        <w:tab/>
        <w:t>Исполнитель в дату начала выполнения работ разрабатывает график осуществления мероприятий по установке комплексов ФВФ (далее – график).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6.4.2.</w:t>
        <w:tab/>
        <w:t>Основанием для начала осуществления Исполнителем мероприятий по установке боксов является разработанный график.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6.4.3.</w:t>
        <w:tab/>
        <w:t xml:space="preserve">Исполнитель должен провести за свой счет весь необходимый комплекс </w:t>
      </w:r>
      <w:r>
        <w:rPr>
          <w:rFonts w:ascii="Times New Roman" w:hAnsi="Times New Roman"/>
          <w:color w:val="000000"/>
          <w:sz w:val="24"/>
        </w:rPr>
        <w:t>строительно-м</w:t>
      </w:r>
      <w:r>
        <w:rPr>
          <w:rFonts w:ascii="Times New Roman" w:hAnsi="Times New Roman"/>
          <w:sz w:val="24"/>
        </w:rPr>
        <w:t xml:space="preserve">онтажных и пусконаладочных работ (далее - Работы), достаточных для полноценного функционирования комплексов ФВФ. Срок выполнения Работ в течении 5 (пяти)  календарных дней с момента подписания  контракта с Государственным заказчиком . На момент начала оказания Услуг, комплексы ФВФ должны быть протестированы с целью проверки их соответствия требованиям Технического задания с участием представителей Заказчика. По итогам тестирования составляется акт тестирования, который подписывается уполномоченными представителями Заказчика и Исполнителя и содержит информацию о прохождении/не прохождении тестирования (фактом прохождения тестирования является поступление материалов с комплексов ФВФ в ПО для дальнейшего формирование материалов по факту сокрытия ГРЗ). </w:t>
      </w:r>
      <w:r>
        <w:rPr>
          <w:rFonts w:ascii="Times New Roman" w:hAnsi="Times New Roman"/>
          <w:color w:val="000000"/>
          <w:sz w:val="24"/>
        </w:rPr>
        <w:t xml:space="preserve">Датой начала оказания Услуг является дата  подписания акта тестирования, подтверждающая прохождение тестирования.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</w:t>
        <w:tab/>
        <w:t xml:space="preserve">Требования к работоспособности: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6.5.1.</w:t>
        <w:tab/>
        <w:t>Подтверждением оказанной услуги и основанием для оплаты за отчетный период является журнал статистики работы комплексов ФВФ в часовых разрезах (приложение №2), помимо прочего, содержащий следующие разделы: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>
        <w:rPr>
          <w:rFonts w:ascii="Times New Roman" w:hAnsi="Times New Roman"/>
          <w:sz w:val="24"/>
        </w:rPr>
        <w:t>комплекса ФВФ;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тип комплекса ФВФ;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установки комплекса ФВФ;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6.5.2.</w:t>
        <w:tab/>
        <w:t>- услуга признается не оказанной и не подлежит оплате в случаях: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истечение срока действия свидетельства о поверке комплекса ФВФ;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отсутствие данных с комплекса ФВФ (камеры комплекса ФВФ) (отсутствует удаленный доступ к комплексу ФВФ, более 72 часов непрерывного времени, за исключением периода регламентного обслуживания;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6.5.3.</w:t>
        <w:tab/>
        <w:t>Исполнитель не несет ответственность за ненадлежащее оказание услуг в следующих случаях неработоспособности, независящих от Исполнителя: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работе каналов связи, при условии своевременной оплаты услуг связи;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электроснабжения, при условии своевременной оплаты услуг электроснабжения;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вандализма и (или) иных противоправных действий третьих лиц (в случае предоставления документального подтверждения данного факта);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осуществления уполномоченными органами государственной власти действий, препятствующих установке и (или) использованию комплекса ФВФ, в том числе осуществления следственных мероприятий, направленных на выявление лиц, совершивших противоправные деяния.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внешние факторы, а именно работа регулировщика, ремонт дороги, работа специальной техники.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6.5.4.</w:t>
        <w:tab/>
        <w:t>В случае неработоспособности комплекса ФВФ Исполнитель своими силами и за свой счет в течение 72 (семидесяти двух) часов устраняет обстоятельства неработоспособности комплекса ФВФ либо заменяет неработоспособный комплекс ФВФ на работоспособный. При этом комплексы ФВФ должны соответствовать всем требованиям, предъявляемым к таким комплексам.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6.5.5.</w:t>
        <w:tab/>
        <w:t>Требования к порядку оплаты: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неработоспособности более установленной величины нормо-часов в соответствии с п.6.5.4. Технического задания в течение месяца, услуга по предоставлению информации с такого АПВГК за соответствующий отчетный период считается не оказанной и не подлежит оплате.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</w:t>
        <w:tab/>
        <w:t>В целях поддержания комплексов ФВФ в работоспособном состоянии Исполнитель осуществляет своими силами и за свой счет эксплуатационно-техническое и  регламентно-профилактическое обслуживание каждого комплекса ФВФ в течение срока оказания услуг.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</w:t>
        <w:tab/>
        <w:t>Требования к диспетчерской службе: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6.7.1.</w:t>
        <w:tab/>
        <w:t xml:space="preserve"> Исполнитель должен организовать работу диспетчерской службы в режиме 24 (двадцать четыре) часа 7 (семь) дней в неделю для обеспечения мониторинга и своевременного контроля за работоспособностью комплексов ФВФ. Диспетчерская служба в режиме 24 (двадцать четыре) часа 7 (семь) дней в неделю осуществляет мониторинг и контроль за работоспособностью комплексов ФВФ, создаёт заявки в случае обнаружения неработоспособного комплекса ФВФ и контролирует их выполнение.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6.7.2.</w:t>
        <w:tab/>
        <w:t>Исполнитель предоставляет Заказчику список и контакты ответственных лиц, отвечающих за работу диспетчерской службы по запросу.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</w:t>
        <w:tab/>
        <w:t>Исполнитель может привлечь к исполнению своих обязательств по Договору третьих лиц (далее - Соисполнители). Исполнитель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за собой изменение цены Договора.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</w:t>
        <w:tab/>
        <w:t>При использовании в процессе оказания Услуг охраняемых результатов интеллектуальной деятельности, принадлежащих самому Исполнителю или третьим лицам, Исполнитель гарантирует, что охраняемые результаты интеллектуальной деятельности третьих лиц не нарушены.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Требования к качеству и безопасности Услуг: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6.10.1.</w:t>
        <w:tab/>
        <w:t>Исполнитель должен гарантировать качество и безопасность услуг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действующим законодательством РФ, правилами охраны труда, экологии, техники безопасности и пожарной безопасности.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6.11. Техническое обслуживание мест размещения комплексов ФВФ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6.11.1. В техническое обслуживание мест размещения комплексов ФВФ входит ежемесячно: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 xml:space="preserve">Внешний и внутренний осмотр бокса на предмет механических повреждений;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 xml:space="preserve">Проверка надежности установки; 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Визуальная проверка отсутствия посторонних предметов, загрязнения и атмосферных осадков внутри шкафа;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Удаление загрязнений с поверхности бокса (пыль, грязь, влага, наклейки, инородное окрашивание, надписи), устранение механических повреждений корпуса;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•</w:t>
      </w:r>
      <w:r>
        <w:rPr>
          <w:rFonts w:ascii="Times New Roman" w:hAnsi="Times New Roman"/>
          <w:sz w:val="24"/>
        </w:rPr>
        <w:tab/>
        <w:t>Удаление загрязнений с поверхности бокса, столбиков, дорожных знаков и табличек (грязь, наклейки, инородное окрашивание, надписи), с проведением при необходимости их замены.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Срок проведения технического обслуживания размещения комплексов ФВФ равен сроку оказания Услуг по Договору.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6.12. Оказание услуг по предварительной обработке материалов проездов транспортных средств (далее – ТС), поступающих с установленных элементов весового и габаритного контроля транспортных средств на автоматических пунктах весогабаритного контроля (АПВГК), расположенных на автомобильных дорогах общего пользования местного значения города Кургана,  связанных с вынесением постановлений по делам об административных правонарушениях.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соответствии с требованиями технического задания, Исполнитель должен осуществить обработку материалов, поступивших от непосредственного руководителя (либо лица назначенным Руководителем), в которую входит: поиск транспортных средств на комплексах фото-видеофиксации (далее – комплекс ФВФ) и обзорных камерах, расположенных в попутном направлении перед АПВГК согласно схеме (схема расположения АПВГК и комплексов ФВФ предоставляется после подписания договора).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обязуется проводить поиск ТС на комплексах ФВФ во временном промежутке времени 30 минут до планируемого времени проезда ТС места с установленным комплексом ФВФ и обзорной камерой и 30 минут после планируемого времени проезда ТС места с установленным комплексом ФВФ и обзорной камерой (планируемое время проезда ТС в определенной точке Исполнитель высчитывает самостоятельно с учетом скоростного режима движения на данном участке автомобильной дороги).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Поиск ТС на комплексах осуществляется путем входа на WEB интерфейс комплекса ФВФ (WEB-интерфейс: веб-страница или совокупность веб-страниц, предоставляющая пользовательский интерфейс для взаимодействия с сервисом или устройством посредством протокола HTTP и веб-браузера.) и просмотром фото материалов, сформированных на комплексе ФВФ за необходимый промежуток времени. (логин/пароль для доступа к WEB интерфейсу предоставляется после подписания договора).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Поиск ТС на обзорных камерах осуществляется путем входа на WEB интерфейс программного обеспечения с архивными видео записями (WEB-интерфейс: веб-страница или совокупность веб-страниц, предоставляющая пользовательский интерфейс для взаимодействия с сервисом или устройством посредством протокола HTTP и веб-браузера.) и просмотром фото материалов, сформированных на комплексе ФВФ за необходимый промежуток времени. (логин/пароль для доступа к WEB интерфейсу предоставляется после подписания договора).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обязан разработать отчет и согласовать его с Руководителем (либо с лицом назначенным Руководителем) в течении трех рабочих дней после подписания договора. В составе отчета должны быть обязательные поля: дата и время фиксации ТС на АПВГК, дата и время фиксации ТС на комплексе ФВФ, дата и время фиксации ТС на обзорной камере, причина отсутствия фиксации ТС (не работало оборудование или в данный промежуток времени ТС не проезжало), в отчет вставлены фото материалы, каждый материал должен быть сгруппирован в одну читаемую линию, промежутки между материалами должны быть визуально разделимы.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обязан сравнивать промежутки времени проезда ТС с временем работы комплекса ФВФ по средствам системы мониторинга (доступ к системе мониторинга предоставляется после подписания договора). Так же предоставлять информацию о неработающих комплексах ФВФ и обзорных камер в отчетах, параллельно оформлять заявки в техническую поддержку производителям комплексов ФВФ или непосредственно руководителю (либо лицу назначенным Руководителем) по средствам электронной почты.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Исполнитель должен иметь персональный компьютер или ноутбук высокой производительности с подключением к сети Internet пропускной способностью не менее 50 мб/с для возможности воспроизведение видео файлов с удаленных ресурсов в режиме реального времени.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7. Заказчик обязуется:</w:t>
      </w:r>
    </w:p>
    <w:p>
      <w:pPr>
        <w:pStyle w:val="Normal"/>
        <w:widowControl w:val="false"/>
        <w:tabs>
          <w:tab w:val="clear" w:pos="720"/>
          <w:tab w:val="left" w:pos="709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Согласовать места размещения элементов ВГК (комплексов ФВФ.)</w:t>
      </w:r>
    </w:p>
    <w:p>
      <w:pPr>
        <w:pStyle w:val="Normal"/>
        <w:widowControl w:val="false"/>
        <w:tabs>
          <w:tab w:val="clear" w:pos="720"/>
          <w:tab w:val="left" w:pos="0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При необходимости по запросу Исполнителя оказывать содействие в получении технических условий на размещение и подключение попутных комплексов ФВФ.</w:t>
      </w:r>
    </w:p>
    <w:p>
      <w:pPr>
        <w:pStyle w:val="ABulletListFooterTextnumberedParagraphedeliste1lp1GOSTTableList1BulletNumberlp11ListParagraph11Bullet1UseCaseListParagraphitList11"/>
        <w:widowControl w:val="false"/>
        <w:ind w:firstLine="709" w:start="0" w:end="0"/>
        <w:jc w:val="both"/>
        <w:rPr/>
      </w:pPr>
      <w:r>
        <w:rPr/>
        <w:t>7.3. Исполнитель обеспечивает сетевую сопряженность между комплексом фото-видео фиксации и сервером с развернутым ПО по средствам VPN.</w:t>
      </w:r>
    </w:p>
    <w:p>
      <w:pPr>
        <w:pStyle w:val="A1"/>
        <w:widowControl w:val="false"/>
        <w:tabs>
          <w:tab w:val="clear" w:pos="720"/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8. Срок и место оказания Услуг.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Сроки оказания Услуг: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начало предоставления услуг: с 01.09.2026 г.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окончание предоставления услуг: 31.01.2027 г.</w:t>
      </w:r>
    </w:p>
    <w:p>
      <w:pPr>
        <w:pStyle w:val="A1"/>
        <w:widowControl w:val="false"/>
        <w:tabs>
          <w:tab w:val="clear" w:pos="720"/>
          <w:tab w:val="left" w:pos="99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Место оказания Услуг: </w:t>
      </w:r>
      <w:r>
        <w:rPr>
          <w:rFonts w:ascii="Times New Roman" w:hAnsi="Times New Roman"/>
          <w:spacing w:val="-4"/>
          <w:sz w:val="24"/>
        </w:rPr>
        <w:t xml:space="preserve"> 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8.2.1. км 75+210 автомобильной дороги Шадринск – Миасское в Катайском муниципальном округе;</w:t>
      </w:r>
    </w:p>
    <w:p>
      <w:pPr>
        <w:pStyle w:val="A1"/>
        <w:widowControl w:val="false"/>
        <w:spacing w:lineRule="auto" w:line="240" w:before="0" w:after="0"/>
        <w:ind w:firstLine="709" w:start="0" w:end="0"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8.2.2. км 86+700 автомобильной дороги Шадринск – Ялуторовск в Шатровском муниципальном округе Курганской области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>
      <w:pPr>
        <w:pStyle w:val="A1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Техническому заданию</w:t>
      </w:r>
    </w:p>
    <w:p>
      <w:pPr>
        <w:pStyle w:val="A1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A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АПВГК подлежащие дооснащению Модулем</w:t>
      </w:r>
    </w:p>
    <w:tbl>
      <w:tblPr>
        <w:tblW w:w="9921" w:type="dxa"/>
        <w:jc w:val="end"/>
        <w:tblInd w:w="0" w:type="dxa"/>
        <w:tblLayout w:type="fixed"/>
        <w:tblCellMar>
          <w:top w:w="80" w:type="dxa"/>
          <w:start w:w="108" w:type="dxa"/>
          <w:bottom w:w="80" w:type="dxa"/>
          <w:end w:w="108" w:type="dxa"/>
        </w:tblCellMar>
        <w:tblLook w:val="04a0" w:noHBand="0" w:noVBand="1" w:firstColumn="1" w:lastRow="0" w:lastColumn="0" w:firstRow="1"/>
      </w:tblPr>
      <w:tblGrid>
        <w:gridCol w:w="893"/>
        <w:gridCol w:w="5615"/>
        <w:gridCol w:w="3413"/>
      </w:tblGrid>
      <w:tr>
        <w:trPr>
          <w:trHeight w:val="1397" w:hRule="atLeast"/>
        </w:trPr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>
            <w:pPr>
              <w:pStyle w:val="A1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п/п</w:t>
            </w:r>
          </w:p>
        </w:tc>
        <w:tc>
          <w:tcPr>
            <w:tcW w:w="5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Наименование, место расположения с координатами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  <w:p>
            <w:pPr>
              <w:pStyle w:val="A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устанавливаемых</w:t>
            </w:r>
          </w:p>
          <w:p>
            <w:pPr>
              <w:pStyle w:val="A1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элементов ВГК</w:t>
            </w:r>
          </w:p>
        </w:tc>
      </w:tr>
      <w:tr>
        <w:trPr>
          <w:trHeight w:val="1107" w:hRule="atLeast"/>
        </w:trPr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before="0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 общего пользования регионального значения Курганской области: Шадринск – Миасское в Катайском муниципальном округе на участке км 75+210  55.920729 62.569752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before="0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val="1107" w:hRule="atLeast"/>
        </w:trPr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before="0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lineRule="auto" w:line="240" w:before="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Автомобильная дорога общего пользования регионального значения Курганской области: Шадринск – Ялуторовск в Шатровском муниципальном округе на участке км 86+700 56.370983 64.807649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A1"/>
              <w:spacing w:before="0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Примечание: Точное место установки элементов ВГК</w:t>
      </w:r>
      <w:r>
        <w:rPr>
          <w:rFonts w:ascii="Times New Roman" w:hAnsi="Times New Roman"/>
          <w:color w:val="000000"/>
          <w:sz w:val="24"/>
        </w:rPr>
        <w:t xml:space="preserve"> (комплексов </w:t>
      </w:r>
      <w:r>
        <w:rPr>
          <w:rFonts w:ascii="Times New Roman" w:hAnsi="Times New Roman"/>
          <w:sz w:val="24"/>
        </w:rPr>
        <w:t>ФВФ) определяется Исполнителем на этапе разработки эскизного проекта и согласовывается с Заказчиком.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200"/>
        <w:rPr>
          <w:rFonts w:ascii="Times New Roman" w:hAnsi="Times New Roman"/>
          <w:sz w:val="24"/>
        </w:rPr>
        <w:sectPr>
          <w:type w:val="nextPage"/>
          <w:pgSz w:w="11906" w:h="16838"/>
          <w:pgMar w:left="1304" w:right="737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  <w:r>
        <w:rPr/>
        <w:t xml:space="preserve">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Техническому заданию</w:t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/>
        <w:drawing>
          <wp:inline distT="0" distB="0" distL="0" distR="0">
            <wp:extent cx="9972675" cy="936625"/>
            <wp:effectExtent l="0" t="0" r="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93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2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orient="landscape" w:w="16838" w:h="11906"/>
      <w:pgMar w:left="0" w:right="284" w:gutter="0" w:header="709" w:top="1134" w:footer="709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XO Thames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1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Pictur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Pictur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26.5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Pictur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26.5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9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Pictur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8685" cy="145415"/>
              <wp:effectExtent l="0" t="0" r="0" b="0"/>
              <wp:wrapSquare wrapText="bothSides"/>
              <wp:docPr id="3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864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78.05pt;margin-top:0.05pt;width:71.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08685" cy="145415"/>
              <wp:effectExtent l="0" t="0" r="0" b="0"/>
              <wp:wrapSquare wrapText="bothSides"/>
              <wp:docPr id="4" name="Pictur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864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78.05pt;margin-top:0.05pt;width:71.5pt;height:11.4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decimal"/>
      <w:lvlText w:val="%1.%2."/>
      <w:lvlJc w:val="start"/>
      <w:pPr>
        <w:tabs>
          <w:tab w:val="num" w:pos="1560"/>
        </w:tabs>
        <w:ind w:start="0" w:hanging="0"/>
      </w:pPr>
      <w:rPr>
        <w:i w:val="false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1277"/>
        </w:tabs>
        <w:ind w:start="0" w:hanging="0"/>
      </w:pPr>
      <w:rPr>
        <w:i w:val="false"/>
        <w:color w:val="000000"/>
      </w:rPr>
    </w:lvl>
    <w:lvl w:ilvl="3">
      <w:start w:val="1"/>
      <w:numFmt w:val="decimal"/>
      <w:lvlText w:val="(%4)"/>
      <w:lvlJc w:val="start"/>
      <w:pPr>
        <w:tabs>
          <w:tab w:val="num" w:pos="0"/>
        </w:tabs>
        <w:ind w:start="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0"/>
        </w:tabs>
        <w:ind w:start="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0"/>
        </w:tabs>
        <w:ind w:start="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0"/>
        </w:tabs>
        <w:ind w:start="0" w:hanging="360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99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1">
      <w:start w:val="1"/>
      <w:numFmt w:val="bullet"/>
      <w:lvlText w:val="-"/>
      <w:lvlJc w:val="start"/>
      <w:pPr>
        <w:tabs>
          <w:tab w:val="num" w:pos="14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2">
      <w:start w:val="1"/>
      <w:numFmt w:val="bullet"/>
      <w:lvlText w:val="-"/>
      <w:lvlJc w:val="start"/>
      <w:pPr>
        <w:tabs>
          <w:tab w:val="num" w:pos="20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3">
      <w:start w:val="1"/>
      <w:numFmt w:val="bullet"/>
      <w:lvlText w:val="-"/>
      <w:lvlJc w:val="start"/>
      <w:pPr>
        <w:tabs>
          <w:tab w:val="num" w:pos="26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4">
      <w:start w:val="1"/>
      <w:numFmt w:val="bullet"/>
      <w:lvlText w:val="-"/>
      <w:lvlJc w:val="start"/>
      <w:pPr>
        <w:tabs>
          <w:tab w:val="num" w:pos="32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5">
      <w:start w:val="1"/>
      <w:numFmt w:val="bullet"/>
      <w:lvlText w:val="-"/>
      <w:lvlJc w:val="start"/>
      <w:pPr>
        <w:tabs>
          <w:tab w:val="num" w:pos="38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6">
      <w:start w:val="1"/>
      <w:numFmt w:val="bullet"/>
      <w:lvlText w:val="-"/>
      <w:lvlJc w:val="start"/>
      <w:pPr>
        <w:tabs>
          <w:tab w:val="num" w:pos="44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7">
      <w:start w:val="1"/>
      <w:numFmt w:val="bullet"/>
      <w:lvlText w:val="-"/>
      <w:lvlJc w:val="start"/>
      <w:pPr>
        <w:tabs>
          <w:tab w:val="num" w:pos="50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  <w:lvl w:ilvl="8">
      <w:start w:val="1"/>
      <w:numFmt w:val="bullet"/>
      <w:lvlText w:val="-"/>
      <w:lvlJc w:val="start"/>
      <w:pPr>
        <w:tabs>
          <w:tab w:val="num" w:pos="5683"/>
        </w:tabs>
        <w:ind w:start="0" w:firstLine="535"/>
      </w:pPr>
      <w:rPr>
        <w:rFonts w:ascii="Calibri" w:hAnsi="Calibri" w:cs="Calibri" w:hint="default"/>
        <w:b w:val="false"/>
        <w:i w:val="false"/>
        <w:caps w:val="false"/>
        <w:smallCaps w:val="false"/>
        <w:strike w:val="false"/>
        <w:dstrike w:val="false"/>
        <w:spacing w:val="0"/>
        <w:sz w:val="22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start="0" w:end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0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2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6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14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start="800" w:end="0"/>
      <w:jc w:val="star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start="0" w:end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ListParagraph1">
    <w:name w:val="List Paragraph1"/>
    <w:basedOn w:val="Normal"/>
    <w:qFormat/>
    <w:pPr>
      <w:spacing w:before="0" w:after="200"/>
      <w:contextualSpacing/>
    </w:pPr>
    <w:rPr/>
  </w:style>
  <w:style w:type="paragraph" w:styleId="1">
    <w:name w:val="р1"/>
    <w:basedOn w:val="Normal"/>
    <w:qFormat/>
    <w:pPr>
      <w:numPr>
        <w:ilvl w:val="0"/>
        <w:numId w:val="1"/>
      </w:numPr>
      <w:jc w:val="center"/>
    </w:pPr>
    <w:rPr>
      <w:rFonts w:ascii="Times New Roman" w:hAnsi="Times New Roman"/>
      <w:b/>
      <w:sz w:val="26"/>
    </w:rPr>
  </w:style>
  <w:style w:type="paragraph" w:styleId="A1">
    <w:name w:val="Основной текст A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ABulletListFooterTextnumberedParagraphedeliste1lp1GOSTTableList1BulletNumberlp11ListParagraph11Bullet1UseCaseListParagraphitList11">
    <w:name w:val="Абзац списка;_Абзац списка;A_маркированный_список;Bullet List;FooterText;numbered;Paragraphe de liste1;lp1;GOST_TableList;Булет 1;Bullet Number;Нумерованый список;lp11;List Paragraph11;Bullet 1;Use Case List Paragraph;Нумерованный список ГОСТ;it_List11"/>
    <w:basedOn w:val="Normal"/>
    <w:qFormat/>
    <w:pPr>
      <w:spacing w:lineRule="auto" w:line="240" w:before="0" w:after="0"/>
      <w:contextualSpacing/>
    </w:pPr>
    <w:rPr>
      <w:rFonts w:ascii="Times New Roman" w:hAnsi="Times New Roman"/>
      <w:sz w:val="24"/>
    </w:rPr>
  </w:style>
  <w:style w:type="paragraph" w:styleId="Style1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/>
      <w:sz w:val="20"/>
    </w:rPr>
  </w:style>
  <w:style w:type="paragraph" w:styleId="Style12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shenichnikova-nm@ural.rt.ru" TargetMode="External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LibreOffice/25.8.7.3$Linux_X86_64 LibreOffice_project/30742500f2d3eb4366ac312fa33d3dcabdb3eba5</Application>
  <AppVersion>15.0000</AppVersion>
  <Pages>3</Pages>
  <Words>3096</Words>
  <Characters>22038</Characters>
  <CharactersWithSpaces>25157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2025-07-25T09:04:47Z</dcterms:created>
  <dc:creator/>
  <dc:description/>
  <dc:language>ru-RU</dc:language>
  <cp:lastModifiedBy/>
  <dcterms:modified xsi:type="dcterms:W3CDTF">2026-07-22T14:40:04Z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