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(Оформляется на официальном бланке организации)                            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 xml:space="preserve">Генеральному директору </w:t>
            </w:r>
          </w:p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/>
            </w:pPr>
            <w:r>
              <w:rPr>
                <w:sz w:val="26"/>
                <w:szCs w:val="26"/>
              </w:rPr>
              <w:t>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jc w:val="right"/>
              <w:rPr/>
            </w:pPr>
            <w:r>
              <w:rPr>
                <w:sz w:val="26"/>
                <w:szCs w:val="26"/>
              </w:rPr>
              <w:t>Бойко Д.В.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left"/>
        <w:rPr/>
      </w:pPr>
      <w:r>
        <w:rPr/>
        <w:t>сообщает о согласии поставки фасадных подъемников для нужд АО «СК РусГидро»</w:t>
      </w:r>
      <w:r>
        <w:rPr>
          <w:rFonts w:eastAsia="Calibri"/>
          <w:iCs/>
          <w:u w:val="none"/>
          <w:shd w:fill="FFFFFF" w:val="clear"/>
          <w:lang w:eastAsia="x-none"/>
        </w:rPr>
        <w:t xml:space="preserve"> </w:t>
      </w:r>
      <w:r>
        <w:rPr>
          <w:shd w:fill="FFFFFF" w:val="clear"/>
        </w:rPr>
        <w:t xml:space="preserve">с </w:t>
      </w:r>
      <w:r>
        <w:rPr/>
        <w:t>учётом требований Заказчика и на условиях, указанных в приложении № 1 и приложении №3.</w:t>
      </w:r>
    </w:p>
    <w:p>
      <w:pPr>
        <w:pStyle w:val="Standard"/>
        <w:shd w:val="clear" w:color="auto" w:fill="FFFFFF"/>
        <w:jc w:val="both"/>
        <w:rPr/>
      </w:pPr>
      <w:r>
        <w:rPr/>
        <w:t>2. </w:t>
      </w:r>
      <w:r>
        <w:rPr>
          <w:shd w:fill="FFFFFF" w:val="clear"/>
        </w:rPr>
        <w:t>Сроки оказания услуг: с даты заключения договора в течение 30 календарных дней.</w:t>
      </w:r>
    </w:p>
    <w:p>
      <w:pPr>
        <w:pStyle w:val="Standard"/>
        <w:shd w:val="clear" w:color="auto" w:fill="FFFFFF"/>
        <w:jc w:val="both"/>
        <w:rPr/>
      </w:pPr>
      <w:r>
        <w:rPr>
          <w:shd w:fill="FFFFFF" w:val="clear"/>
        </w:rPr>
        <w:t>3. Стоимость коммерческого предложения составляет:________________руб. Без НДС (_______________руб. с НДС _______%)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4. Стоимость единичных расценок приведена</w:t>
      </w:r>
      <w:r>
        <w:rPr>
          <w:color w:val="000000"/>
          <w:spacing w:val="-1"/>
        </w:rPr>
        <w:t xml:space="preserve"> в следующей таблице (если необходимо):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tbl>
      <w:tblPr>
        <w:tblStyle w:val="TableGrid"/>
        <w:tblW w:w="10017" w:type="dxa"/>
        <w:jc w:val="left"/>
        <w:tblInd w:w="44" w:type="dxa"/>
        <w:tblLayout w:type="fixed"/>
        <w:tblCellMar>
          <w:top w:w="51" w:type="dxa"/>
          <w:left w:w="108" w:type="dxa"/>
          <w:bottom w:w="0" w:type="dxa"/>
          <w:right w:w="53" w:type="dxa"/>
        </w:tblCellMar>
        <w:tblLook w:val="04a0" w:noHBand="0" w:noVBand="1" w:firstColumn="1" w:lastRow="0" w:lastColumn="0" w:firstRow="1"/>
      </w:tblPr>
      <w:tblGrid>
        <w:gridCol w:w="667"/>
        <w:gridCol w:w="3066"/>
        <w:gridCol w:w="1634"/>
        <w:gridCol w:w="1138"/>
        <w:gridCol w:w="745"/>
        <w:gridCol w:w="1417"/>
        <w:gridCol w:w="1349"/>
      </w:tblGrid>
      <w:tr>
        <w:trPr>
          <w:trHeight w:val="71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35"/>
              <w:ind w:left="130" w:hanging="0"/>
              <w:jc w:val="left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pacing w:lineRule="auto" w:line="259" w:before="0" w:after="0"/>
              <w:ind w:left="0" w:right="5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0" w:right="56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Наименование продукции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/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Тип, марка, артикул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/>
            </w:pPr>
            <w:r>
              <w:rPr>
                <w:b/>
                <w:kern w:val="0"/>
                <w:sz w:val="22"/>
                <w:szCs w:val="22"/>
                <w:lang w:val="ru-RU" w:eastAsia="ru-RU" w:bidi="ar-SA"/>
              </w:rPr>
              <w:t>Ед. изм.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Стоимость ед. (руб. без НДС)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0"/>
              <w:ind w:left="111" w:hanging="0"/>
              <w:jc w:val="center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Общая стоимость (руб. без НДС)</w:t>
            </w:r>
          </w:p>
        </w:tc>
      </w:tr>
      <w:tr>
        <w:trPr>
          <w:trHeight w:val="366" w:hRule="atLeast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/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Фасадный подъемник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33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</w:rPr>
            </w:pPr>
            <w:r>
              <w:rPr>
                <w:rStyle w:val="Style12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Фасадный подъемник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684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/>
            </w:pPr>
            <w:r>
              <w:rPr>
                <w:rStyle w:val="Style12"/>
                <w:b w:val="false"/>
                <w:bCs/>
                <w:i w:val="false"/>
                <w:iCs w:val="false"/>
                <w:sz w:val="24"/>
                <w:szCs w:val="24"/>
                <w:shd w:fill="FFFFFF" w:val="clear"/>
                <w:lang w:val="en-US"/>
              </w:rPr>
              <w:t>Консольный уголок, в комплекте 2 шт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комплект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Консоль усиленная 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34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Груз бетонный 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48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684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Площадка выносная передвижная 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7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Конструкция отвода троса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396" w:hRule="atLeast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8</w:t>
            </w:r>
          </w:p>
        </w:tc>
        <w:tc>
          <w:tcPr>
            <w:tcW w:w="3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Шефмонтаж</w:t>
            </w:r>
          </w:p>
        </w:tc>
        <w:tc>
          <w:tcPr>
            <w:tcW w:w="1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right="57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Усл.ед.</w:t>
            </w:r>
          </w:p>
        </w:tc>
        <w:tc>
          <w:tcPr>
            <w:tcW w:w="7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8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без НДС,руб.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8667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НДС_____%, руб.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>
          <w:trHeight w:val="410" w:hRule="atLeast"/>
        </w:trPr>
        <w:tc>
          <w:tcPr>
            <w:tcW w:w="8667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widowControl w:val="false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 с НДС,руб.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59" w:before="0" w:after="0"/>
              <w:ind w:left="0" w:hanging="0"/>
              <w:jc w:val="center"/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eastAsia="ru-RU" w:bidi="ar-SA"/>
              </w:rPr>
            </w:r>
          </w:p>
        </w:tc>
      </w:tr>
    </w:tbl>
    <w:p>
      <w:pPr>
        <w:pStyle w:val="Normal"/>
        <w:shd w:val="clear" w:color="auto" w:fill="FFFFFF"/>
        <w:jc w:val="both"/>
        <w:rPr>
          <w:color w:val="000000"/>
        </w:rPr>
      </w:pPr>
      <w:r>
        <w:rPr>
          <w:color w:val="000000"/>
        </w:rPr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5.1. А</w:t>
      </w:r>
      <w:bookmarkStart w:id="0" w:name="_Ref361858588"/>
      <w:r>
        <w:rPr>
          <w:color w:val="000000"/>
          <w:shd w:fill="FFFFFF" w:val="clear"/>
        </w:rPr>
        <w:t>вансовый платеж в размере 30 % (тридцати процентов) от стоимости Товара, указанных в Спецификации (Приложение № 1 к Договору). Авансовый платеж осуществляется в течение 30 (тридцати) календарных дней с даты получения Покупателем счета, выставленного Поставщиком.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bookmarkEnd w:id="0"/>
      <w:r>
        <w:rPr>
          <w:color w:val="000000"/>
          <w:shd w:fill="FFFFFF" w:val="clear"/>
        </w:rPr>
        <w:t>5.2. Окончательный расчет в течение 20 (двадцати) календарных дней / 7 (семи) рабочих дней (для МСП) с даты подписания Сторонами УПД на основании счета, выставленного Поставщиком.</w:t>
      </w:r>
    </w:p>
    <w:p>
      <w:pPr>
        <w:pStyle w:val="Standard"/>
        <w:jc w:val="both"/>
        <w:rPr>
          <w:shd w:fill="FFFFFF" w:val="clear"/>
        </w:rPr>
      </w:pPr>
      <w:r>
        <w:rPr>
          <w:shd w:fill="FFFFFF" w:val="clear"/>
        </w:rPr>
        <w:t>6. Мы согласны придерживаться положений настоящего предложения в течение 90 дней, начиная с даты, окончания приёма предложений.</w:t>
      </w:r>
    </w:p>
    <w:p>
      <w:pPr>
        <w:pStyle w:val="Standard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33"/>
        <w:gridCol w:w="2946"/>
        <w:gridCol w:w="2986"/>
      </w:tblGrid>
      <w:tr>
        <w:trPr/>
        <w:tc>
          <w:tcPr>
            <w:tcW w:w="413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8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33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8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AlterOffice/3.4.0.9$Linux_X86_64 LibreOffice_project/b8daf9e823b1a5463a2f48435ddc2e8696e7d4fc</Application>
  <AppVersion>15.0000</AppVersion>
  <Pages>2</Pages>
  <Words>318</Words>
  <Characters>2173</Characters>
  <CharactersWithSpaces>2455</CharactersWithSpaces>
  <Paragraphs>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nikitinma@corp.gidroogk.com</cp:lastModifiedBy>
  <dcterms:modified xsi:type="dcterms:W3CDTF">2026-07-28T13:17:46Z</dcterms:modified>
  <cp:revision>45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