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1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"/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50"/>
        <w:gridCol w:w="1140"/>
        <w:gridCol w:w="4853"/>
      </w:tblGrid>
      <w:tr>
        <w:trPr>
          <w:trHeight w:val="2226" w:hRule="atLeast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94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94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  <w:t>«ОКПД2 28.22.11.190 Поставка фасадных подъемников для нужд АО «СК РусГидро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</w:rPr>
        <w:t>»»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Лот № _ 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75446566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67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68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69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 xml:space="preserve">Цель использования закупаемой продукции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71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72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 xml:space="preserve">Иные требования и сведения общего характера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3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74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75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1.2 Перечень и объем закупаемых сопутствующих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78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2.2 Требования по срокам оказания сопутствующих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81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3. Требования к продукции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3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4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5">
            <w:r>
              <w:rPr>
                <w:webHidden/>
                <w:rStyle w:val="Style14"/>
                <w:vanish w:val="false"/>
              </w:rPr>
              <w:t>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75446566"/>
      <w:bookmarkStart w:id="1" w:name="_Toc51339692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75446567"/>
      <w:bookmarkStart w:id="3" w:name="_Toc46743505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jc w:val="both"/>
              <w:rPr>
                <w:bCs/>
                <w:i/>
                <w:i/>
                <w:iCs/>
                <w:sz w:val="24"/>
                <w:szCs w:val="24"/>
                <w:shd w:fill="FFFF99" w:val="clear"/>
              </w:rPr>
            </w:pPr>
            <w:r>
              <w:rPr>
                <w:rFonts w:eastAsia="Calibri"/>
                <w:sz w:val="24"/>
                <w:szCs w:val="24"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jc w:val="both"/>
              <w:rPr>
                <w:bCs/>
                <w:iCs/>
                <w:sz w:val="24"/>
                <w:szCs w:val="24"/>
                <w:shd w:fill="FFFF99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FFFFFF" w:val="clear"/>
              </w:rPr>
              <w:t>Акционерное общество «Сервисная компания РусГидро»  (АО «СК РусГидро»)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Товар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Фасадные подъемники 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4" w:name="_Toc75446568"/>
      <w:bookmarkStart w:id="5" w:name="_Toc46743506"/>
      <w:r>
        <w:rPr/>
        <w:t>Наименование закупаемой продукции</w:t>
      </w:r>
      <w:bookmarkEnd w:id="4"/>
      <w:bookmarkEnd w:id="5"/>
    </w:p>
    <w:p>
      <w:pPr>
        <w:pStyle w:val="Normal"/>
        <w:widowControl w:val="false"/>
        <w:tabs>
          <w:tab w:val="clear" w:pos="720"/>
          <w:tab w:val="left" w:pos="426" w:leader="none"/>
        </w:tabs>
        <w:suppressAutoHyphens w:val="true"/>
        <w:bidi w:val="0"/>
        <w:spacing w:before="120" w:after="120"/>
        <w:ind w:left="0" w:right="0" w:firstLine="283"/>
        <w:jc w:val="both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eastAsia="x-none"/>
        </w:rPr>
        <w:t>ОКПД2 28.22.11.190 Поставка фасадных подъемников для нужд АО «СК РусГидро».</w:t>
      </w:r>
      <w:r>
        <w:rPr>
          <w:rFonts w:eastAsia="Calibri"/>
          <w:i/>
          <w:lang w:eastAsia="x-none"/>
        </w:rPr>
        <w:br/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6" w:name="_Toc75446569"/>
      <w:bookmarkStart w:id="7" w:name="_Toc46743507"/>
      <w:r>
        <w:rPr/>
        <w:t xml:space="preserve">Цель </w:t>
      </w:r>
      <w:bookmarkEnd w:id="7"/>
      <w:r>
        <w:rPr>
          <w:lang w:val="ru-RU"/>
        </w:rPr>
        <w:t xml:space="preserve">использования закупаемой продукции </w:t>
      </w:r>
      <w:bookmarkEnd w:id="6"/>
    </w:p>
    <w:p>
      <w:pPr>
        <w:pStyle w:val="Normal"/>
        <w:widowControl w:val="false"/>
        <w:tabs>
          <w:tab w:val="clear" w:pos="720"/>
          <w:tab w:val="left" w:pos="426" w:leader="none"/>
        </w:tabs>
        <w:suppressAutoHyphens w:val="true"/>
        <w:bidi w:val="0"/>
        <w:spacing w:before="120" w:after="240"/>
        <w:ind w:left="0" w:right="0" w:firstLine="283"/>
        <w:jc w:val="both"/>
        <w:rPr/>
      </w:pP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FFFFFF" w:val="clear"/>
        </w:rPr>
        <w:t>Фасадные подъемники закупаются под собственные нужды, для последующего использования при техническом обслуживании на объекте: в соответствии с условиями п. 1.4 Договора.</w:t>
      </w:r>
    </w:p>
    <w:p>
      <w:pPr>
        <w:pStyle w:val="Heading4"/>
        <w:numPr>
          <w:ilvl w:val="0"/>
          <w:numId w:val="0"/>
        </w:numPr>
        <w:ind w:left="432" w:hanging="0"/>
        <w:rPr>
          <w:rStyle w:val="Style8"/>
          <w:b w:val="false"/>
          <w:bCs/>
          <w:sz w:val="24"/>
          <w:szCs w:val="24"/>
          <w:lang w:val="ru-RU"/>
        </w:rPr>
      </w:pPr>
      <w:r>
        <w:rPr>
          <w:b w:val="false"/>
          <w:bCs/>
          <w:sz w:val="24"/>
          <w:szCs w:val="24"/>
          <w:lang w:val="ru-RU"/>
        </w:rPr>
      </w:r>
    </w:p>
    <w:p>
      <w:pPr>
        <w:pStyle w:val="Heading4"/>
        <w:numPr>
          <w:ilvl w:val="1"/>
          <w:numId w:val="3"/>
        </w:numPr>
        <w:rPr/>
      </w:pPr>
      <w:bookmarkStart w:id="8" w:name="_Toc75446571"/>
      <w:bookmarkStart w:id="9" w:name="_Toc46743509"/>
      <w:bookmarkStart w:id="10" w:name="_Hlk49857604"/>
      <w:r>
        <w:rPr/>
        <w:t xml:space="preserve">Информация в отношении исполнения договора, </w:t>
      </w:r>
      <w:bookmarkStart w:id="11" w:name="_Hlk46492347"/>
      <w:r>
        <w:rPr/>
        <w:t xml:space="preserve">которая должна быть учтена при подготовке заявки </w:t>
      </w:r>
      <w:bookmarkEnd w:id="1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9"/>
      <w:bookmarkEnd w:id="10"/>
      <w:r>
        <w:rPr>
          <w:lang w:val="ru-RU"/>
        </w:rPr>
        <w:t xml:space="preserve"> </w:t>
      </w:r>
      <w:bookmarkEnd w:id="8"/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Fonts w:eastAsia="Calibri"/>
          <w:sz w:val="24"/>
          <w:szCs w:val="24"/>
          <w:lang w:eastAsia="x-none"/>
        </w:rPr>
      </w:pPr>
      <w:bookmarkStart w:id="12" w:name="_Hlk48209761"/>
      <w:bookmarkEnd w:id="12"/>
      <w:r>
        <w:rPr>
          <w:rFonts w:eastAsia="Calibri"/>
          <w:sz w:val="24"/>
          <w:szCs w:val="24"/>
          <w:u w:val="single"/>
          <w:lang w:eastAsia="x-none"/>
        </w:rPr>
        <w:t>Место поставки Товара:</w:t>
      </w:r>
      <w:r>
        <w:rPr>
          <w:rFonts w:eastAsia="Calibri"/>
          <w:sz w:val="24"/>
          <w:szCs w:val="24"/>
          <w:shd w:fill="FFFFFF" w:val="clear"/>
          <w:lang w:eastAsia="x-none"/>
        </w:rPr>
        <w:t xml:space="preserve"> в соответствии с условиями п. 1.4 Договора.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/>
      </w:pPr>
      <w:r>
        <w:rPr>
          <w:rStyle w:val="Style8"/>
          <w:rFonts w:eastAsia="Calibri"/>
          <w:b w:val="false"/>
          <w:i w:val="false"/>
          <w:iCs w:val="false"/>
          <w:sz w:val="24"/>
          <w:szCs w:val="24"/>
          <w:shd w:fill="FFFFFF" w:val="clear"/>
          <w:lang w:eastAsia="x-none"/>
        </w:rPr>
        <w:t>Поставка Товара осуществляется силами и средствами Поставщика. Объекты Заказчика с ограниченным допуском, проход/проезд на территорию осуществляется по предварительно оформленным пропускам.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Heading4"/>
        <w:numPr>
          <w:ilvl w:val="1"/>
          <w:numId w:val="3"/>
        </w:numPr>
        <w:rPr/>
      </w:pPr>
      <w:bookmarkStart w:id="13" w:name="_Toc75446572"/>
      <w:bookmarkStart w:id="14" w:name="_Hlk48209761_Копия_1"/>
      <w:bookmarkStart w:id="15" w:name="_Toc46743510"/>
      <w:bookmarkStart w:id="16" w:name="_Toc50125126"/>
      <w:bookmarkEnd w:id="14"/>
      <w:bookmarkEnd w:id="15"/>
      <w:bookmarkEnd w:id="16"/>
      <w:r>
        <w:rPr/>
        <w:t>Иные требования и сведения общего характера</w:t>
      </w:r>
      <w:r>
        <w:rPr>
          <w:lang w:val="ru-RU"/>
        </w:rPr>
        <w:t xml:space="preserve"> </w:t>
      </w:r>
      <w:bookmarkEnd w:id="13"/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Тара, упаковка Товара должны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В упаковочном листе должно быть отражено: наименование, количество и первичная маркировка товара.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/>
      </w:pPr>
      <w:r>
        <w:rPr>
          <w:rStyle w:val="Style8"/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  <w:t>Функциональные, технические и качественные характеристики, эксплуатационные характеристики объекта закупки с указанием показателей, позволяющих определить соответствие закупаемого товара установленным заказчиком требованиям (максимальных и (или) минимальных значений таких показателей, а также значений показателей, которые не могут изменяться) указаны в Приложении №1.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  <w:r>
        <w:br w:type="page"/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284"/>
        <w:jc w:val="both"/>
        <w:rPr>
          <w:rFonts w:eastAsia="Calibri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  <w:lang w:eastAsia="x-none"/>
        </w:rPr>
      </w:pPr>
      <w:r>
        <w:rPr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7" w:name="_Toc51339693"/>
      <w:bookmarkStart w:id="18" w:name="_Toc75446573"/>
      <w:r>
        <w:rPr>
          <w:iCs/>
        </w:rPr>
        <w:t>Требования к продукции</w:t>
      </w:r>
      <w:bookmarkEnd w:id="17"/>
      <w:bookmarkEnd w:id="18"/>
    </w:p>
    <w:p>
      <w:pPr>
        <w:pStyle w:val="Heading4"/>
        <w:numPr>
          <w:ilvl w:val="1"/>
          <w:numId w:val="3"/>
        </w:numPr>
        <w:rPr/>
      </w:pPr>
      <w:bookmarkStart w:id="19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9"/>
    </w:p>
    <w:p>
      <w:pPr>
        <w:pStyle w:val="Heading3"/>
        <w:numPr>
          <w:ilvl w:val="2"/>
          <w:numId w:val="3"/>
        </w:numPr>
        <w:rPr/>
      </w:pPr>
      <w:bookmarkStart w:id="20" w:name="_Toc75446575"/>
      <w:r>
        <w:rPr>
          <w:lang w:val="ru-RU"/>
        </w:rPr>
        <w:t>Перечень и объем закупаемой продукции</w:t>
      </w:r>
      <w:bookmarkEnd w:id="20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1" w:name="_Toc75446576"/>
      <w:bookmarkStart w:id="2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2"/>
      <w:r>
        <w:rPr>
          <w:sz w:val="24"/>
          <w:szCs w:val="24"/>
          <w:lang w:val="ru-RU"/>
        </w:rPr>
        <w:t>и объем закупаемой продукции</w:t>
      </w:r>
      <w:bookmarkEnd w:id="21"/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tbl>
      <w:tblPr>
        <w:tblW w:w="98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5"/>
        <w:gridCol w:w="6084"/>
        <w:gridCol w:w="1294"/>
        <w:gridCol w:w="1598"/>
      </w:tblGrid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Фасадный подъемник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</w:rPr>
            </w:pPr>
            <w:r>
              <w:rPr>
                <w:rStyle w:val="Style8"/>
                <w:b w:val="false"/>
                <w:bCs/>
                <w:i w:val="false"/>
                <w:iCs w:val="false"/>
                <w:sz w:val="24"/>
                <w:szCs w:val="24"/>
                <w:shd w:fill="FFFFFF" w:val="clear"/>
                <w:lang w:val="en-US"/>
              </w:rPr>
              <w:t>Фасадный подъемник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8"/>
                <w:b w:val="false"/>
                <w:bCs/>
                <w:i w:val="false"/>
                <w:iCs w:val="false"/>
                <w:sz w:val="24"/>
                <w:szCs w:val="24"/>
                <w:shd w:fill="FFFFFF" w:val="clear"/>
                <w:lang w:val="en-US"/>
              </w:rPr>
              <w:t>Консольный уголок, в комплекте 2 шт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комплект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6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Консоль усиленная 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6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Груз бетонный 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48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6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Площадка выносная передвижная 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6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Конструкция отвода троса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3" w:name="_Toc7544657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1.2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закупаемых сопутствующих услуг</w:t>
      </w:r>
      <w:bookmarkEnd w:id="23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1"/>
        <w:gridCol w:w="5027"/>
        <w:gridCol w:w="1995"/>
        <w:gridCol w:w="2116"/>
      </w:tblGrid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/>
            </w:pPr>
            <w:r>
              <w:rPr/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Шефмонтаж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Условная единица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  <w:r>
        <w:br w:type="page"/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4" w:name="_Toc75446578"/>
      <w:bookmarkStart w:id="25" w:name="_Toc51339696"/>
      <w:r>
        <w:rPr>
          <w:lang w:val="ru-RU"/>
        </w:rPr>
        <w:t xml:space="preserve">Требования </w:t>
      </w:r>
      <w:bookmarkEnd w:id="25"/>
      <w:r>
        <w:rPr>
          <w:lang w:val="ru-RU"/>
        </w:rPr>
        <w:t>к срокам поставки продукции и оказания сопутствующих услуг</w:t>
      </w:r>
      <w:bookmarkEnd w:id="24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6" w:name="_Toc75446579"/>
      <w:bookmarkStart w:id="27" w:name="_Toc50125127"/>
      <w:bookmarkStart w:id="28" w:name="_Toc51339697"/>
      <w:bookmarkStart w:id="29" w:name="_Toc50125126_Копия_1"/>
      <w:bookmarkEnd w:id="2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0" w:name="_Hlk50465284"/>
      <w:r>
        <w:rPr>
          <w:sz w:val="24"/>
          <w:szCs w:val="24"/>
        </w:rPr>
        <w:t xml:space="preserve">Требования по срокам </w:t>
      </w:r>
      <w:bookmarkEnd w:id="27"/>
      <w:bookmarkEnd w:id="28"/>
      <w:bookmarkEnd w:id="30"/>
      <w:r>
        <w:rPr>
          <w:sz w:val="24"/>
          <w:szCs w:val="24"/>
          <w:lang w:val="ru-RU"/>
        </w:rPr>
        <w:t>поставки продукции</w:t>
      </w:r>
      <w:bookmarkEnd w:id="26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776" w:type="dxa"/>
        <w:jc w:val="left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4309"/>
        <w:gridCol w:w="1818"/>
        <w:gridCol w:w="2519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Фасадный подъемник</w:t>
            </w:r>
          </w:p>
        </w:tc>
        <w:tc>
          <w:tcPr>
            <w:tcW w:w="181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5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в течение 30 календарных дней с даты заключения договора</w:t>
            </w:r>
          </w:p>
        </w:tc>
      </w:tr>
      <w:tr>
        <w:trPr>
          <w:trHeight w:val="28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</w:rPr>
            </w:pPr>
            <w:r>
              <w:rPr>
                <w:rStyle w:val="Style8"/>
                <w:b w:val="false"/>
                <w:bCs/>
                <w:i w:val="false"/>
                <w:iCs w:val="false"/>
                <w:sz w:val="24"/>
                <w:szCs w:val="24"/>
                <w:shd w:fill="FFFFFF" w:val="clear"/>
                <w:lang w:val="en-US"/>
              </w:rPr>
              <w:t>Фасадный подъемник</w:t>
            </w:r>
          </w:p>
        </w:tc>
        <w:tc>
          <w:tcPr>
            <w:tcW w:w="181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8"/>
                <w:b w:val="false"/>
                <w:bCs/>
                <w:i w:val="false"/>
                <w:iCs w:val="false"/>
                <w:sz w:val="24"/>
                <w:szCs w:val="24"/>
                <w:shd w:fill="FFFFFF" w:val="clear"/>
                <w:lang w:val="en-US"/>
              </w:rPr>
              <w:t>Консольный уголок, в комплекте 2 шт</w:t>
            </w:r>
          </w:p>
        </w:tc>
        <w:tc>
          <w:tcPr>
            <w:tcW w:w="181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Консоль усиленная </w:t>
            </w:r>
          </w:p>
        </w:tc>
        <w:tc>
          <w:tcPr>
            <w:tcW w:w="181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Груз бетонный </w:t>
            </w:r>
          </w:p>
        </w:tc>
        <w:tc>
          <w:tcPr>
            <w:tcW w:w="181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Площадка выносная передвижная </w:t>
            </w:r>
          </w:p>
        </w:tc>
        <w:tc>
          <w:tcPr>
            <w:tcW w:w="181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Конструкция отвода троса</w:t>
            </w:r>
          </w:p>
        </w:tc>
        <w:tc>
          <w:tcPr>
            <w:tcW w:w="181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31" w:name="_Toc54785622"/>
      <w:bookmarkStart w:id="32" w:name="_Toc75446580"/>
      <w:bookmarkStart w:id="33" w:name="_Toc46743510_Копия_1"/>
      <w:bookmarkEnd w:id="3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 xml:space="preserve">оказания </w:t>
      </w:r>
      <w:r>
        <w:rPr>
          <w:sz w:val="24"/>
          <w:szCs w:val="24"/>
        </w:rPr>
        <w:t>сопутствующих услуг</w:t>
      </w:r>
      <w:bookmarkEnd w:id="31"/>
      <w:bookmarkEnd w:id="32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918" w:type="dxa"/>
        <w:jc w:val="left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1111"/>
        <w:gridCol w:w="1889"/>
        <w:gridCol w:w="2663"/>
        <w:gridCol w:w="2437"/>
        <w:gridCol w:w="1818"/>
      </w:tblGrid>
      <w:tr>
        <w:trPr/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716" w:hRule="atLeast"/>
        </w:trPr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1.</w:t>
            </w:r>
          </w:p>
        </w:tc>
        <w:tc>
          <w:tcPr>
            <w:tcW w:w="18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Шефмонтаж 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Не позднее 7 (семи) календарных дней с момента окончания срока поставки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Не позднее </w:t>
            </w:r>
          </w:p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12 (двенадцати) календарных дней с момента окончания срока поставки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4" w:name="_Toc51339698"/>
      <w:bookmarkStart w:id="35" w:name="_Toc75446581"/>
      <w:bookmarkStart w:id="36" w:name="_Toc46743511"/>
      <w:r>
        <w:rPr/>
        <w:t xml:space="preserve">Требования к </w:t>
      </w:r>
      <w:bookmarkEnd w:id="36"/>
      <w:r>
        <w:rPr>
          <w:lang w:val="ru-RU"/>
        </w:rPr>
        <w:t>качеству продукции</w:t>
      </w:r>
      <w:bookmarkEnd w:id="35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7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продукции</w:t>
      </w:r>
      <w:bookmarkEnd w:id="37"/>
      <w:r>
        <w:rPr>
          <w:sz w:val="24"/>
          <w:szCs w:val="24"/>
        </w:rPr>
        <w:t xml:space="preserve"> </w:t>
      </w:r>
      <w:bookmarkEnd w:id="34"/>
    </w:p>
    <w:p>
      <w:pPr>
        <w:pStyle w:val="Normal"/>
        <w:rPr>
          <w:rStyle w:val="Style8"/>
          <w:b w:val="false"/>
        </w:rPr>
      </w:pPr>
      <w:r>
        <w:rPr>
          <w:rStyle w:val="Style8"/>
          <w:b w:val="false"/>
        </w:rPr>
        <w:t xml:space="preserve"> </w:t>
      </w:r>
    </w:p>
    <w:p>
      <w:pPr>
        <w:pStyle w:val="Normal"/>
        <w:jc w:val="both"/>
        <w:rPr/>
      </w:pPr>
      <w:r>
        <w:rPr>
          <w:b/>
          <w:bCs/>
          <w:i w:val="false"/>
          <w:iCs w:val="false"/>
          <w:sz w:val="24"/>
          <w:szCs w:val="24"/>
          <w:shd w:fill="FFFFFF" w:val="clear"/>
        </w:rPr>
        <w:t xml:space="preserve">Наименование продукции (позиция № </w:t>
      </w:r>
      <w:r>
        <w:rPr>
          <w:rStyle w:val="Style8"/>
          <w:b/>
          <w:bCs/>
          <w:i w:val="false"/>
          <w:iCs w:val="false"/>
          <w:sz w:val="24"/>
          <w:szCs w:val="24"/>
          <w:shd w:fill="FFFFFF" w:val="clear"/>
        </w:rPr>
        <w:t xml:space="preserve">1-7 </w:t>
      </w:r>
      <w:r>
        <w:rPr>
          <w:b/>
          <w:bCs/>
          <w:i w:val="false"/>
          <w:iCs w:val="false"/>
          <w:sz w:val="24"/>
          <w:szCs w:val="24"/>
          <w:shd w:fill="FFFFFF" w:val="clear"/>
        </w:rPr>
        <w:t xml:space="preserve">Таблицы 1.1): </w:t>
      </w:r>
      <w:r>
        <w:rPr>
          <w:rStyle w:val="Style8"/>
          <w:b/>
          <w:bCs/>
          <w:i w:val="false"/>
          <w:iCs w:val="false"/>
          <w:sz w:val="24"/>
          <w:szCs w:val="24"/>
          <w:shd w:fill="FFFFFF" w:val="clear"/>
        </w:rPr>
        <w:t>ОКПД2 28.22.11.190 Поставка фасадных подъемников для нужд АО «СК РусГидро»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af"/>
        <w:tblW w:w="1531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8"/>
        <w:gridCol w:w="1989"/>
        <w:gridCol w:w="49"/>
        <w:gridCol w:w="7281"/>
        <w:gridCol w:w="3312"/>
        <w:gridCol w:w="1723"/>
      </w:tblGrid>
      <w:tr>
        <w:trPr/>
        <w:tc>
          <w:tcPr>
            <w:tcW w:w="95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038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28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03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95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3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28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03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2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техническим и функциональным характеристикам в отношении каждой позиции продукции представлены в</w:t>
            </w:r>
            <w:r>
              <w:rPr>
                <w:sz w:val="24"/>
                <w:szCs w:val="24"/>
                <w:shd w:fill="FFFFFF" w:val="clear"/>
              </w:rPr>
              <w:t xml:space="preserve"> Приложении № 1</w:t>
            </w:r>
            <w:r>
              <w:rPr>
                <w:sz w:val="24"/>
                <w:szCs w:val="24"/>
              </w:rPr>
              <w:t xml:space="preserve"> к настоящим Техническим требованиям</w:t>
            </w:r>
          </w:p>
        </w:tc>
        <w:tc>
          <w:tcPr>
            <w:tcW w:w="33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Вся поставляемая продукция должна соответствовать действующим требованиям в Российской Федерации ГОСТам, ТУ, техническому регламенту Таможенного союза, требованиям на её изготовление, использование, иметь сертификаты качества, техническое описание продукции, инструкции по эксплуатации, сертификаты соответствия на русском языке.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 случае, если продукция иностранного происхождения, соответствующий товар должен быть изготовлен в соответствии с требованиями международных стандартов, действующих на территории Российской Федерации.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Победитель закупки при поставке продукции должен предоставить: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b w:val="false"/>
                <w:bCs w:val="false"/>
                <w:sz w:val="24"/>
                <w:szCs w:val="24"/>
              </w:rPr>
              <w:t>на товар, подлежащий обязательному подтверждению соответствия – заверенные держателем документа либо заверенные нотариально копии сертификатов систем обязательной сертификации или деклараций о соответствии;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b w:val="false"/>
                <w:bCs w:val="false"/>
                <w:sz w:val="24"/>
                <w:szCs w:val="24"/>
              </w:rPr>
              <w:t xml:space="preserve">на товар, не подлежащий обязательному подтверждению соответствия, но соответствие, которого может быть подтверждено сертификатами существующих систем добровольной сертификации – заверенные держателем документа либо заверенные нотариально копии сертификатов существующих систем добровольной сертификации.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Поставляемая продукция должна соответствовать требованиям безопасности, установленным действующим законодательством.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Конструкция</w:t>
            </w:r>
          </w:p>
        </w:tc>
        <w:tc>
          <w:tcPr>
            <w:tcW w:w="733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</w:rPr>
              <w:t>-прочность и устойчивость: конструкция должна выдерживать нагрузки, указанные в технической документации, и быть устойчивой к ветровым нагрузкам и другим внешним воздействиям;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-безопасность: должны быть предусмотрены защитные ограждения, предотвращающие случайное выпадение людей или предметов;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мобильность и маневренность: конструкция должна обеспечивать возможность перемещения по фасаду здания с минимальными усилиями.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Изготовление</w:t>
            </w:r>
          </w:p>
        </w:tc>
        <w:tc>
          <w:tcPr>
            <w:tcW w:w="733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качество материалов: используемые материалы должны быть сертифицированы и соответствовать требованиям стандартов безопасности;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точность сборки: все элементы должны быть собраны с соблюдением технологических регламентов, что гарантирует их долговечность и надежность.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3.3</w:t>
            </w:r>
          </w:p>
        </w:tc>
        <w:tc>
          <w:tcPr>
            <w:tcW w:w="19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Материалы</w:t>
            </w:r>
          </w:p>
        </w:tc>
        <w:tc>
          <w:tcPr>
            <w:tcW w:w="733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металлические конструкции: должны быть изготовлены из прочных и устойчивых к коррозии материалов, таких как сталь;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элементы крепления: должны быть выполнены из материалов, устойчивых к износу и воздействию окружающей среды;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</w:rPr>
              <w:t>- защитные покрытия: все металлические элементы должны иметь антикоррозийные покрытия для продления срока службы.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Окружающая среда в которой может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эксплуатироваться подъемник: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температура  от - 20 °С до +40 °С;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относительная влажность воздуха до 90% при температуре от - 20 °С до +40 °С;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взрывобезопасная среда;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пожаробезопасная среда.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товара должна обеспечивать сохранность товара при транспортировке и погрузочно-разгрузочных работах по месту доставки; не допускаются механические повреждения товаров, в том числе допущенные при транспортировке, разгрузочных работах (в случае повреждения поставляемого товара при транспортировке все необходимые процедуры по его замене выполняет Поставщик в течение 3 (трех) рабочих дней с момента предъявления заказчиком (получателем) такого требования; не допускаются повреждения индивидуальной упаковки товара, в том числе допущенные при транспортировке и разгрузочных работах.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3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Место поставки </w:t>
            </w:r>
          </w:p>
        </w:tc>
        <w:tc>
          <w:tcPr>
            <w:tcW w:w="72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соответствии с условиями п. 1.4 Договора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72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Поставка продукции осуществляется силами и средствами Поставщика. </w:t>
            </w:r>
          </w:p>
        </w:tc>
        <w:tc>
          <w:tcPr>
            <w:tcW w:w="331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3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72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Предоставить подробное предложение по периодичности всех осмотров и проверок  соответствии с: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руководством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подъёмные сооружения» (утверждены приказом Ростехнадзора от 26.11.2020 №461)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момент передачи продукции Покупателю, продукция должна иметь гарантийный срок не менее 12 (двенадцати) календарных месяцев с даты подписания Заказчиком УПД. Гарантия распространяется на весю поставляемую продукцию.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поставки продукции ненадлежащего качества, поставки некомплектного товара, недопоставки товара, замена поставленного товара товаром надлежащего качества, доукомплектование и/или допоставка товара, производится Поставщиком в срок не более 7 (семи) дней со дня подписания двустороннего акта, оформленного по факту приемки товара. Все транспортные и другие расходы, связанные с заменой поставленного товара товаром надлежащего качества, допоставкой и/или доукомплектованием поставленного товара, а также представлением надлежащим образом оформленного пакета первичной документации осуществляются за счет Поставщика и его силами.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Одновременно с передачей Товара Поставщик обязан передать Покупателю относящиеся к нему документы (паспорт подъемника, руководство по эксплуатации, сертификаты качества, Сертификат соответствия ТР ТС 010/2011 и другие документы, предусмотренные действующим законодательством РФ для данного вида Товара). Передаваемые Поставщиком документы должны быть заверены подлинными оттисками печатей производителя и/или Поставщика.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иметь инструкции (памятки) и (или) другие документы на русском языке, надлежащим образом подтверждающие качество Товара в соответствии с действующим законодательством Российской Федерации.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3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технические нормы,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которыми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 подъемник</w:t>
            </w:r>
          </w:p>
        </w:tc>
        <w:tc>
          <w:tcPr>
            <w:tcW w:w="72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GB/T 19155-2017 «Временно установленное подвесное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доступа» и соответствует требованиям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Технического регламента Таможенного союза ТР ТС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010/2011 «О безопасности машин и оборудования»;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Приказ Ростехнадзора от 26.11.2020 № 461;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Федеральный закон № 116-ФЗ «О промышленной безопасности опасных производственных объектов».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экономическим параметрам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3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назначенному сроку службы</w:t>
            </w:r>
          </w:p>
        </w:tc>
        <w:tc>
          <w:tcPr>
            <w:tcW w:w="72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службы продукции не менее 10 лет.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сопутствующим услугам: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шефмонтажу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Контроль соответствия работ технической документации и рекомендациям производителя.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Поставщиком монтажников Заказчика по сложным вопросам сборки, крепления, выравнивания и подключения узлов.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Поставщиком качества монтажных оснований, фундамента, анкерных креплений.</w:t>
            </w:r>
          </w:p>
        </w:tc>
        <w:tc>
          <w:tcPr>
            <w:tcW w:w="331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соблюдению требований безопасности.</w:t>
            </w:r>
          </w:p>
        </w:tc>
        <w:tc>
          <w:tcPr>
            <w:tcW w:w="331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предварительных испытаниях и пусконаладочных работах.</w:t>
            </w:r>
          </w:p>
        </w:tc>
        <w:tc>
          <w:tcPr>
            <w:tcW w:w="331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результату шеф-монтажа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Подтверждение Поставщиком корректности установки фасадного подъемника персоналом Заказчика, документальное сопровождение процесса, подписание акта с оценкой качества.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2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и комплектность поставляемой Продукции должны соответствовать установленным Техническими требованиями, действующим стандартам качества, ГОСТам, техническим условиям (ТУ), медико-биологическим и санитарным нормам, установленным в Российской Федерации.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Heading3"/>
        <w:numPr>
          <w:ilvl w:val="2"/>
          <w:numId w:val="3"/>
        </w:numPr>
        <w:ind w:left="1276" w:hanging="556"/>
        <w:rPr>
          <w:lang w:val="ru-RU"/>
        </w:rPr>
      </w:pPr>
      <w:r>
        <w:rPr/>
        <w:tab/>
        <w:t>В составе заявки необходимо предоставить</w:t>
      </w:r>
      <w:r>
        <w:rPr>
          <w:lang w:val="ru-RU"/>
        </w:rPr>
        <w:t>:</w:t>
      </w:r>
    </w:p>
    <w:p>
      <w:pPr>
        <w:pStyle w:val="Normal"/>
        <w:widowControl/>
        <w:tabs>
          <w:tab w:val="clear" w:pos="720"/>
          <w:tab w:val="left" w:pos="731" w:leader="none"/>
        </w:tabs>
        <w:suppressAutoHyphens w:val="true"/>
        <w:bidi w:val="0"/>
        <w:spacing w:before="0" w:after="0"/>
        <w:ind w:left="737" w:right="0" w:hanging="0"/>
        <w:jc w:val="left"/>
        <w:rPr>
          <w:lang w:val="ru-RU"/>
        </w:rPr>
      </w:pPr>
      <w:r>
        <w:rPr/>
        <w:t xml:space="preserve"> </w:t>
      </w:r>
      <w:r>
        <w:rPr/>
        <w:t xml:space="preserve">-Участник в составе своей заявки для подтверждения соответствия заявленных характеристик и конструктива предложенной продукции требованиям настоящих ТТ, предоставляет следующие документы: </w:t>
      </w:r>
    </w:p>
    <w:p>
      <w:pPr>
        <w:pStyle w:val="Normal"/>
        <w:widowControl/>
        <w:tabs>
          <w:tab w:val="clear" w:pos="720"/>
          <w:tab w:val="left" w:pos="731" w:leader="none"/>
        </w:tabs>
        <w:suppressAutoHyphens w:val="true"/>
        <w:bidi w:val="0"/>
        <w:spacing w:before="0" w:after="0"/>
        <w:ind w:left="737" w:right="0" w:hanging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widowControl/>
        <w:tabs>
          <w:tab w:val="clear" w:pos="720"/>
          <w:tab w:val="left" w:pos="731" w:leader="none"/>
        </w:tabs>
        <w:suppressAutoHyphens w:val="true"/>
        <w:bidi w:val="0"/>
        <w:spacing w:lineRule="auto" w:line="276" w:before="0" w:after="0"/>
        <w:ind w:left="737" w:right="0" w:hanging="0"/>
        <w:jc w:val="left"/>
        <w:rPr>
          <w:lang w:val="ru-RU"/>
        </w:rPr>
      </w:pPr>
      <w:r>
        <w:rPr/>
        <w:t xml:space="preserve"> </w:t>
      </w:r>
      <w:r>
        <w:rPr/>
        <w:t>1) Техническое предложение, подготовленное в соответствии с настоящими ТТ по форме, представленной в документации о закупке;</w:t>
      </w:r>
    </w:p>
    <w:p>
      <w:pPr>
        <w:pStyle w:val="Normal"/>
        <w:widowControl/>
        <w:tabs>
          <w:tab w:val="clear" w:pos="720"/>
          <w:tab w:val="left" w:pos="731" w:leader="none"/>
        </w:tabs>
        <w:suppressAutoHyphens w:val="true"/>
        <w:bidi w:val="0"/>
        <w:spacing w:lineRule="auto" w:line="276" w:before="0" w:after="0"/>
        <w:ind w:left="737" w:right="0" w:hanging="0"/>
        <w:jc w:val="left"/>
        <w:rPr/>
      </w:pPr>
      <w:r>
        <w:rPr/>
        <w:t>2) Габаритные и установочные чертежи, чертежи компоновки оборудования.</w:t>
      </w:r>
    </w:p>
    <w:p>
      <w:pPr>
        <w:pStyle w:val="Normal"/>
        <w:widowControl/>
        <w:tabs>
          <w:tab w:val="clear" w:pos="720"/>
          <w:tab w:val="left" w:pos="731" w:leader="none"/>
        </w:tabs>
        <w:suppressAutoHyphens w:val="true"/>
        <w:bidi w:val="0"/>
        <w:spacing w:lineRule="auto" w:line="276" w:before="0" w:after="0"/>
        <w:ind w:left="737" w:right="0" w:hanging="0"/>
        <w:jc w:val="left"/>
        <w:rPr/>
      </w:pPr>
      <w:r>
        <w:rPr/>
        <w:t>3) Схему электрическую монтажную фасадного подъемника.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lineRule="auto" w:line="276" w:before="60" w:after="0"/>
        <w:jc w:val="both"/>
        <w:rPr/>
      </w:pPr>
      <w:r>
        <w:rPr/>
      </w:r>
      <w:bookmarkStart w:id="38" w:name="_Hlk140587872"/>
      <w:bookmarkStart w:id="39" w:name="_Hlk140587872"/>
      <w:bookmarkEnd w:id="39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20"/>
          <w:tab w:val="left" w:pos="1267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0" w:name="_Toc75446583"/>
      <w:bookmarkStart w:id="41" w:name="_Toc53393312"/>
      <w:r>
        <w:rPr>
          <w:lang w:val="ru-RU"/>
        </w:rPr>
        <w:t>Требования к документации по ценообразованию</w:t>
      </w:r>
      <w:bookmarkEnd w:id="41"/>
      <w:r>
        <w:rPr>
          <w:lang w:val="ru-RU"/>
        </w:rPr>
        <w:t xml:space="preserve"> на этапе закупки</w:t>
      </w:r>
      <w:bookmarkEnd w:id="40"/>
    </w:p>
    <w:p>
      <w:pPr>
        <w:pStyle w:val="Normal"/>
        <w:widowControl/>
        <w:suppressAutoHyphens w:val="true"/>
        <w:bidi w:val="0"/>
        <w:spacing w:before="0" w:after="0"/>
        <w:ind w:right="0" w:hanging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учётом прилагаемой к ней инструкции по заполнению), приведённой в Документации о закупке, с приложением информационной справки о стоимости сопутствующих услуг по шефмонтажу в произвольной форме.</w:t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3.2. Дополнительные документы по ценообразованию в состав заявки не включаются.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60" w:after="0"/>
        <w:jc w:val="both"/>
        <w:rPr>
          <w:rFonts w:eastAsia="Calibri"/>
          <w:b/>
          <w:iCs/>
          <w:sz w:val="24"/>
          <w:szCs w:val="24"/>
          <w:lang w:val="x-none" w:eastAsia="x-none"/>
        </w:rPr>
      </w:pPr>
      <w:r>
        <w:rPr>
          <w:rFonts w:eastAsia="Calibri"/>
          <w:b/>
          <w:iCs/>
          <w:sz w:val="24"/>
          <w:szCs w:val="24"/>
          <w:lang w:val="x-none"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2" w:name="_Toc75446584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42"/>
    </w:p>
    <w:p>
      <w:pPr>
        <w:pStyle w:val="Normal"/>
        <w:ind w:left="357" w:hanging="357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uppressAutoHyphens w:val="true"/>
        <w:bidi w:val="0"/>
        <w:spacing w:lineRule="auto" w:line="276" w:before="60" w:after="0"/>
        <w:ind w:left="0" w:right="0" w:firstLine="340"/>
        <w:jc w:val="both"/>
        <w:rPr>
          <w:rFonts w:eastAsia="Calibri"/>
          <w:b/>
          <w:iCs/>
          <w:lang w:val="x-none" w:eastAsia="x-none"/>
        </w:rPr>
      </w:pPr>
      <w:r>
        <w:rPr>
          <w:rStyle w:val="Style8"/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val="x-none" w:eastAsia="x-none"/>
        </w:rPr>
        <w:t>4.1. В рамках реализации договора сметную документацию в обоснование стоимости сопутствующих услуг (шефмонтаж) необходимо составлять и оформлять в соответствии с требованиями к оформлению и составлению сметной документации на оказание услуг по шефмонтажу, указанными в Приложении № 2 к настоящим Техническим требованиям».</w:t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bookmarkStart w:id="43" w:name="_Toc75446585"/>
      <w:bookmarkStart w:id="44" w:name="_Toc46743519"/>
      <w:bookmarkStart w:id="45" w:name="_Toc51339699"/>
      <w:r>
        <w:rPr>
          <w:iCs/>
        </w:rPr>
        <w:t>Приложения</w:t>
      </w:r>
      <w:bookmarkEnd w:id="43"/>
      <w:bookmarkEnd w:id="44"/>
      <w:bookmarkEnd w:id="45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60" w:after="0"/>
        <w:jc w:val="both"/>
        <w:rPr/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FFFFFF" w:val="clear"/>
        </w:rPr>
        <w:t>Приложение №1: Требования к техническим и функциональным характеристикам в отношении каждой позиции продукции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iCs w:val="false"/>
          <w:sz w:val="24"/>
          <w:szCs w:val="24"/>
          <w:highlight w:val="none"/>
          <w:shd w:fill="FFFFFF" w:val="clear"/>
        </w:rPr>
      </w:pPr>
      <w:r>
        <w:rPr>
          <w:b w:val="false"/>
          <w:bCs/>
          <w:i w:val="false"/>
          <w:iCs w:val="false"/>
          <w:sz w:val="24"/>
          <w:szCs w:val="24"/>
          <w:shd w:fill="FFFFFF" w:val="clear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60" w:after="0"/>
        <w:jc w:val="both"/>
        <w:rPr/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FFFFFF" w:val="clear"/>
        </w:rPr>
        <w:t>Приложение №2: Требования к оформлению и составлению сметной документации на оказание услуг по шефмонтажу.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widowControl w:val="false"/>
        <w:tabs>
          <w:tab w:val="clear" w:pos="720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iCs w:val="false"/>
          <w:sz w:val="24"/>
          <w:szCs w:val="24"/>
          <w:shd w:fill="FFFFFF" w:val="clear"/>
        </w:rPr>
      </w:pPr>
      <w:r>
        <w:rPr>
          <w:b w:val="false"/>
          <w:bCs/>
          <w:i w:val="false"/>
          <w:iCs w:val="false"/>
          <w:sz w:val="24"/>
          <w:szCs w:val="24"/>
          <w:shd w:fill="FFFFFF" w:val="clear"/>
        </w:rPr>
      </w:r>
      <w:r>
        <w:br w:type="page"/>
      </w:r>
    </w:p>
    <w:p>
      <w:pPr>
        <w:pStyle w:val="Normal"/>
        <w:spacing w:before="0" w:after="120"/>
        <w:jc w:val="right"/>
        <w:rPr>
          <w:b w:val="false"/>
          <w:bCs w:val="false"/>
          <w:i w:val="false"/>
          <w:i w:val="false"/>
          <w:iCs w:val="false"/>
          <w:sz w:val="24"/>
          <w:szCs w:val="24"/>
          <w:highlight w:val="none"/>
          <w:shd w:fill="FFFFFF" w:val="clear"/>
        </w:rPr>
      </w:pPr>
      <w:r>
        <w:rPr>
          <w:b w:val="false"/>
          <w:bCs w:val="false"/>
          <w:i w:val="false"/>
          <w:iCs w:val="false"/>
          <w:sz w:val="24"/>
          <w:szCs w:val="24"/>
          <w:shd w:fill="FFFFFF" w:val="clear"/>
        </w:rPr>
        <w:t>Приложение №1 к ТТ</w:t>
      </w:r>
    </w:p>
    <w:p>
      <w:pPr>
        <w:pStyle w:val="Normal"/>
        <w:spacing w:before="0" w:after="1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x-none"/>
        </w:rPr>
        <w:t>Таблица </w:t>
      </w:r>
      <w:r>
        <w:rPr>
          <w:rFonts w:eastAsia="Calibri"/>
          <w:b/>
          <w:bCs/>
          <w:sz w:val="24"/>
          <w:szCs w:val="24"/>
        </w:rPr>
        <w:t>3.1</w:t>
      </w:r>
      <w:r>
        <w:rPr>
          <w:rFonts w:eastAsia="Calibri"/>
          <w:b/>
          <w:bCs/>
          <w:sz w:val="24"/>
          <w:szCs w:val="24"/>
          <w:lang w:val="x-none"/>
        </w:rPr>
        <w:t xml:space="preserve">. </w:t>
      </w:r>
      <w:r>
        <w:rPr>
          <w:rFonts w:eastAsia="Calibri"/>
          <w:b/>
          <w:bCs/>
          <w:sz w:val="24"/>
          <w:szCs w:val="24"/>
        </w:rPr>
        <w:t xml:space="preserve">Требования к продукции </w:t>
      </w:r>
    </w:p>
    <w:p>
      <w:pPr>
        <w:pStyle w:val="Normal"/>
        <w:spacing w:before="0" w:after="120"/>
        <w:ind w:right="397" w:hanging="0"/>
        <w:jc w:val="both"/>
        <w:rPr>
          <w:rStyle w:val="Style8"/>
          <w:b w:val="false"/>
          <w:sz w:val="24"/>
          <w:szCs w:val="24"/>
          <w:shd w:fill="auto" w:val="clear"/>
        </w:rPr>
      </w:pPr>
      <w:r>
        <w:rPr>
          <w:b/>
          <w:bCs/>
          <w:sz w:val="24"/>
          <w:szCs w:val="24"/>
        </w:rPr>
        <w:t xml:space="preserve">Наименование продукции: Фасадные подъемники </w:t>
      </w:r>
    </w:p>
    <w:tbl>
      <w:tblPr>
        <w:tblStyle w:val="1c"/>
        <w:tblW w:w="1530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46"/>
        <w:gridCol w:w="1460"/>
        <w:gridCol w:w="1803"/>
        <w:gridCol w:w="5668"/>
        <w:gridCol w:w="2187"/>
        <w:gridCol w:w="3544"/>
      </w:tblGrid>
      <w:tr>
        <w:trPr>
          <w:trHeight w:val="311" w:hRule="atLeast"/>
        </w:trPr>
        <w:tc>
          <w:tcPr>
            <w:tcW w:w="6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asciiTheme="majorBidi" w:hAnsiTheme="majorBidi"/>
                <w:b/>
                <w:sz w:val="20"/>
                <w:szCs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Arial"/>
                <w:b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1460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asciiTheme="majorBidi" w:hAnsiTheme="majorBidi"/>
                <w:b/>
                <w:sz w:val="20"/>
                <w:szCs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Arial"/>
                <w:b/>
                <w:kern w:val="0"/>
                <w:sz w:val="20"/>
                <w:szCs w:val="20"/>
                <w:lang w:val="ru-RU" w:eastAsia="en-US" w:bidi="ar-SA"/>
              </w:rPr>
              <w:t xml:space="preserve">позиции </w:t>
              <w:br/>
              <w:t>Таблицы 1.1. «Перечень и объем закупаемой продукции»</w:t>
            </w:r>
          </w:p>
        </w:tc>
        <w:tc>
          <w:tcPr>
            <w:tcW w:w="180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asciiTheme="majorBidi" w:hAnsiTheme="majorBidi"/>
                <w:b/>
                <w:sz w:val="20"/>
                <w:szCs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0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56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asciiTheme="majorBidi" w:hAnsiTheme="majorBidi"/>
                <w:b/>
                <w:sz w:val="20"/>
                <w:szCs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0"/>
                <w:lang w:val="ru-RU" w:eastAsia="en-US" w:bidi="ar-SA"/>
              </w:rPr>
              <w:t xml:space="preserve">Требования заказчика </w:t>
            </w:r>
          </w:p>
        </w:tc>
        <w:tc>
          <w:tcPr>
            <w:tcW w:w="5731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asciiTheme="majorBidi" w:hAnsiTheme="majorBidi"/>
                <w:b/>
                <w:sz w:val="20"/>
                <w:szCs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0"/>
                <w:lang w:val="ru-RU" w:eastAsia="en-US" w:bidi="ar-SA"/>
              </w:rPr>
              <w:t>Предложения участника</w:t>
            </w:r>
          </w:p>
        </w:tc>
      </w:tr>
      <w:tr>
        <w:trPr>
          <w:trHeight w:val="726" w:hRule="atLeast"/>
        </w:trPr>
        <w:tc>
          <w:tcPr>
            <w:tcW w:w="6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asciiTheme="majorBidi" w:hAnsiTheme="majorBidi"/>
                <w:sz w:val="20"/>
                <w:szCs w:val="20"/>
              </w:rPr>
            </w:pPr>
            <w:r>
              <w:rPr>
                <w:rFonts w:asciiTheme="majorBidi" w:hAnsiTheme="majorBidi"/>
                <w:sz w:val="20"/>
                <w:szCs w:val="20"/>
              </w:rPr>
            </w:r>
          </w:p>
        </w:tc>
        <w:tc>
          <w:tcPr>
            <w:tcW w:w="146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asciiTheme="majorBidi" w:hAnsiTheme="majorBidi"/>
                <w:sz w:val="20"/>
                <w:szCs w:val="20"/>
              </w:rPr>
            </w:pPr>
            <w:r>
              <w:rPr>
                <w:rFonts w:asciiTheme="majorBidi" w:hAnsiTheme="majorBidi"/>
                <w:sz w:val="20"/>
                <w:szCs w:val="20"/>
              </w:rPr>
            </w:r>
          </w:p>
        </w:tc>
        <w:tc>
          <w:tcPr>
            <w:tcW w:w="180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asciiTheme="majorBidi" w:hAnsiTheme="majorBidi"/>
                <w:sz w:val="20"/>
                <w:szCs w:val="20"/>
              </w:rPr>
            </w:pPr>
            <w:r>
              <w:rPr>
                <w:rFonts w:asciiTheme="majorBidi" w:hAnsiTheme="majorBidi"/>
                <w:sz w:val="20"/>
                <w:szCs w:val="20"/>
              </w:rPr>
            </w:r>
          </w:p>
        </w:tc>
        <w:tc>
          <w:tcPr>
            <w:tcW w:w="56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asciiTheme="majorBidi" w:hAnsiTheme="majorBidi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218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asciiTheme="majorBidi" w:hAnsiTheme="majorBidi"/>
                <w:b/>
                <w:i/>
                <w:i/>
                <w:sz w:val="20"/>
                <w:szCs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0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35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asciiTheme="majorBidi" w:hAnsiTheme="majorBidi"/>
                <w:b/>
                <w:i/>
                <w:i/>
                <w:sz w:val="20"/>
                <w:szCs w:val="20"/>
              </w:rPr>
            </w:pPr>
            <w:r>
              <w:rPr>
                <w:rFonts w:eastAsia="Calibri" w:cs="Arial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223" w:hRule="atLeast"/>
        </w:trPr>
        <w:tc>
          <w:tcPr>
            <w:tcW w:w="64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46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180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56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218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5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</w:tr>
      <w:tr>
        <w:trPr/>
        <w:tc>
          <w:tcPr>
            <w:tcW w:w="64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Calibri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46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Позиция 1</w:t>
            </w:r>
          </w:p>
        </w:tc>
        <w:tc>
          <w:tcPr>
            <w:tcW w:w="1803" w:type="dxa"/>
            <w:tcBorders/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 w:val="false"/>
                <w:iCs w:val="false"/>
                <w:color w:val="000000"/>
                <w:sz w:val="20"/>
                <w:szCs w:val="20"/>
              </w:rPr>
              <w:t>Фасадный подъемник</w:t>
            </w:r>
          </w:p>
        </w:tc>
        <w:tc>
          <w:tcPr>
            <w:tcW w:w="56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Тип подъемника: Двух подвесной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Материал подъемника: сталь;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Вес в сборе: не более 3170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Вес рабочей площадки: не более 620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Высота подъема: не более 100 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Скорость подъема: не менее 9м/мин но не более 11 м/мин;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Количество лебедок: не менее 2 шт.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Тип лебедки: с канатоведущими шкивами;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Тип привода: электрический;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Тяговое усилие одной лебедки: не менее 10 кН;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Количество электродвигателей: не менее 2 шт;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Мощность электродвигателя: не менее 2,0 кВт;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Напряжение: 380В;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Номинальный ток: не менее 3,7 А; 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Класс защиты — не ниже IP54;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Диаметр подъемного каната: не менее 10,2 мм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Диаметр предохранительного каната: не менее 10,2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Максимальная длина каната: не менее 200 м.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Разрывное усилие каната: не менее 75 кН;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Габариты рабочей площадки: не менее 10000х650х1460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Размеры рабочей площадки - не менее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1000х690х1180(борт)х1080(борт) мм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Грузоподъемность: не менее 1000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Консоли — не мене 2шт;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Вылет консоли – не менее 2,7 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Исполнение — Влагозащищенное;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Материал контргрузов: армированный бетон;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Вес контргрузов – не менее 1200 кг.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Температурный режим: от -20 С до +40 С;</w:t>
            </w:r>
          </w:p>
        </w:tc>
        <w:tc>
          <w:tcPr>
            <w:tcW w:w="218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технических характеристик.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Предложения по: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Типу подъемника;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Весу в сборе, в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Весу рабочей площадки, в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Высоте подъема, в 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Скорости подъема, в м/мин;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Количестве лебедок,в шт;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Типу лебедки;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Типу привода;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Тяговому  усилию одной лебедки, в кН;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Количеству электродвигателей, в шт.;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Мощности электродвигателя, в кВт;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Напряжению, в В;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Номинальному току, в 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Классу защиты;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Диаметру подъемного каната,в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Диаметру предохранительного каната, в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Максимальной длине каната, в 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Разрывному усилию каната, в кН;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Габаритам рабочей площадки, в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Размеры рабочей площадки, в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Грузоподъемность: не менее 1000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Консоли, в шт;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Вылет консоли, в  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- Исполнение;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- Материалу контргрузов;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- Весу контргрузов, в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- Температурному режиму,  в С;</w:t>
            </w:r>
          </w:p>
        </w:tc>
      </w:tr>
      <w:tr>
        <w:trPr/>
        <w:tc>
          <w:tcPr>
            <w:tcW w:w="64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Calibri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146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Позиция 2</w:t>
            </w:r>
          </w:p>
        </w:tc>
        <w:tc>
          <w:tcPr>
            <w:tcW w:w="18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8"/>
                <w:b w:val="false"/>
                <w:bCs/>
                <w:i w:val="false"/>
                <w:iCs w:val="false"/>
                <w:color w:val="000000"/>
                <w:sz w:val="20"/>
                <w:szCs w:val="20"/>
                <w:shd w:fill="FFFFFF" w:val="clear"/>
                <w:lang w:val="en-US"/>
              </w:rPr>
              <w:t>Фасадный подъемник</w:t>
            </w:r>
          </w:p>
        </w:tc>
        <w:tc>
          <w:tcPr>
            <w:tcW w:w="56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Тип подъемника: Двух подвесной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Материал подъемника: сталь;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Вес в сборе: не более 3170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Вес рабочей площадки: не более 620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Высота подъема: не более 100 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Скорость подъема: не менее 9м/мин но не более 11 м/мин;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Количество лебедок: не менее 2 шт.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Тип лебедки: с канатоведущими шкивами;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Тип привода: электрический;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Тяговое усилие одной лебедки: не менее 10 кН;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Количество электродвигателей: не менее 2 шт;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Мощность электродвигателя: не менее 2,0 кВт;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Напряжение: 380В;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Номинальный ток: не менее 3,7 А; 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Класс защиты — не ниже IP54;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Диаметр подъемного каната: не менее 10,2 мм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Диаметр предохранительного каната: не менее 10,2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Максимальная длина каната: не менее 200 м.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Разрывное усилие каната: не менее 75 кН;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Габариты рабочей площадки: не менее 10000х650х1460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Размеры рабочей площадки - не менее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1000х690х1180(борт)х1080(борт) мм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Грузоподъемность: не менее 1000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Исполнение — Влагозащищенное;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Температурный режим: от -20 С до +40 С;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18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технических характеристик.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Предложения по: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Типу подъемника;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Весу в сборе, в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Весу рабочей площадки, в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Высоте подъема, в 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Скорости подъема, в м/мин;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Количестве лебедок,в шт;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Типу лебедки;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Типу привода;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Тяговому  усилию одной лебедки, в кН;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Количеству электродвигателей, в шт.;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Мощности электродвигателя, в кВт;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Напряжению, в В;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Номинальному току, в 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Классу защиты;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Диаметру подъемного каната,в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Диаметру предохранительного каната, в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Максимальной длине каната, в 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Разрывному усилию каната, в кН;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Габаритам рабочей площадки, в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Размеры рабочей площадки, в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Грузоподъемность: не менее 1000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- Исполнение;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- Температурному режиму,  в С;</w:t>
            </w:r>
          </w:p>
        </w:tc>
      </w:tr>
      <w:tr>
        <w:trPr/>
        <w:tc>
          <w:tcPr>
            <w:tcW w:w="6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146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Позиция 3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8"/>
                <w:b w:val="false"/>
                <w:bCs/>
                <w:i w:val="false"/>
                <w:iCs w:val="false"/>
                <w:color w:val="000000"/>
                <w:sz w:val="24"/>
                <w:szCs w:val="24"/>
                <w:shd w:fill="FFFFFF" w:val="clear"/>
                <w:lang w:val="en-US"/>
              </w:rPr>
              <w:t>Консольный уголок</w:t>
            </w:r>
          </w:p>
        </w:tc>
        <w:tc>
          <w:tcPr>
            <w:tcW w:w="5668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Консольный уголок изготовлен для применения 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комплекте с фасадными подъёмниками. Он имеет максимальный вылет точки подвеса 1000 мм и устанавливается на парапет или иное вертикальное сооружение из железобетона или иного материала с достаточной несущей способностью. Сварная конструкция имеет треугольную форму и изготовлена из трубы 80*80*4.  Два таких консольных уголок, должны выдерживать полезную нагрузку, которая складывается из двух сумм: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1. вес конструкции фасадного подъемника с учетом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высоты подъема.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2. номинальный вес груза.</w:t>
            </w:r>
          </w:p>
        </w:tc>
        <w:tc>
          <w:tcPr>
            <w:tcW w:w="2187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354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Способ подтверждения: согласие с требованием.</w:t>
            </w:r>
          </w:p>
        </w:tc>
      </w:tr>
      <w:tr>
        <w:trPr>
          <w:trHeight w:val="1047" w:hRule="atLeast"/>
        </w:trPr>
        <w:tc>
          <w:tcPr>
            <w:tcW w:w="64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Calibri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146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Позиция 4</w:t>
            </w:r>
          </w:p>
        </w:tc>
        <w:tc>
          <w:tcPr>
            <w:tcW w:w="18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rPr>
                <w:color w:val="000000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Консоль усиленная </w:t>
            </w:r>
          </w:p>
        </w:tc>
        <w:tc>
          <w:tcPr>
            <w:tcW w:w="56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Вылет передней балки: не более 2м;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Грузоподъемность:  не менее 1000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Масса (комплект): не более 335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Сечение передней балки: не более 80х80х4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Длина передней балки: не менее 3,3 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Расстояние между опорами: не более 5,2 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Масса консоли с балластом: не менее 1800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Коэффициент устойчивости: не менее 2,0</w:t>
            </w:r>
          </w:p>
        </w:tc>
        <w:tc>
          <w:tcPr>
            <w:tcW w:w="218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технических характеристик.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Предложения по: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- Вылету передней балки, в 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- Грузоподъемности, в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- Массе (комплекта), в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- Сечению передней балки, в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- Длине передней балки, в 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- Расстоянию между опорами, в  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- Массе консоли с балластом, в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Shade="80"/>
                <w:kern w:val="0"/>
                <w:sz w:val="20"/>
                <w:szCs w:val="20"/>
                <w:lang w:val="ru-RU" w:eastAsia="en-US" w:bidi="ar-SA"/>
              </w:rPr>
              <w:t>- Коэффициенту устойчивости, в числовом значении.</w:t>
            </w:r>
          </w:p>
        </w:tc>
      </w:tr>
      <w:tr>
        <w:trPr/>
        <w:tc>
          <w:tcPr>
            <w:tcW w:w="6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146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Позиция 5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color w:val="000000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Груз бетонный </w:t>
            </w:r>
          </w:p>
        </w:tc>
        <w:tc>
          <w:tcPr>
            <w:tcW w:w="566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Вес одного контргруза армированного из бетона: не менее 25кг;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Общий вес контргрузов: не менее 1200 кг</w:t>
            </w:r>
          </w:p>
        </w:tc>
        <w:tc>
          <w:tcPr>
            <w:tcW w:w="2187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354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технических характеристик: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Весу одного контргруза армированного из бетона, в кг;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Общему весу контргрузов, в кг.</w:t>
            </w:r>
          </w:p>
        </w:tc>
      </w:tr>
      <w:tr>
        <w:trPr/>
        <w:tc>
          <w:tcPr>
            <w:tcW w:w="6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146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Позиция 6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color w:val="000000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Площадка выносная передвижная </w:t>
            </w:r>
          </w:p>
        </w:tc>
        <w:tc>
          <w:tcPr>
            <w:tcW w:w="566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Площадка выносная передвижная (далее по тексту Площадка)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разработана и изготовлена для применения в комплекте с фасадными подъёмниками  максимальной грузоподъёмностью ФП не менее 1000 кг. Площадка имеет вылет от точки подвеса 1200 мм шириной не менее 800 мм и устанавливается на внутреннюю балюстраду корзины подъемника.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Площадка включает в себя поручень  раму торцевую , раму опорную , основание , отсек противовеса , распорки , а также комплект метизов и такелажных приспособлений для окончательной сборки и монтажа. </w:t>
            </w:r>
          </w:p>
        </w:tc>
        <w:tc>
          <w:tcPr>
            <w:tcW w:w="2187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354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технических характеристик: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вылету от точки подвеса, в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ширине, в мм;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- месту крепления к корзине подъемника (с предоставлением схемы крепления корзины подъемника с Площадкой).</w:t>
            </w:r>
          </w:p>
        </w:tc>
      </w:tr>
      <w:tr>
        <w:trPr/>
        <w:tc>
          <w:tcPr>
            <w:tcW w:w="6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146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Позиция 7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color w:val="000000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Конструкция отвода троса</w:t>
            </w:r>
          </w:p>
        </w:tc>
        <w:tc>
          <w:tcPr>
            <w:tcW w:w="566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Дополнительный элемент, предназначенный для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увеличения вылета каната по вертикальной оси.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Балка 80 * 80 * 4 с приваренным оголовком длиной от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600 до 1200 мм (в зависимости от места использования)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и вилами для установки контргрузов.</w:t>
            </w:r>
          </w:p>
        </w:tc>
        <w:tc>
          <w:tcPr>
            <w:tcW w:w="2187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наименования продукции</w:t>
            </w:r>
          </w:p>
        </w:tc>
        <w:tc>
          <w:tcPr>
            <w:tcW w:w="354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Способ подтверждения: согласие с требованием.</w:t>
            </w:r>
          </w:p>
        </w:tc>
      </w:tr>
    </w:tbl>
    <w:p>
      <w:pPr>
        <w:sectPr>
          <w:headerReference w:type="default" r:id="rId9"/>
          <w:headerReference w:type="first" r:id="rId10"/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p>
      <w:pPr>
        <w:pStyle w:val="Normal"/>
        <w:spacing w:before="0" w:after="120"/>
        <w:jc w:val="right"/>
        <w:rPr/>
      </w:pP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FFFFFF" w:val="clear"/>
        </w:rPr>
        <w:t>П</w:t>
      </w:r>
      <w:bookmarkStart w:id="46" w:name="_Hlk48222348"/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FFFFFF" w:val="clear"/>
        </w:rPr>
        <w:t>риложение №2 к ТТ</w:t>
      </w:r>
      <w:bookmarkEnd w:id="46"/>
    </w:p>
    <w:p>
      <w:pPr>
        <w:pStyle w:val="Normal"/>
        <w:spacing w:before="240" w:after="120"/>
        <w:jc w:val="center"/>
        <w:rPr>
          <w:b/>
          <w:bCs/>
          <w:i/>
          <w:i/>
          <w:caps/>
          <w:sz w:val="24"/>
          <w:szCs w:val="24"/>
          <w:shd w:fill="FFFF99" w:val="clear"/>
        </w:rPr>
      </w:pPr>
      <w:r>
        <w:rPr>
          <w:b/>
          <w:bCs/>
          <w:i/>
          <w:caps/>
          <w:sz w:val="24"/>
          <w:szCs w:val="24"/>
          <w:shd w:fill="FFFF99" w:val="clear"/>
        </w:rPr>
      </w:r>
    </w:p>
    <w:p>
      <w:pPr>
        <w:pStyle w:val="ListParagraph"/>
        <w:tabs>
          <w:tab w:val="clear" w:pos="720"/>
          <w:tab w:val="left" w:pos="567" w:leader="none"/>
        </w:tabs>
        <w:spacing w:lineRule="auto" w:line="240" w:before="0" w:after="0"/>
        <w:ind w:left="644" w:hanging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/>
      </w:pPr>
      <w:r>
        <w:rPr>
          <w:rStyle w:val="Style8"/>
          <w:b/>
          <w:bCs/>
          <w:i w:val="false"/>
          <w:iCs w:val="false"/>
          <w:sz w:val="24"/>
          <w:szCs w:val="24"/>
          <w:shd w:fill="FFFFFF" w:val="clear"/>
        </w:rPr>
        <w:t>Требования к оформлению и составлению сметной документации на оказание услуг по шеф-монтажу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1134" w:leader="none"/>
        </w:tabs>
        <w:spacing w:lineRule="auto" w:line="240" w:before="0" w:after="0"/>
        <w:ind w:left="426" w:firstLine="283"/>
        <w:contextualSpacing/>
        <w:jc w:val="both"/>
        <w:rPr>
          <w:rFonts w:ascii="Times New Roman" w:hAnsi="Times New Roman" w:eastAsia="Calibri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Стоимость шефмонтажных услуг определять отдельным расчетом. Расчет стоимости шефмонтажных услуг выполняется по форме 1 (прил.2.1) с предоставлением подтверждающих документов по уровню заработной платы, удельному весу накладных расходов в себестоимости, уровню рентабельности. 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426" w:leader="none"/>
        </w:tabs>
        <w:spacing w:lineRule="auto" w:line="240" w:before="0" w:after="0"/>
        <w:ind w:left="426" w:firstLine="283"/>
        <w:contextualSpacing/>
        <w:jc w:val="both"/>
        <w:rPr>
          <w:rFonts w:ascii="Times New Roman" w:hAnsi="Times New Roman" w:eastAsia="Calibri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Участник (Исполнитель, контрагент) предоставляет </w:t>
      </w:r>
      <w:r>
        <w:rPr>
          <w:bCs/>
          <w:color w:val="000000"/>
          <w:sz w:val="24"/>
          <w:szCs w:val="24"/>
        </w:rPr>
        <w:t>расчет</w:t>
      </w:r>
      <w:r>
        <w:rPr>
          <w:bCs/>
          <w:color w:val="000000"/>
          <w:sz w:val="24"/>
          <w:szCs w:val="24"/>
        </w:rPr>
        <w:t xml:space="preserve"> на шефмонтажные услуги по факту поставки товара на объект. 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426" w:leader="none"/>
          <w:tab w:val="left" w:pos="1134" w:leader="none"/>
        </w:tabs>
        <w:spacing w:lineRule="auto" w:line="240" w:before="0" w:after="0"/>
        <w:ind w:left="426" w:firstLine="283"/>
        <w:contextualSpacing/>
        <w:jc w:val="both"/>
        <w:rPr>
          <w:rFonts w:ascii="Times New Roman" w:hAnsi="Times New Roman"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Расчет стоимости шефмонтажных услуг предоставить в формате: «Excel» и «</w:t>
      </w:r>
      <w:r>
        <w:rPr>
          <w:rFonts w:eastAsia="Calibri"/>
          <w:sz w:val="24"/>
          <w:szCs w:val="24"/>
          <w:lang w:val="en-US"/>
        </w:rPr>
        <w:t>pdf</w:t>
      </w:r>
      <w:r>
        <w:rPr>
          <w:rFonts w:eastAsia="Calibri"/>
          <w:sz w:val="24"/>
          <w:szCs w:val="24"/>
        </w:rPr>
        <w:t>» (с подписями и печатью).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left="5812" w:hanging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2.1</w:t>
      </w:r>
    </w:p>
    <w:p>
      <w:pPr>
        <w:pStyle w:val="Normal"/>
        <w:spacing w:lineRule="auto" w:line="240" w:before="0" w:after="0"/>
        <w:ind w:left="5812"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Требованиям к оформлению и составлению сметной документации на оказание услуг по шеф-монтажу 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</w:t>
      </w:r>
    </w:p>
    <w:p>
      <w:pPr>
        <w:pStyle w:val="Normal"/>
        <w:shd w:val="clear" w:color="auto" w:fill="FFFFFF"/>
        <w:ind w:left="142" w:hanging="0"/>
        <w:rPr>
          <w:sz w:val="22"/>
          <w:szCs w:val="22"/>
        </w:rPr>
      </w:pPr>
      <w:r>
        <w:rPr>
          <w:b/>
          <w:sz w:val="22"/>
          <w:szCs w:val="22"/>
        </w:rPr>
        <w:t>Образец № 1</w:t>
      </w:r>
    </w:p>
    <w:tbl>
      <w:tblPr>
        <w:tblW w:w="963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7"/>
      </w:tblGrid>
      <w:tr>
        <w:trPr/>
        <w:tc>
          <w:tcPr>
            <w:tcW w:w="9637" w:type="dxa"/>
            <w:tcBorders/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ind w:left="6523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№_____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ind w:left="6239" w:right="-28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договору от ______№_______ 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ind w:left="6239" w:right="-28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(дополнительному соглашению)</w:t>
            </w:r>
          </w:p>
          <w:tbl>
            <w:tblPr>
              <w:tblW w:w="956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430"/>
              <w:gridCol w:w="5133"/>
            </w:tblGrid>
            <w:tr>
              <w:trPr>
                <w:trHeight w:val="446" w:hRule="atLeast"/>
              </w:trPr>
              <w:tc>
                <w:tcPr>
                  <w:tcW w:w="443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widowControl w:val="false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СОГЛАСОВАНО:</w:t>
                  </w:r>
                </w:p>
                <w:p>
                  <w:pPr>
                    <w:pStyle w:val="Normal"/>
                    <w:widowControl w:val="false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________________(Поставщик)</w:t>
                  </w:r>
                </w:p>
                <w:p>
                  <w:pPr>
                    <w:pStyle w:val="Normal"/>
                    <w:widowControl w:val="false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 И.О.Ф</w:t>
                  </w:r>
                </w:p>
                <w:p>
                  <w:pPr>
                    <w:pStyle w:val="Normal"/>
                    <w:widowControl w:val="false"/>
                    <w:spacing w:before="0" w:after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5133" w:type="dxa"/>
                  <w:tcBorders/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widowControl w:val="false"/>
                    <w:spacing w:before="0" w:after="0"/>
                    <w:ind w:left="1886" w:hanging="0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УТВЕРЖДАЮ:</w:t>
                  </w:r>
                </w:p>
                <w:p>
                  <w:pPr>
                    <w:pStyle w:val="Normal"/>
                    <w:widowControl w:val="false"/>
                    <w:spacing w:before="0" w:after="0"/>
                    <w:ind w:left="1886" w:hanging="0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_________________(Заказчик)</w:t>
                  </w:r>
                </w:p>
                <w:p>
                  <w:pPr>
                    <w:pStyle w:val="Normal"/>
                    <w:widowControl w:val="false"/>
                    <w:spacing w:before="0" w:after="0"/>
                    <w:ind w:left="1886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_________________И.О.Ф.</w:t>
                  </w:r>
                </w:p>
                <w:p>
                  <w:pPr>
                    <w:pStyle w:val="Normal"/>
                    <w:widowControl w:val="false"/>
                    <w:spacing w:before="0" w:after="0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spacing w:before="480" w:after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Расчет стоимости</w:t>
              <w:br/>
              <w:t>шефмонтажных услуг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предприятия, здания, сооружения, вида шефмонтажных услуг_____________________________________________________________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монтажной организации 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организации заказчика 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before="24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Расчет заработной платы</w:t>
            </w:r>
            <w:r>
              <w:rPr>
                <w:sz w:val="22"/>
                <w:szCs w:val="22"/>
              </w:rPr>
              <w:tab/>
              <w:tab/>
              <w:tab/>
              <w:tab/>
              <w:tab/>
              <w:tab/>
              <w:tab/>
              <w:t>руб. без НДС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  <w:tblLook w:val="04a0" w:noHBand="0" w:noVBand="1" w:firstColumn="1" w:lastRow="0" w:lastColumn="0" w:firstRow="1"/>
            </w:tblPr>
            <w:tblGrid>
              <w:gridCol w:w="405"/>
              <w:gridCol w:w="2384"/>
              <w:gridCol w:w="1119"/>
              <w:gridCol w:w="1064"/>
              <w:gridCol w:w="1310"/>
              <w:gridCol w:w="1315"/>
              <w:gridCol w:w="1823"/>
            </w:tblGrid>
            <w:tr>
              <w:trPr>
                <w:tblHeader w:val="true"/>
              </w:trPr>
              <w:tc>
                <w:tcPr>
                  <w:tcW w:w="40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№ </w:t>
                  </w:r>
                  <w:r>
                    <w:rPr>
                      <w:sz w:val="22"/>
                      <w:szCs w:val="22"/>
                    </w:rPr>
                    <w:t>п.п.</w:t>
                  </w:r>
                </w:p>
              </w:tc>
              <w:tc>
                <w:tcPr>
                  <w:tcW w:w="2384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Перечень предоставляемых услуг</w:t>
                  </w:r>
                </w:p>
              </w:tc>
              <w:tc>
                <w:tcPr>
                  <w:tcW w:w="2183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Исполнители</w:t>
                  </w:r>
                </w:p>
              </w:tc>
              <w:tc>
                <w:tcPr>
                  <w:tcW w:w="1310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Количество человеко-дней</w:t>
                  </w:r>
                </w:p>
              </w:tc>
              <w:tc>
                <w:tcPr>
                  <w:tcW w:w="131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Средняя оплата труда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за 1 день</w:t>
                  </w:r>
                </w:p>
              </w:tc>
              <w:tc>
                <w:tcPr>
                  <w:tcW w:w="1823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Оплата труда (всего)</w:t>
                  </w:r>
                </w:p>
              </w:tc>
            </w:tr>
            <w:tr>
              <w:trPr>
                <w:tblHeader w:val="true"/>
              </w:trPr>
              <w:tc>
                <w:tcPr>
                  <w:tcW w:w="405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2384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1064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должность</w:t>
                  </w:r>
                </w:p>
              </w:tc>
              <w:tc>
                <w:tcPr>
                  <w:tcW w:w="1310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315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823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</w:tr>
            <w:tr>
              <w:trPr>
                <w:tblHeader w:val="true"/>
              </w:trPr>
              <w:tc>
                <w:tcPr>
                  <w:tcW w:w="4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84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1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064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310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3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823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</w:t>
                  </w:r>
                </w:p>
              </w:tc>
            </w:tr>
            <w:tr>
              <w:trPr/>
              <w:tc>
                <w:tcPr>
                  <w:tcW w:w="40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4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1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4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1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23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>
              <w:trPr/>
              <w:tc>
                <w:tcPr>
                  <w:tcW w:w="40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4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1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4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1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2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spacing w:before="36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заработной платы, в руб. 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Расчет стоимости предоставляемых услуг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 Накладные расходы, %_______________________________________________________________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 Себестоимость услуг 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 Уровень рентабельности, % 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 </w:t>
            </w:r>
            <w:r>
              <w:rPr>
                <w:sz w:val="22"/>
                <w:szCs w:val="22"/>
              </w:rPr>
              <w:t>_______________________________________________________________________________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Командировочные расходы (по расчету) 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без НДС (руб.)</w:t>
            </w:r>
            <w:r>
              <w:rPr>
                <w:sz w:val="22"/>
                <w:szCs w:val="22"/>
              </w:rPr>
              <w:t xml:space="preserve"> _____________________________________________________________________________________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ind w:firstLine="20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(сумма прописью)</w:t>
            </w:r>
          </w:p>
          <w:p>
            <w:pPr>
              <w:pStyle w:val="Normal"/>
              <w:widowControl w:val="false"/>
              <w:shd w:val="clear" w:color="auto" w:fill="FFFFFF"/>
              <w:spacing w:before="48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Составил:            /должность, организация/                                    /подпись/   /расшифровка подписи/</w:t>
            </w:r>
          </w:p>
          <w:p>
            <w:pPr>
              <w:pStyle w:val="Normal"/>
              <w:widowControl w:val="false"/>
              <w:shd w:val="clear" w:color="auto" w:fill="FFFFFF"/>
              <w:spacing w:before="48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Проверил:            /должность, организация/                                    /подпись/   /расшифровка подписи/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napToGrid w:val="false"/>
        <w:spacing w:lineRule="auto" w:line="240" w:before="0" w:after="60"/>
        <w:ind w:left="0" w:firstLine="567"/>
        <w:jc w:val="center"/>
        <w:outlineLvl w:val="0"/>
        <w:rPr>
          <w:sz w:val="22"/>
          <w:szCs w:val="22"/>
        </w:rPr>
      </w:pPr>
      <w:r>
        <w:rPr/>
      </w:r>
    </w:p>
    <w:sectPr>
      <w:headerReference w:type="even" r:id="rId11"/>
      <w:headerReference w:type="default" r:id="rId12"/>
      <w:headerReference w:type="first" r:id="rId13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19</w:t>
    </w:r>
    <w:r>
      <w:rPr/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19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dstrike w:val="false"/>
        <w:strike w:val="false"/>
        <w:u w:val="none"/>
        <w:b w:val="fals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dstrike w:val="false"/>
        <w:strike w:val="false"/>
        <w:u w:val="none"/>
        <w:b w:val="fals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dstrike w:val="false"/>
        <w:strike w:val="false"/>
        <w:u w:val="none"/>
        <w:b w:val="fals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0"/>
    <w:lvlOverride w:ilvl="0">
      <w:startOverride w:val="1"/>
    </w:lvlOverride>
  </w:num>
  <w:num w:numId="15">
    <w:abstractNumId w:val="10"/>
  </w:num>
  <w:num w:numId="16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46da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>
    <w:name w:val="Ссылка указателя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20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D4B86-1D49-4C4B-AED9-20C80537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Application>AlterOffice/3.4.0.9$Linux_X86_64 LibreOffice_project/b8daf9e823b1a5463a2f48435ddc2e8696e7d4fc</Application>
  <AppVersion>15.0000</AppVersion>
  <Pages>19</Pages>
  <Words>3164</Words>
  <Characters>21304</Characters>
  <CharactersWithSpaces>24226</CharactersWithSpaces>
  <Paragraphs>613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nikitinma@corp.gidroogk.com</cp:lastModifiedBy>
  <cp:lastPrinted>2006-07-26T14:04:00Z</cp:lastPrinted>
  <dcterms:modified xsi:type="dcterms:W3CDTF">2026-07-28T13:43:57Z</dcterms:modified>
  <cp:revision>45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