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6"/>
          <w:szCs w:val="26"/>
        </w:rPr>
      </w:pPr>
      <w:r>
        <w:rPr/>
        <w:t xml:space="preserve">ОКПД2:74.90.13.000 Оказание услуг по проведению контроля эффективности ГОУ на территории АО «ВНИИГ им. Б.Е. Веденеева», расположенного по адресу: </w:t>
      </w:r>
    </w:p>
    <w:p>
      <w:pPr>
        <w:pStyle w:val="Normal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/>
        <w:t>195220 г. Санкт-Петербург, ул. Гжатская, д.21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vanish w:val="false"/>
            </w:rPr>
            <w:instrText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Toc184991671">
            <w:r>
              <w:rPr>
                <w:webHidden/>
                <w:vanish w:val="false"/>
              </w:rPr>
              <w:t>1.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/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_Toc184991671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4991672">
            <w:r>
              <w:rPr>
                <w:webHidden/>
                <w:iCs/>
                <w:vanish w:val="false"/>
              </w:rPr>
              <w:t>1.1.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/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_Toc184991672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4991673">
            <w:r>
              <w:rPr>
                <w:webHidden/>
                <w:iCs/>
                <w:vanish w:val="false"/>
              </w:rPr>
              <w:t>1.2.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/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_Toc184991673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4991674">
            <w:r>
              <w:rPr>
                <w:webHidden/>
                <w:iCs/>
                <w:vanish w:val="false"/>
              </w:rPr>
              <w:t>1.3.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/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_Toc184991674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8499167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_Toc184991675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4991676">
            <w:r>
              <w:rPr>
                <w:webHidden/>
                <w:iCs/>
                <w:vanish w:val="false"/>
              </w:rPr>
              <w:t>1.4.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/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_Toc184991676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84991677">
            <w:r>
              <w:rPr>
                <w:webHidden/>
                <w:vanish w:val="false"/>
              </w:rPr>
              <w:t>2.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_Toc184991677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4991678">
            <w:r>
              <w:rPr>
                <w:webHidden/>
                <w:iCs/>
                <w:vanish w:val="false"/>
              </w:rPr>
              <w:t>2.1.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/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_Toc184991678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4991679">
            <w:r>
              <w:rPr>
                <w:webHidden/>
                <w:vanish w:val="false"/>
              </w:rPr>
              <w:t>2.1.1.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/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_Toc184991679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849916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_Toc184991680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vanish w:val="false"/>
              </w:rPr>
              <w:t>Таблица 2. Перечень и объем оказываемых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4991681">
            <w:r>
              <w:rPr>
                <w:webHidden/>
                <w:vanish w:val="false"/>
              </w:rPr>
              <w:t>2.1.2.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/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_Toc184991681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849916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_Toc184991682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4991683">
            <w:r>
              <w:rPr>
                <w:webHidden/>
                <w:iCs/>
                <w:vanish w:val="false"/>
              </w:rPr>
              <w:t>2.2.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/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_Toc184991683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8499168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_Toc184991684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vanish w:val="false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84991685">
            <w:r>
              <w:rPr>
                <w:webHidden/>
                <w:vanish w:val="false"/>
              </w:rPr>
              <w:t>3.</w:t>
            </w:r>
            <w:r>
              <w:rPr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iCs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_Toc184991685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2"/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84991671"/>
      <w:r>
        <w:rPr>
          <w:lang w:val="ru-RU"/>
        </w:rPr>
        <w:t>Общие сведения</w:t>
      </w:r>
      <w:bookmarkEnd w:id="0"/>
    </w:p>
    <w:p>
      <w:pPr>
        <w:pStyle w:val="4"/>
        <w:numPr>
          <w:ilvl w:val="1"/>
          <w:numId w:val="3"/>
        </w:numPr>
        <w:rPr/>
      </w:pPr>
      <w:bookmarkStart w:id="1" w:name="_Toc46743505"/>
      <w:bookmarkStart w:id="2" w:name="_Toc184991672"/>
      <w:r>
        <w:rPr/>
        <w:t>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Газоочистная установка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4"/>
        <w:numPr>
          <w:ilvl w:val="1"/>
          <w:numId w:val="3"/>
        </w:numPr>
        <w:rPr>
          <w:iCs/>
        </w:rPr>
      </w:pPr>
      <w:bookmarkStart w:id="3" w:name="_Toc124334527"/>
      <w:r>
        <w:rPr>
          <w:iCs/>
        </w:rPr>
        <w:t xml:space="preserve"> </w:t>
      </w:r>
      <w:bookmarkStart w:id="4" w:name="_Toc184991673"/>
      <w:r>
        <w:rPr/>
        <w:t>Наименование закупаемой продукции</w:t>
      </w:r>
      <w:bookmarkEnd w:id="3"/>
      <w:bookmarkEnd w:id="4"/>
      <w:r>
        <w:rPr>
          <w:iCs/>
        </w:rPr>
        <w:t xml:space="preserve"> </w:t>
      </w:r>
    </w:p>
    <w:p>
      <w:pPr>
        <w:pStyle w:val="Normal"/>
        <w:spacing w:lineRule="auto" w:line="36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«Оказание услуг по проведению контроля эффективности ГОУ на территории АО «ВНИИГ им. Б.Е. Веденеева»,  расположенного по адресу: 195220 г. Санкт-Петербург, ул. Гжатская, д. 21». </w:t>
      </w:r>
    </w:p>
    <w:p>
      <w:pPr>
        <w:pStyle w:val="4"/>
        <w:numPr>
          <w:ilvl w:val="1"/>
          <w:numId w:val="3"/>
        </w:numPr>
        <w:rPr/>
      </w:pPr>
      <w:bookmarkStart w:id="5" w:name="_Toc124334528"/>
      <w:r>
        <w:rPr/>
        <w:t xml:space="preserve"> </w:t>
      </w:r>
      <w:bookmarkStart w:id="6" w:name="_Toc184991674"/>
      <w:r>
        <w:rPr/>
        <w:t>Цель оказания услуг</w:t>
      </w:r>
      <w:bookmarkEnd w:id="5"/>
      <w:bookmarkEnd w:id="6"/>
    </w:p>
    <w:p>
      <w:pPr>
        <w:pStyle w:val="Normal"/>
        <w:spacing w:lineRule="auto" w:line="360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Целью является оказание услуг по проведению контроля эффективности ГОУ на предприятии Заказчика. </w:t>
      </w:r>
    </w:p>
    <w:p>
      <w:pPr>
        <w:pStyle w:val="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7" w:name="_Toc18499167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828"/>
        <w:gridCol w:w="6060"/>
      </w:tblGrid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>
        <w:trPr>
          <w:trHeight w:val="881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i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АО «ВНИИГ им. Б.Е. Веденеева»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195220, г. Санкт-Петербург, ул. Гжатская, д. 21, литера А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4"/>
        <w:numPr>
          <w:ilvl w:val="1"/>
          <w:numId w:val="3"/>
        </w:numPr>
        <w:rPr>
          <w:lang w:val="ru-RU"/>
        </w:rPr>
      </w:pPr>
      <w:bookmarkStart w:id="8" w:name="_Toc184991676"/>
      <w:r>
        <w:rPr/>
        <w:t xml:space="preserve">Информация в отношении исполнения договора, </w:t>
      </w:r>
      <w:bookmarkStart w:id="9" w:name="_Hlk46492347"/>
      <w:r>
        <w:rPr/>
        <w:t xml:space="preserve">которая должна быть учтена при подготовке заявки </w:t>
      </w:r>
      <w:bookmarkEnd w:id="9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8"/>
    </w:p>
    <w:p>
      <w:pPr>
        <w:pStyle w:val="Normal"/>
        <w:ind w:firstLine="709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Заказчик может предоставить Исполнителю копии следующих документов в электронном виде:</w:t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- </w:t>
      </w:r>
      <w:r>
        <w:rPr>
          <w:sz w:val="24"/>
          <w:szCs w:val="24"/>
        </w:rPr>
        <w:t>Паспорта на ГОУ;</w:t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  <w:t>-  Проект нормативов допустимых выбросов загрязняющих веществ в атмосферу;</w:t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4"/>
        <w:numPr>
          <w:ilvl w:val="1"/>
          <w:numId w:val="3"/>
        </w:numPr>
        <w:rPr/>
      </w:pPr>
      <w:bookmarkStart w:id="10" w:name="_Toc170747474"/>
      <w:r>
        <w:rPr/>
        <w:t>Иные требования и сведения общего характера</w:t>
      </w:r>
      <w:bookmarkEnd w:id="10"/>
      <w:r>
        <w:rPr/>
        <w:t xml:space="preserve"> </w:t>
      </w:r>
    </w:p>
    <w:p>
      <w:pPr>
        <w:pStyle w:val="Normal"/>
        <w:ind w:firstLine="709"/>
        <w:jc w:val="both"/>
        <w:rPr>
          <w:sz w:val="24"/>
        </w:rPr>
      </w:pPr>
      <w:r>
        <w:rPr>
          <w:sz w:val="24"/>
        </w:rPr>
        <w:t>Заказчик имеет лицензию на осуществление работ со сведениями, составляющими государственную тайну, в связи с чем, прием иностранных граждан на территории Заказчика строго регламентирован нормативными правовыми актами Российской Федерации по обеспечению режима секретности. На основании данного обстоятельства вход на территорию Заказчика работникам Участника, - иностранным гражданам может быть  запрещён. В случае недопуска Заказчиком работников Участника, - иностранных граждан, -  для оказания услуг по договору не влечет перенос сроков оказания услуг и не освобождает Участника от ответственности за нарушение сроков оказания услуг.</w:t>
      </w:r>
    </w:p>
    <w:p>
      <w:pPr>
        <w:pStyle w:val="Normal"/>
        <w:ind w:firstLine="709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Toc184991677"/>
      <w:bookmarkStart w:id="12" w:name="_Toc51339693"/>
      <w:bookmarkStart w:id="13" w:name="_Toc46743510"/>
      <w:bookmarkStart w:id="14" w:name="_Toc50125126"/>
      <w:bookmarkEnd w:id="13"/>
      <w:bookmarkEnd w:id="14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1"/>
      <w:bookmarkEnd w:id="12"/>
    </w:p>
    <w:p>
      <w:pPr>
        <w:pStyle w:val="4"/>
        <w:numPr>
          <w:ilvl w:val="1"/>
          <w:numId w:val="3"/>
        </w:numPr>
        <w:rPr/>
      </w:pPr>
      <w:bookmarkStart w:id="15" w:name="_Toc184991678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5"/>
    </w:p>
    <w:p>
      <w:pPr>
        <w:pStyle w:val="3"/>
        <w:numPr>
          <w:ilvl w:val="2"/>
          <w:numId w:val="3"/>
        </w:numPr>
        <w:rPr/>
      </w:pPr>
      <w:bookmarkStart w:id="16" w:name="_Toc184991679"/>
      <w:r>
        <w:rPr>
          <w:lang w:val="ru-RU"/>
        </w:rPr>
        <w:t>Требования к перечню и объему услуг</w:t>
      </w:r>
      <w:bookmarkEnd w:id="16"/>
    </w:p>
    <w:p>
      <w:pPr>
        <w:pStyle w:val="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184991680"/>
      <w:bookmarkStart w:id="1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8"/>
      <w:r>
        <w:rPr>
          <w:sz w:val="24"/>
          <w:szCs w:val="24"/>
          <w:lang w:val="ru-RU"/>
        </w:rPr>
        <w:t>и объем оказываемых услуг</w:t>
      </w:r>
      <w:bookmarkEnd w:id="17"/>
    </w:p>
    <w:tbl>
      <w:tblPr>
        <w:tblW w:w="98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0"/>
        <w:gridCol w:w="2121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Оказание услуг по  проведению контроля эффективности ГОУ на территории АО «ВНИИГ им. Б.Е. Веденеева», расположенного по адресу: 195220 г. Санкт-Петербург, ул. Гжатская, д. 21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  <w:lang w:val="en-US"/>
              </w:rPr>
              <w:t>*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Усл.ед.</w:t>
            </w:r>
          </w:p>
        </w:tc>
      </w:tr>
    </w:tbl>
    <w:p>
      <w:pPr>
        <w:pStyle w:val="3"/>
        <w:numPr>
          <w:ilvl w:val="2"/>
          <w:numId w:val="3"/>
        </w:numPr>
        <w:rPr>
          <w:lang w:val="ru-RU"/>
        </w:rPr>
      </w:pPr>
      <w:bookmarkStart w:id="19" w:name="_Toc184991681"/>
      <w:bookmarkStart w:id="20" w:name="_Toc51339696"/>
      <w:r>
        <w:rPr>
          <w:lang w:val="ru-RU"/>
        </w:rPr>
        <w:t xml:space="preserve">Требования </w:t>
      </w:r>
      <w:bookmarkEnd w:id="20"/>
      <w:r>
        <w:rPr>
          <w:lang w:val="ru-RU"/>
        </w:rPr>
        <w:t>к срокам оказания услуг</w:t>
      </w:r>
      <w:bookmarkEnd w:id="19"/>
    </w:p>
    <w:p>
      <w:pPr>
        <w:pStyle w:val="Normal"/>
        <w:ind w:firstLine="709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Сроки оказания услуг в соответствии с пунктом 1.5 Договора. Оказание Услуг осуществляется поэтапно.</w:t>
      </w:r>
    </w:p>
    <w:p>
      <w:pPr>
        <w:pStyle w:val="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1" w:name="_Toc184991682"/>
      <w:bookmarkStart w:id="22" w:name="_Toc51339697"/>
      <w:bookmarkStart w:id="23" w:name="_Toc50125127"/>
      <w:bookmarkStart w:id="24" w:name="_Toc50125126_Копия_1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оказания услуг</w:t>
      </w:r>
      <w:bookmarkEnd w:id="21"/>
    </w:p>
    <w:tbl>
      <w:tblPr>
        <w:tblW w:w="107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4"/>
        <w:gridCol w:w="3234"/>
        <w:gridCol w:w="2651"/>
        <w:gridCol w:w="2174"/>
        <w:gridCol w:w="2092"/>
      </w:tblGrid>
      <w:tr>
        <w:trPr>
          <w:trHeight w:val="1088" w:hRule="atLeast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>
          <w:trHeight w:val="357" w:hRule="atLeast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ind w:left="502" w:hanging="3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Оказание услуг по  проведению контроля эффективности ГОУ на территории АО «ВНИИГ им. Б.Е. Веденеева», расположенного по адресу: 195220 г. Санкт-Петербург, ул. Гжатская, д. 21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1-й Этап: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Договора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1-й Этап: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90 дней с даты подписания Договора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6" w:name="_Toc46743510_Копия_1"/>
            <w:bookmarkEnd w:id="26"/>
            <w:r>
              <w:rPr>
                <w:sz w:val="24"/>
                <w:szCs w:val="24"/>
              </w:rPr>
              <w:t>Начало оказания услуг: Дата подписания Договора-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оказания услуг: через 12 месяцев со дня начала оказания услуг.</w:t>
            </w:r>
          </w:p>
        </w:tc>
      </w:tr>
      <w:tr>
        <w:trPr>
          <w:trHeight w:val="570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502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2-й Этап: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следующий за днем окончания 1 этапа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2-й Этап: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более 90 дней со дня начала 2-го этапа</w:t>
            </w:r>
          </w:p>
        </w:tc>
        <w:tc>
          <w:tcPr>
            <w:tcW w:w="2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numPr>
          <w:ilvl w:val="1"/>
          <w:numId w:val="3"/>
        </w:numPr>
        <w:rPr/>
      </w:pPr>
      <w:bookmarkStart w:id="27" w:name="_Toc51339698"/>
      <w:bookmarkStart w:id="28" w:name="_Toc184991683"/>
      <w:bookmarkStart w:id="29" w:name="_Toc46743511"/>
      <w:r>
        <w:rPr/>
        <w:t xml:space="preserve">Требования к </w:t>
      </w:r>
      <w:bookmarkEnd w:id="29"/>
      <w:r>
        <w:rPr>
          <w:lang w:val="ru-RU"/>
        </w:rPr>
        <w:t>качеству услуг</w:t>
      </w:r>
      <w:bookmarkEnd w:id="28"/>
    </w:p>
    <w:p>
      <w:pPr>
        <w:pStyle w:val="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30" w:name="_Toc18499168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7"/>
      <w:r>
        <w:rPr>
          <w:sz w:val="24"/>
          <w:szCs w:val="24"/>
          <w:lang w:val="ru-RU"/>
        </w:rPr>
        <w:t>качеству услуг</w:t>
      </w:r>
      <w:bookmarkEnd w:id="30"/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 Таблицы 2): </w:t>
      </w:r>
      <w:r>
        <w:rPr>
          <w:b/>
          <w:bCs/>
          <w:i/>
          <w:sz w:val="24"/>
          <w:szCs w:val="24"/>
        </w:rPr>
        <w:t>Оказание услуг по проведению контроля эффективности ГОУ на территории АО «ВНИИГ им. Б.Е. Веденеева», расположенного по адресу: 195220 г. Санкт-Петербург, ул. Гжатская, д. 21</w:t>
      </w:r>
    </w:p>
    <w:tbl>
      <w:tblPr>
        <w:tblStyle w:val="af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1"/>
        <w:gridCol w:w="2772"/>
        <w:gridCol w:w="11042"/>
      </w:tblGrid>
      <w:tr>
        <w:trPr/>
        <w:tc>
          <w:tcPr>
            <w:tcW w:w="10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7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0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bookmarkStart w:id="3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1"/>
          </w:p>
        </w:tc>
        <w:tc>
          <w:tcPr>
            <w:tcW w:w="27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0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8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Проверка эффективности работы газоочистных и пылеулавливающих установок (ГОУ) – 4 шт.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(2 раза в год).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оказывать Услуги силами только квалифицированных специалистов, прошедших соответствующую подготовку, квалификация, опыт и компетенция которых позволяет обеспечить надлежащее и качественное оказание Услуг.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 CYR" w:ascii="Times New Roman CYR" w:hAnsi="Times New Roman CYR"/>
                <w:color w:val="000000"/>
                <w:kern w:val="0"/>
                <w:sz w:val="24"/>
                <w:szCs w:val="24"/>
                <w:lang w:val="ru-RU" w:eastAsia="ru-RU" w:bidi="ar-SA"/>
              </w:rPr>
              <w:t>Инструментальные измерения должны быть проведены лабораторией, имеющей аттестат аккредитации на проведение данных измерений.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Оформление актов и протоколов измерений концентрации загрязняющих веществ ГОУ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осуществляется посредством подписания акта сдачи-приемки услуг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обеспечить выполнение всех измерений в соответствии с требованиями в аккредитованной лаборатории, принадлежащей ему на праве собственности или ином другом законном основании (подтверждается предоставлением к технико-коммерческому предложению скан-копии действующего аттестата аккредитации и области аккредитации привлекаемой лаборатории в части измерения параметров атмосферного воздуха,  в случае аренды лаборатории – дополнительно предоставить договор аренды).</w:t>
            </w:r>
          </w:p>
        </w:tc>
      </w:tr>
      <w:tr>
        <w:trPr/>
        <w:tc>
          <w:tcPr>
            <w:tcW w:w="107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Инструментальные измерения должны проводиться Исполнителем в соответствии с методиками, указанными в аттестате аккредитации лаборатории</w:t>
            </w:r>
          </w:p>
        </w:tc>
      </w:tr>
      <w:tr>
        <w:trPr/>
        <w:tc>
          <w:tcPr>
            <w:tcW w:w="107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 отсутствовать в реестре недобросовестных поставщиков, предусмотренном Законом 22-ФЗ, 44-ФЗ, которые размещены в ЕИС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10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13814" w:type="dxa"/>
            <w:gridSpan w:val="2"/>
            <w:tcBorders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Услуги должны оказываться в соответствие с </w:t>
            </w:r>
            <w:r>
              <w:rPr>
                <w:rFonts w:eastAsia="Times New Roman" w:cs="Calibri"/>
                <w:kern w:val="0"/>
                <w:sz w:val="24"/>
                <w:szCs w:val="24"/>
                <w:lang w:val="ru-RU" w:eastAsia="ru-RU" w:bidi="ar-SA"/>
              </w:rPr>
              <w:t xml:space="preserve"> Приказом Министерства природных ресурсов и экологии от 15.09.2017 г. № 498 «Об утверждении правил эксплуатации установок очистки газа».</w:t>
            </w:r>
          </w:p>
        </w:tc>
      </w:tr>
    </w:tbl>
    <w:p>
      <w:pPr>
        <w:pStyle w:val="Normal"/>
        <w:rPr>
          <w:rFonts w:eastAsia="Calibri"/>
          <w:b/>
          <w:b/>
          <w:iCs/>
          <w:caps/>
          <w:lang w:val="x-none" w:eastAsia="x-none"/>
        </w:rPr>
      </w:pPr>
      <w:r>
        <w:rPr>
          <w:rFonts w:eastAsia="Calibri"/>
          <w:b/>
          <w:iCs/>
          <w:caps/>
          <w:lang w:val="x-none" w:eastAsia="x-none"/>
        </w:rPr>
      </w:r>
      <w:bookmarkStart w:id="32" w:name="_Toc51339699"/>
      <w:bookmarkStart w:id="33" w:name="_Toc46743519"/>
      <w:bookmarkStart w:id="34" w:name="_Toc51339699"/>
      <w:bookmarkStart w:id="35" w:name="_Toc46743519"/>
      <w:bookmarkEnd w:id="34"/>
      <w:bookmarkEnd w:id="35"/>
    </w:p>
    <w:p>
      <w:pPr>
        <w:pStyle w:val="1"/>
        <w:keepLines/>
        <w:numPr>
          <w:ilvl w:val="0"/>
          <w:numId w:val="0"/>
        </w:numPr>
        <w:ind w:left="0" w:hanging="0"/>
        <w:rPr>
          <w:iCs/>
          <w:caps/>
        </w:rPr>
      </w:pPr>
      <w:r>
        <w:rPr>
          <w:iCs/>
          <w:caps/>
        </w:rPr>
      </w:r>
    </w:p>
    <w:p>
      <w:pPr>
        <w:pStyle w:val="Normal"/>
        <w:spacing w:lineRule="auto" w:line="312"/>
        <w:rPr>
          <w:rFonts w:ascii="Calibri" w:hAnsi="Calibri" w:eastAsia="Calibri"/>
          <w:sz w:val="22"/>
          <w:szCs w:val="22"/>
          <w:lang w:eastAsia="en-US"/>
        </w:rPr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992" w:right="567" w:header="680" w:top="851" w:footer="0" w:bottom="851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 CYR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next w:val="Normal"/>
    <w:link w:val="2"/>
    <w:uiPriority w:val="9"/>
    <w:qFormat/>
    <w:rsid w:val="00ea61a8"/>
    <w:pPr>
      <w:outlineLvl w:val="1"/>
    </w:pPr>
    <w:rPr/>
  </w:style>
  <w:style w:type="paragraph" w:styleId="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Normal"/>
    <w:link w:val="4"/>
    <w:qFormat/>
    <w:rsid w:val="006629c9"/>
    <w:pPr>
      <w:outlineLvl w:val="3"/>
    </w:pPr>
    <w:rPr>
      <w:bCs/>
    </w:rPr>
  </w:style>
  <w:style w:type="paragraph" w:styleId="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qFormat/>
    <w:rsid w:val="00d561d9"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7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uiPriority w:val="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8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9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10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11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2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1"/>
    <w:qFormat/>
    <w:locked/>
    <w:rsid w:val="00d22f6d"/>
    <w:rPr>
      <w:sz w:val="28"/>
    </w:rPr>
  </w:style>
  <w:style w:type="character" w:styleId="Style13" w:customStyle="1">
    <w:name w:val="Текст сноски Знак"/>
    <w:qFormat/>
    <w:rsid w:val="00d22f6d"/>
    <w:rPr/>
  </w:style>
  <w:style w:type="character" w:styleId="Style14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5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6" w:customStyle="1">
    <w:name w:val="комментарий"/>
    <w:qFormat/>
    <w:rsid w:val="0025139e"/>
    <w:rPr>
      <w:b/>
      <w:i/>
      <w:shd w:fill="FFFF99" w:val="clear"/>
    </w:rPr>
  </w:style>
  <w:style w:type="character" w:styleId="Style17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8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9" w:customStyle="1">
    <w:name w:val="Текст примечания Знак"/>
    <w:link w:val="Annotationtext"/>
    <w:semiHidden/>
    <w:qFormat/>
    <w:rsid w:val="00dc0f7d"/>
    <w:rPr/>
  </w:style>
  <w:style w:type="character" w:styleId="Style20" w:customStyle="1">
    <w:name w:val="Текст концевой сноски Знак"/>
    <w:basedOn w:val="DefaultParagraphFont"/>
    <w:qFormat/>
    <w:rsid w:val="003879d4"/>
    <w:rPr/>
  </w:style>
  <w:style w:type="character" w:styleId="Style21">
    <w:name w:val="Символ концевой сноски"/>
    <w:qFormat/>
    <w:rsid w:val="003879d4"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3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23">
    <w:name w:val="Ссылка указателя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5">
    <w:name w:val="Body Text"/>
    <w:basedOn w:val="Normal"/>
    <w:link w:val="Style6"/>
    <w:rsid w:val="0076353a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both"/>
    </w:pPr>
    <w:rPr/>
  </w:style>
  <w:style w:type="paragraph" w:styleId="Style32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3">
    <w:name w:val="Колонтитул"/>
    <w:basedOn w:val="Normal"/>
    <w:qFormat/>
    <w:pPr/>
    <w:rPr/>
  </w:style>
  <w:style w:type="paragraph" w:styleId="Style34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6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8" w:customStyle="1">
    <w:name w:val="Раздел регламента"/>
    <w:basedOn w:val="Normal"/>
    <w:qFormat/>
    <w:rsid w:val="00e228fa"/>
    <w:pPr/>
    <w:rPr/>
  </w:style>
  <w:style w:type="paragraph" w:styleId="Style3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4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41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Style42">
    <w:name w:val="Index Heading"/>
    <w:basedOn w:val="Style24"/>
    <w:pPr/>
    <w:rPr/>
  </w:style>
  <w:style w:type="paragraph" w:styleId="TOCHeading">
    <w:name w:val="TOC Heading"/>
    <w:basedOn w:val="1"/>
    <w:next w:val="Normal"/>
    <w:uiPriority w:val="39"/>
    <w:qFormat/>
    <w:rsid w:val="00d22f6d"/>
    <w:pPr>
      <w:keepLines/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0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7" w:customStyle="1">
    <w:name w:val="Подподпункт"/>
    <w:basedOn w:val="Style37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8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9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50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51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5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3">
    <w:name w:val="Содержимое врезки"/>
    <w:basedOn w:val="Normal"/>
    <w:qFormat/>
    <w:pPr/>
    <w:rPr/>
  </w:style>
  <w:style w:type="paragraph" w:styleId="Style54">
    <w:name w:val="Содержимое таблицы"/>
    <w:basedOn w:val="Normal"/>
    <w:qFormat/>
    <w:pPr>
      <w:widowControl w:val="false"/>
      <w:suppressLineNumbers/>
    </w:pPr>
    <w:rPr/>
  </w:style>
  <w:style w:type="paragraph" w:styleId="Style55">
    <w:name w:val="Заголовок таблицы"/>
    <w:basedOn w:val="Style5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63169-4B8C-4C4D-9821-D1D4302C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Application>LibreOffice/7.1.8.1$Linux_X86_64 LibreOffice_project/10$Build-1</Application>
  <AppVersion>15.0000</AppVersion>
  <Pages>6</Pages>
  <Words>863</Words>
  <Characters>5514</Characters>
  <CharactersWithSpaces>6254</CharactersWithSpaces>
  <Paragraphs>132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2023-08-30T04:18:00Z</dcterms:created>
  <dc:creator>Быстров Олег Геннадьевич</dc:creator>
  <dc:description/>
  <dc:language>ru-RU</dc:language>
  <cp:lastModifiedBy/>
  <cp:lastPrinted>2006-07-26T14:04:00Z</cp:lastPrinted>
  <dcterms:modified xsi:type="dcterms:W3CDTF">2026-07-29T08:02:47Z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