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ind w:left="5670" w:hanging="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УТВЕРЖДАЮ</w:t>
      </w:r>
    </w:p>
    <w:p>
      <w:pPr>
        <w:pStyle w:val="Normal"/>
        <w:keepNext w:val="true"/>
        <w:keepLines/>
        <w:ind w:left="5670" w:hanging="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Первый заместитель директора-</w:t>
      </w:r>
    </w:p>
    <w:p>
      <w:pPr>
        <w:pStyle w:val="Normal"/>
        <w:keepNext w:val="true"/>
        <w:keepLines/>
        <w:ind w:left="5670" w:hanging="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Главный инженер</w:t>
      </w:r>
    </w:p>
    <w:p>
      <w:pPr>
        <w:pStyle w:val="Normal"/>
        <w:keepNext w:val="true"/>
        <w:keepLines/>
        <w:ind w:left="5529" w:hang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Филиала ПАО «РусГидро» - «Жигулевская ГЭС» </w:t>
      </w:r>
    </w:p>
    <w:p>
      <w:pPr>
        <w:pStyle w:val="Normal"/>
        <w:keepNext w:val="true"/>
        <w:keepLines/>
        <w:ind w:left="5670" w:hanging="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 А.И. Богданов</w:t>
      </w:r>
    </w:p>
    <w:p>
      <w:pPr>
        <w:pStyle w:val="Normal"/>
        <w:keepNext w:val="true"/>
        <w:keepLines/>
        <w:ind w:left="5670" w:hanging="141"/>
        <w:rPr/>
      </w:pPr>
      <w:r>
        <w:rPr>
          <w:color w:val="000000"/>
          <w:sz w:val="26"/>
          <w:szCs w:val="26"/>
        </w:rPr>
        <w:t>«___»________________2026 г.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  <w:t>ОКПД2 28.99.39.190 Поставка прибора для снаряжения пулемётных лент патронами (</w:t>
      </w:r>
      <w:r>
        <w:rPr>
          <w:rFonts w:eastAsia="Calibri"/>
          <w:b/>
          <w:i/>
          <w:sz w:val="26"/>
          <w:szCs w:val="26"/>
        </w:rPr>
        <w:t>2</w:t>
      </w:r>
      <w:r>
        <w:rPr>
          <w:rFonts w:eastAsia="Calibri"/>
          <w:b/>
          <w:i/>
          <w:sz w:val="26"/>
          <w:szCs w:val="26"/>
        </w:rPr>
        <w:t xml:space="preserve"> шт.)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\f \o "1-9" \h</w:instrText>
          </w:r>
          <w:r>
            <w:rPr>
              <w:rStyle w:val="Style14"/>
            </w:rPr>
            <w:fldChar w:fldCharType="separate"/>
          </w:r>
          <w:hyperlink w:anchor="__RefHeading___Toc18531_1011690749">
            <w:r>
              <w:rPr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533_1011690749">
            <w:r>
              <w:rPr>
                <w:rStyle w:val="Style14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535_1011690749">
            <w:r>
              <w:rPr>
                <w:rStyle w:val="Style14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537_1011690749">
            <w:r>
              <w:rPr>
                <w:rStyle w:val="Style14"/>
              </w:rPr>
              <w:t>1.3. Цель, задачи использования закупаемой продукции</w:t>
              <w:tab/>
              <w:t>4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</w:r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543_1011690749">
            <w:r>
              <w:rPr>
                <w:rStyle w:val="Style14"/>
              </w:rPr>
              <w:t xml:space="preserve">2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545_1011690749">
            <w:r>
              <w:rPr>
                <w:rStyle w:val="Style14"/>
              </w:rPr>
              <w:t>2.1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8547_1011690749">
            <w:r>
              <w:rPr>
                <w:rStyle w:val="Style14"/>
              </w:rPr>
              <w:t>2.1.1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549_1011690749">
            <w:r>
              <w:rPr>
                <w:rStyle w:val="Style14"/>
              </w:rPr>
              <w:t>Таблица 1.1 Перечень и объем закупаемой продукции</w:t>
              <w:tab/>
              <w:t>4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8551_1011690749">
            <w:r>
              <w:rPr>
                <w:rStyle w:val="Style14"/>
              </w:rPr>
              <w:t>2.1.2 Требования к срокам поставки продукции и оказания сопутствующих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553_1011690749">
            <w:r>
              <w:rPr>
                <w:rStyle w:val="Style14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555_1011690749">
            <w:r>
              <w:rPr>
                <w:rStyle w:val="Style14"/>
              </w:rPr>
              <w:t>2.2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557_1011690749">
            <w:r>
              <w:rPr>
                <w:rStyle w:val="Style14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72817189">
            <w:r>
              <w:rPr>
                <w:rStyle w:val="Style14"/>
              </w:rPr>
              <w:t>3 Требования к документации по ценообразованию</w:t>
              <w:tab/>
              <w:t>7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559_1011690749">
            <w:r>
              <w:rPr>
                <w:rStyle w:val="Style14"/>
              </w:rPr>
              <w:t>4 Приложения</w:t>
              <w:tab/>
              <w:t>7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_RefHeading___Toc18531_1011690749"/>
      <w:bookmarkStart w:id="1" w:name="_Toc75446566"/>
      <w:bookmarkStart w:id="2" w:name="_Toc51339692"/>
      <w:bookmarkEnd w:id="0"/>
      <w:r>
        <w:rPr>
          <w:lang w:val="ru-RU"/>
        </w:rPr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rPr/>
      </w:pPr>
      <w:bookmarkStart w:id="3" w:name="__RefHeading___Toc18533_1011690749"/>
      <w:bookmarkStart w:id="4" w:name="_Toc75446567"/>
      <w:bookmarkStart w:id="5" w:name="_Toc46743505"/>
      <w:bookmarkEnd w:id="3"/>
      <w:r>
        <w:rPr/>
        <w:t>Обозначения и сокращения</w:t>
      </w:r>
      <w:bookmarkEnd w:id="4"/>
      <w:bookmarkEnd w:id="5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МОГ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Мобильная огневая группа Минобороны России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БПЛА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i/>
                <w:sz w:val="24"/>
                <w:szCs w:val="24"/>
              </w:rPr>
              <w:t>Беспилотный летательный аппарат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АТЗ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i/>
                <w:sz w:val="24"/>
                <w:szCs w:val="24"/>
              </w:rPr>
              <w:t>Антитеррористическая защищенность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1428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ТЭК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i/>
                <w:sz w:val="24"/>
                <w:szCs w:val="24"/>
              </w:rPr>
              <w:t>Топливно – энергетический комплекс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1428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АНВ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Акт незаконного вмешательства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1428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Филиал ПАО «РусГидро» - «Жигулевская ГЭС»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6" w:name="__RefHeading___Toc18535_1011690749"/>
      <w:bookmarkStart w:id="7" w:name="_Toc46743506"/>
      <w:bookmarkStart w:id="8" w:name="_Toc75446568"/>
      <w:bookmarkEnd w:id="6"/>
      <w:r>
        <w:rPr/>
        <w:t>Наименование закупаемой продукции</w:t>
      </w:r>
      <w:bookmarkEnd w:id="7"/>
      <w:bookmarkEnd w:id="8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rFonts w:eastAsia="Calibri"/>
          <w:sz w:val="24"/>
          <w:szCs w:val="24"/>
        </w:rPr>
        <w:t>ОКПД2 25.40.14.110 Поставка прибора для снаряжения пулемётных лент патронами (4 шт.).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9" w:name="__RefHeading___Toc18537_1011690749"/>
      <w:bookmarkEnd w:id="9"/>
      <w:r>
        <w:rPr/>
        <w:t>Ц</w:t>
      </w:r>
      <w:bookmarkStart w:id="10" w:name="_Toc75446569"/>
      <w:bookmarkStart w:id="11" w:name="_Toc46743507"/>
      <w:r>
        <w:rPr/>
        <w:t xml:space="preserve">ель, задачи </w:t>
      </w:r>
      <w:bookmarkEnd w:id="11"/>
      <w:r>
        <w:rPr>
          <w:lang w:val="ru-RU"/>
        </w:rPr>
        <w:t>использования закупаемой продукции</w:t>
      </w:r>
      <w:bookmarkEnd w:id="10"/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данной поставки является </w:t>
      </w:r>
      <w:r>
        <w:rPr>
          <w:rFonts w:eastAsia="Calibri"/>
          <w:color w:val="000000"/>
          <w:sz w:val="24"/>
          <w:szCs w:val="24"/>
        </w:rPr>
        <w:t>исполнение поручения Президента Российской Федерации от 10.04.2026 № Пр-867.</w:t>
      </w:r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Реализация</w:t>
      </w:r>
      <w:r>
        <w:rPr>
          <w:sz w:val="24"/>
          <w:szCs w:val="24"/>
        </w:rPr>
        <w:t xml:space="preserve"> мер защиты Филиала от АНВ с использованием БПЛА.</w:t>
      </w:r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Задачей данной поставки является оснащение развертываемых в Филиале мобильных огневых групп необходимым оборудованием и снаряжением в целях обнаружения, поражения беспилотных воздушных судов.</w:t>
      </w:r>
    </w:p>
    <w:p>
      <w:pPr>
        <w:pStyle w:val="Heading3"/>
        <w:numPr>
          <w:ilvl w:val="0"/>
          <w:numId w:val="0"/>
        </w:numPr>
        <w:ind w:left="426" w:hanging="0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  <w:bookmarkStart w:id="12" w:name="_Hlk48209761"/>
      <w:bookmarkStart w:id="13" w:name="_Hlk48209761"/>
      <w:bookmarkEnd w:id="13"/>
    </w:p>
    <w:p>
      <w:pPr>
        <w:pStyle w:val="Heading1"/>
        <w:keepLines/>
        <w:numPr>
          <w:ilvl w:val="0"/>
          <w:numId w:val="8"/>
        </w:numPr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14" w:name="__RefHeading___Toc18543_1011690749"/>
      <w:bookmarkStart w:id="15" w:name="_Toc75446573"/>
      <w:bookmarkStart w:id="16" w:name="_Toc51339693"/>
      <w:bookmarkStart w:id="17" w:name="_Hlk48209761_Копия_1"/>
      <w:bookmarkStart w:id="18" w:name="_Toc50125126"/>
      <w:bookmarkEnd w:id="14"/>
      <w:bookmarkEnd w:id="17"/>
      <w:bookmarkEnd w:id="18"/>
      <w:r>
        <w:rPr>
          <w:iCs/>
          <w:sz w:val="24"/>
          <w:szCs w:val="24"/>
        </w:rPr>
        <w:t>Требования к продукции</w:t>
      </w:r>
      <w:bookmarkEnd w:id="15"/>
      <w:bookmarkEnd w:id="16"/>
    </w:p>
    <w:p>
      <w:pPr>
        <w:pStyle w:val="Heading4"/>
        <w:numPr>
          <w:ilvl w:val="1"/>
          <w:numId w:val="9"/>
        </w:numPr>
        <w:rPr/>
      </w:pPr>
      <w:bookmarkStart w:id="19" w:name="__RefHeading___Toc18545_1011690749"/>
      <w:bookmarkStart w:id="20" w:name="_Toc75446574"/>
      <w:bookmarkEnd w:id="19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0"/>
    </w:p>
    <w:p>
      <w:pPr>
        <w:pStyle w:val="Heading3"/>
        <w:numPr>
          <w:ilvl w:val="2"/>
          <w:numId w:val="9"/>
        </w:numPr>
        <w:ind w:left="1418" w:hanging="720"/>
        <w:rPr/>
      </w:pPr>
      <w:bookmarkStart w:id="21" w:name="__RefHeading___Toc18547_1011690749"/>
      <w:bookmarkStart w:id="22" w:name="_Toc75446575"/>
      <w:bookmarkEnd w:id="21"/>
      <w:r>
        <w:rPr>
          <w:lang w:val="ru-RU"/>
        </w:rPr>
        <w:t>Перечень и объем закупаемой продукции</w:t>
      </w:r>
      <w:bookmarkEnd w:id="22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3" w:name="__RefHeading___Toc18549_1011690749"/>
      <w:bookmarkStart w:id="24" w:name="_Toc75446576"/>
      <w:bookmarkStart w:id="25" w:name="_Toc51339695"/>
      <w:bookmarkEnd w:id="2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5"/>
      <w:r>
        <w:rPr>
          <w:sz w:val="24"/>
          <w:szCs w:val="24"/>
          <w:lang w:val="ru-RU"/>
        </w:rPr>
        <w:t>и объем закупаемой продукции</w:t>
      </w:r>
      <w:bookmarkEnd w:id="24"/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tbl>
      <w:tblPr>
        <w:tblW w:w="993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7"/>
        <w:gridCol w:w="2292"/>
        <w:gridCol w:w="2421"/>
        <w:gridCol w:w="2128"/>
        <w:gridCol w:w="1419"/>
        <w:gridCol w:w="992"/>
      </w:tblGrid>
      <w:tr>
        <w:trPr>
          <w:trHeight w:val="950" w:hRule="atLeast"/>
          <w:cantSplit w:val="true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Наименование продукции</w:t>
            </w:r>
            <w:r>
              <w:rPr>
                <w:color w:val="000000"/>
                <w:sz w:val="24"/>
                <w:szCs w:val="24"/>
                <w:lang w:val="en-US"/>
              </w:rPr>
              <w:t>, тип продукции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ОКПД2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</w:rPr>
              <w:t>(с наименованием)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Ед</w:t>
            </w:r>
            <w:r>
              <w:rPr>
                <w:color w:val="000000"/>
                <w:sz w:val="24"/>
                <w:szCs w:val="24"/>
                <w:lang w:val="en-US"/>
              </w:rPr>
              <w:t>еница</w:t>
            </w:r>
            <w:r>
              <w:rPr>
                <w:color w:val="000000"/>
                <w:sz w:val="24"/>
                <w:szCs w:val="24"/>
              </w:rPr>
              <w:t xml:space="preserve"> изм</w:t>
            </w:r>
            <w:r>
              <w:rPr>
                <w:color w:val="000000"/>
                <w:sz w:val="24"/>
                <w:szCs w:val="24"/>
                <w:lang w:val="en-US"/>
              </w:rPr>
              <w:t>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Кол</w:t>
            </w:r>
            <w:r>
              <w:rPr>
                <w:color w:val="000000"/>
                <w:sz w:val="24"/>
                <w:szCs w:val="24"/>
                <w:lang w:val="en-US"/>
              </w:rPr>
              <w:t>ичест</w:t>
            </w:r>
            <w:r>
              <w:rPr>
                <w:color w:val="000000"/>
                <w:sz w:val="24"/>
                <w:szCs w:val="24"/>
              </w:rPr>
              <w:t>во</w:t>
            </w:r>
          </w:p>
        </w:tc>
      </w:tr>
      <w:tr>
        <w:trPr>
          <w:cantSplit w:val="true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>
        <w:trPr>
          <w:cantSplit w:val="true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Прибор для снаряжения пулемётных лент патронами калибра 7,62 (машинка системы Ракова)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ОКПД2 25.40.14.110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детали боевого оружия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Преимущество товаров российского происхождения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</w:tbl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3"/>
        <w:numPr>
          <w:ilvl w:val="2"/>
          <w:numId w:val="9"/>
        </w:numPr>
        <w:ind w:left="1418" w:hanging="720"/>
        <w:rPr>
          <w:lang w:val="ru-RU"/>
        </w:rPr>
      </w:pPr>
      <w:bookmarkStart w:id="26" w:name="__RefHeading___Toc18551_1011690749"/>
      <w:bookmarkStart w:id="27" w:name="_Toc75446578"/>
      <w:bookmarkStart w:id="28" w:name="_Toc51339696"/>
      <w:bookmarkEnd w:id="26"/>
      <w:r>
        <w:rPr>
          <w:lang w:val="ru-RU"/>
        </w:rPr>
        <w:t xml:space="preserve">Требования </w:t>
      </w:r>
      <w:bookmarkEnd w:id="28"/>
      <w:r>
        <w:rPr>
          <w:lang w:val="ru-RU"/>
        </w:rPr>
        <w:t>к срокам поставки продукции и оказания сопутствующих услуг</w:t>
      </w:r>
      <w:bookmarkEnd w:id="27"/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Поставка товара осуществляется одной партией.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9" w:name="__RefHeading___Toc18553_1011690749"/>
      <w:bookmarkStart w:id="30" w:name="_Toc75446579"/>
      <w:bookmarkStart w:id="31" w:name="_Toc51339697"/>
      <w:bookmarkStart w:id="32" w:name="_Toc50125127"/>
      <w:bookmarkStart w:id="33" w:name="_Toc50125126_Копия_1"/>
      <w:bookmarkEnd w:id="29"/>
      <w:bookmarkEnd w:id="3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4" w:name="_Hlk50465284"/>
      <w:r>
        <w:rPr>
          <w:sz w:val="24"/>
          <w:szCs w:val="24"/>
        </w:rPr>
        <w:t xml:space="preserve">Требования по срокам </w:t>
      </w:r>
      <w:bookmarkEnd w:id="31"/>
      <w:bookmarkEnd w:id="32"/>
      <w:bookmarkEnd w:id="34"/>
      <w:r>
        <w:rPr>
          <w:sz w:val="24"/>
          <w:szCs w:val="24"/>
          <w:lang w:val="ru-RU"/>
        </w:rPr>
        <w:t>поставки продукции</w:t>
      </w:r>
      <w:bookmarkEnd w:id="30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1"/>
        <w:gridCol w:w="2694"/>
        <w:gridCol w:w="2835"/>
        <w:gridCol w:w="3115"/>
      </w:tblGrid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35" w:name="_Toc46743510"/>
            <w:r>
              <w:rPr>
                <w:b/>
                <w:sz w:val="24"/>
                <w:szCs w:val="24"/>
              </w:rPr>
              <w:t>4</w:t>
            </w:r>
            <w:bookmarkEnd w:id="35"/>
          </w:p>
        </w:tc>
      </w:tr>
      <w:tr>
        <w:trPr>
          <w:trHeight w:val="879" w:hRule="atLeast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Прибор для снаряжения пулемётных лент патронами калибра 7,62 (машинка системы Ракова)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календарных дней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9"/>
        </w:numPr>
        <w:rPr/>
      </w:pPr>
      <w:bookmarkStart w:id="36" w:name="__RefHeading___Toc18555_1011690749"/>
      <w:bookmarkStart w:id="37" w:name="_Toc51339698"/>
      <w:bookmarkStart w:id="38" w:name="_Toc75446581"/>
      <w:bookmarkStart w:id="39" w:name="_Toc46743511"/>
      <w:bookmarkEnd w:id="36"/>
      <w:r>
        <w:rPr/>
        <w:t xml:space="preserve">Требования к </w:t>
      </w:r>
      <w:bookmarkEnd w:id="39"/>
      <w:r>
        <w:rPr>
          <w:lang w:val="ru-RU"/>
        </w:rPr>
        <w:t>качеству продукции</w:t>
      </w:r>
      <w:bookmarkEnd w:id="38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bookmarkStart w:id="40" w:name="__RefHeading___Toc18557_1011690749"/>
      <w:bookmarkEnd w:id="40"/>
      <w:r>
        <w:rPr>
          <w:sz w:val="24"/>
          <w:szCs w:val="24"/>
        </w:rPr>
        <w:t xml:space="preserve"> </w:t>
      </w:r>
      <w:bookmarkStart w:id="41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1"/>
      <w:r>
        <w:rPr>
          <w:sz w:val="24"/>
          <w:szCs w:val="24"/>
        </w:rPr>
        <w:t xml:space="preserve"> </w:t>
      </w:r>
      <w:bookmarkEnd w:id="37"/>
    </w:p>
    <w:p>
      <w:pPr>
        <w:pStyle w:val="Normal"/>
        <w:rPr>
          <w:rStyle w:val="Style8"/>
          <w:b w:val="false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продукции: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Прибор для снаряжения пулемётных лент патронами калибра 7,62 (машинка системы Ракова) (4 шт.)</w:t>
      </w:r>
    </w:p>
    <w:p>
      <w:pPr>
        <w:pStyle w:val="Normal"/>
        <w:rPr>
          <w:rStyle w:val="Style8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Style w:val="affff8"/>
        <w:tblW w:w="148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4678"/>
        <w:gridCol w:w="9355"/>
      </w:tblGrid>
      <w:tr>
        <w:trPr>
          <w:trHeight w:val="276" w:hRule="atLeast"/>
        </w:trPr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6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935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Требование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Покупателя</w:t>
            </w:r>
          </w:p>
        </w:tc>
      </w:tr>
      <w:tr>
        <w:trPr>
          <w:trHeight w:val="276" w:hRule="atLeast"/>
        </w:trPr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6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935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3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iCs/>
                <w:caps w:val="false"/>
                <w:smallCaps w:val="false"/>
                <w:color w:val="333333"/>
                <w:spacing w:val="0"/>
                <w:kern w:val="0"/>
                <w:sz w:val="24"/>
                <w:szCs w:val="24"/>
                <w:lang w:val="ru-RU" w:eastAsia="ru-RU" w:bidi="ar-SA"/>
              </w:rPr>
              <w:t>Для удобного и быстрого снаряжения пулемётных лент патронами калибра 7,62x54 мм.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iCs/>
                <w:caps w:val="false"/>
                <w:smallCaps w:val="false"/>
                <w:color w:val="333333"/>
                <w:spacing w:val="0"/>
                <w:kern w:val="0"/>
                <w:sz w:val="24"/>
                <w:szCs w:val="24"/>
                <w:lang w:val="ru-RU" w:eastAsia="ru-RU" w:bidi="ar-SA"/>
              </w:rPr>
              <w:t>Производительность: 35 патронов за 40 секунд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iCs/>
                <w:caps w:val="false"/>
                <w:smallCaps w:val="false"/>
                <w:color w:val="333333"/>
                <w:spacing w:val="0"/>
                <w:kern w:val="0"/>
                <w:sz w:val="24"/>
                <w:szCs w:val="24"/>
                <w:lang w:val="ru-RU" w:eastAsia="ru-RU" w:bidi="ar-SA"/>
              </w:rPr>
              <w:t>Материал — сталь марки Ст3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iCs/>
                <w:caps w:val="false"/>
                <w:smallCaps w:val="false"/>
                <w:color w:val="333333"/>
                <w:spacing w:val="0"/>
                <w:kern w:val="0"/>
                <w:sz w:val="24"/>
                <w:szCs w:val="24"/>
                <w:lang w:val="ru-RU" w:eastAsia="ru-RU" w:bidi="ar-SA"/>
              </w:rPr>
              <w:t>Тип ленты: рассыпная металлическая (звеньевая).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iCs/>
                <w:caps w:val="false"/>
                <w:smallCaps w:val="false"/>
                <w:color w:val="333333"/>
                <w:spacing w:val="0"/>
                <w:kern w:val="0"/>
                <w:sz w:val="24"/>
                <w:szCs w:val="24"/>
                <w:lang w:val="ru-RU" w:eastAsia="ru-RU" w:bidi="ar-SA"/>
              </w:rPr>
              <w:t>Вес 4,5 кг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iCs/>
                <w:caps w:val="false"/>
                <w:smallCaps w:val="false"/>
                <w:color w:val="333333"/>
                <w:spacing w:val="0"/>
                <w:kern w:val="0"/>
                <w:sz w:val="24"/>
                <w:szCs w:val="24"/>
                <w:lang w:val="ru-RU" w:eastAsia="ru-RU" w:bidi="ar-SA"/>
              </w:rPr>
              <w:t>Совместимость с ПКМ.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iCs/>
                <w:color w:val="333333"/>
                <w:kern w:val="0"/>
                <w:sz w:val="24"/>
                <w:szCs w:val="24"/>
                <w:lang w:val="ru-RU" w:eastAsia="ru-RU" w:bidi="ar-SA"/>
              </w:rPr>
              <w:t>Предназначена для работы в том числе с рассыпными металлическими (звеньевыми) лентами.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iCs/>
                <w:color w:val="333333"/>
                <w:kern w:val="0"/>
                <w:sz w:val="24"/>
                <w:szCs w:val="24"/>
                <w:lang w:val="ru-RU" w:eastAsia="ru-RU" w:bidi="ar-SA"/>
              </w:rPr>
              <w:t>Вместительный лоток — на 40 патронов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iCs/>
                <w:color w:val="333333"/>
                <w:kern w:val="0"/>
                <w:sz w:val="24"/>
                <w:szCs w:val="24"/>
                <w:lang w:val="ru-RU" w:eastAsia="ru-RU" w:bidi="ar-SA"/>
              </w:rPr>
              <w:t>В комплекте — ящик, запасная пружина и гаечный ключ.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iCs/>
                <w:color w:val="333333"/>
                <w:kern w:val="0"/>
                <w:sz w:val="24"/>
                <w:szCs w:val="24"/>
                <w:lang w:val="ru-RU" w:eastAsia="ru-RU" w:bidi="ar-SA"/>
              </w:rPr>
              <w:t>Складные ножки.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Климатическое исполнение поставляемого оборудования</w:t>
            </w:r>
          </w:p>
        </w:tc>
        <w:tc>
          <w:tcPr>
            <w:tcW w:w="9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Рабочая температура: от - 30С </w:t>
            </w:r>
            <w:r>
              <w:rPr>
                <w:rFonts w:eastAsia="Times New Roman" w:cs="Times New Roman"/>
                <w:iCs/>
                <w:spacing w:val="-20"/>
                <w:kern w:val="0"/>
                <w:sz w:val="24"/>
                <w:szCs w:val="24"/>
                <w:lang w:val="ru-RU" w:eastAsia="ru-RU" w:bidi="ar-SA"/>
              </w:rPr>
              <w:t>до  + 50 С.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9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доставлена Поставщиком по адресу: Самарская область, г. Жигулевск, Московское шоссе, 2, филиал ПАО «РусГидро» - «Жигулевская ГЭС».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Оборудование должно пройти все, предусмотренные законодательством Российской Федерации (и применимым законодательством других государств), процедуры таможенной очистки.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Условия транспортировки</w:t>
            </w:r>
          </w:p>
        </w:tc>
        <w:tc>
          <w:tcPr>
            <w:tcW w:w="9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pacing w:val="-14"/>
                <w:kern w:val="0"/>
                <w:sz w:val="24"/>
                <w:szCs w:val="24"/>
                <w:lang w:val="ru-RU" w:eastAsia="ru-RU" w:bidi="ar-SA"/>
              </w:rPr>
              <w:t xml:space="preserve">Транспортировка Товара должна выполняться в соответствии с требованиями производителей оборудования.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Погрузка,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доставка осуществляется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/организовывается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Подрядчиком.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Стоимость погрузки, доставки оборудования должна быть включена в стоимость оборудования.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упаковке</w:t>
            </w:r>
          </w:p>
        </w:tc>
        <w:tc>
          <w:tcPr>
            <w:tcW w:w="9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Упаковка должна исключать возможность механических повреждений и воздействий климатических факторов внешней среды на оборудование.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приемке</w:t>
            </w:r>
          </w:p>
        </w:tc>
        <w:tc>
          <w:tcPr>
            <w:tcW w:w="9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Приемка оборудования осуществляется на склад Заказчика при подписании товарной накладной ТОРГ-12 (УПД).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93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Гарантийный срок службы закупаемого оборудования не менее 12 (двенадцати) месяцев с даты подписания ТОРГ-12 (УПД).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В течение гарантийного срока оборудование должно надежно и правильно функционировать без осуществления дополнительных затрат или работ со стороны Заказчика.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На протяжении всего гарантийного срока подрядчик обязан обеспечить за счет собственных средств и сил восстановление вышедшего из строя оборудования (в случае, если причина дефекта не связана с неправильной эксплуатацией).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Гарантийный срок увеличивается на время простоя оборудования, необходимое на устранение гарантийного дефекта.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оборудованием</w:t>
            </w:r>
          </w:p>
        </w:tc>
        <w:tc>
          <w:tcPr>
            <w:tcW w:w="93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 в случае наличия: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технические паспорта, руководства по эксплуатации, ремонту, описание, сертификаты соответствия, (предоставляются Покупателю вместе с поставляемой продукцией</w:t>
            </w:r>
            <w:r>
              <w:rPr>
                <w:rFonts w:eastAsia="Times New Roman" w:cs="Times New Roman"/>
                <w:iCs/>
                <w:color w:val="FF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на бумажном носителе на русском языке)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Комплектация оборудования</w:t>
            </w:r>
          </w:p>
        </w:tc>
        <w:tc>
          <w:tcPr>
            <w:tcW w:w="93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Прибор для снаряжения пулемётных лент патронами калибра 7,62 (машинка системы Ракова) -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Комплектация оборудования должна соответствовать техническому паспорту, (руководству по эксплуатации) на товар.</w:t>
            </w:r>
          </w:p>
        </w:tc>
      </w:tr>
    </w:tbl>
    <w:p>
      <w:pPr>
        <w:pStyle w:val="Heading1"/>
        <w:numPr>
          <w:ilvl w:val="0"/>
          <w:numId w:val="9"/>
        </w:numPr>
        <w:ind w:left="357" w:hanging="0"/>
        <w:jc w:val="center"/>
        <w:rPr>
          <w:sz w:val="24"/>
          <w:szCs w:val="24"/>
          <w:lang w:val="ru-RU"/>
        </w:rPr>
      </w:pPr>
      <w:bookmarkStart w:id="42" w:name="__RefHeading___Toc172817189"/>
      <w:bookmarkEnd w:id="42"/>
      <w:r>
        <w:rPr>
          <w:sz w:val="24"/>
          <w:szCs w:val="24"/>
          <w:lang w:val="ru-RU"/>
        </w:rPr>
        <w:t>Требования к документации по ценообразованию</w:t>
      </w:r>
    </w:p>
    <w:p>
      <w:pPr>
        <w:pStyle w:val="Normal"/>
        <w:spacing w:before="0" w:after="120"/>
        <w:jc w:val="both"/>
        <w:rPr/>
      </w:pPr>
      <w:r>
        <w:rPr>
          <w:rFonts w:eastAsia="Calibri"/>
          <w:bCs/>
          <w:sz w:val="24"/>
          <w:szCs w:val="24"/>
          <w:lang w:eastAsia="x-none"/>
        </w:rPr>
        <w:t>3.1. Вместе с Коммерческим предложением</w:t>
      </w:r>
      <w:r>
        <w:rPr>
          <w:rFonts w:eastAsia="Calibri"/>
          <w:bCs/>
          <w:sz w:val="24"/>
          <w:szCs w:val="24"/>
          <w:shd w:fill="auto" w:val="clear"/>
          <w:lang w:eastAsia="x-none"/>
        </w:rPr>
        <w:t xml:space="preserve"> Поставщик долже</w:t>
      </w:r>
      <w:r>
        <w:rPr>
          <w:rFonts w:eastAsia="Calibri"/>
          <w:bCs/>
          <w:sz w:val="24"/>
          <w:szCs w:val="24"/>
          <w:lang w:eastAsia="x-none"/>
        </w:rPr>
        <w:t>н предоставить в составе заявки</w:t>
      </w:r>
      <w:r>
        <w:rPr>
          <w:rFonts w:eastAsia="Calibri"/>
          <w:bCs/>
          <w:sz w:val="24"/>
          <w:szCs w:val="24"/>
        </w:rPr>
        <w:t xml:space="preserve"> спецификацию поставляемого оборудования по форме, приведенной в Приложении № 1 к настоящим ТТ.</w:t>
      </w:r>
    </w:p>
    <w:p>
      <w:pPr>
        <w:pStyle w:val="Heading1"/>
        <w:numPr>
          <w:ilvl w:val="0"/>
          <w:numId w:val="9"/>
        </w:numPr>
        <w:ind w:left="357" w:hanging="357"/>
        <w:jc w:val="center"/>
        <w:rPr/>
      </w:pPr>
      <w:bookmarkStart w:id="43" w:name="__RefHeading___Toc18559_1011690749"/>
      <w:bookmarkEnd w:id="43"/>
      <w:r>
        <w:rPr>
          <w:sz w:val="24"/>
          <w:szCs w:val="24"/>
          <w:lang w:val="ru-RU"/>
        </w:rPr>
        <w:t>Приложения</w:t>
      </w:r>
    </w:p>
    <w:p>
      <w:pPr>
        <w:pStyle w:val="Normal"/>
        <w:rPr>
          <w:lang w:eastAsia="x-none"/>
        </w:rPr>
      </w:pPr>
      <w:r>
        <w:rPr>
          <w:bCs/>
          <w:iCs/>
          <w:sz w:val="24"/>
          <w:szCs w:val="24"/>
        </w:rPr>
        <w:t xml:space="preserve">Приложение: </w:t>
      </w:r>
      <w:bookmarkStart w:id="44" w:name="_Hlk87532473"/>
      <w:r>
        <w:rPr>
          <w:bCs/>
          <w:iCs/>
          <w:sz w:val="24"/>
          <w:szCs w:val="24"/>
        </w:rPr>
        <w:t>Форма спецификации к поставляемому оборудованию</w:t>
      </w:r>
      <w:bookmarkEnd w:id="44"/>
      <w:r>
        <w:rPr>
          <w:bCs/>
          <w:iCs/>
          <w:sz w:val="24"/>
          <w:szCs w:val="24"/>
        </w:rPr>
        <w:t>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  <w:r>
        <w:br w:type="page"/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Приложение к Техническим требованиям</w:t>
      </w:r>
    </w:p>
    <w:p>
      <w:pPr>
        <w:pStyle w:val="Normal"/>
        <w:spacing w:before="240" w:after="120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</w:r>
    </w:p>
    <w:p>
      <w:pPr>
        <w:pStyle w:val="Normal"/>
        <w:keepNext w:val="true"/>
        <w:keepLines/>
        <w:spacing w:before="0" w:after="120"/>
        <w:jc w:val="center"/>
        <w:rPr>
          <w:sz w:val="24"/>
          <w:szCs w:val="24"/>
        </w:rPr>
      </w:pPr>
      <w:bookmarkStart w:id="45" w:name="_Hlk48224758"/>
      <w:bookmarkStart w:id="46" w:name="_Ref40301253"/>
      <w:r>
        <w:rPr>
          <w:b/>
          <w:bCs/>
          <w:caps/>
          <w:sz w:val="24"/>
          <w:szCs w:val="24"/>
        </w:rPr>
        <w:t>Форма спецификации к поставляемому оборудованию</w:t>
      </w:r>
      <w:bookmarkEnd w:id="45"/>
      <w:bookmarkEnd w:id="46"/>
    </w:p>
    <w:p>
      <w:pPr>
        <w:pStyle w:val="Normal"/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Поставщик должен предоставить технико-коммерческое предложение, которое включает соответствующую форму:</w:t>
      </w:r>
    </w:p>
    <w:p>
      <w:pPr>
        <w:pStyle w:val="Normal"/>
        <w:jc w:val="both"/>
        <w:rPr>
          <w:sz w:val="10"/>
        </w:rPr>
      </w:pPr>
      <w:r>
        <w:rPr>
          <w:sz w:val="10"/>
        </w:rPr>
      </w:r>
    </w:p>
    <w:p>
      <w:pPr>
        <w:pStyle w:val="Normal"/>
        <w:spacing w:before="0" w:after="24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tbl>
      <w:tblPr>
        <w:tblW w:w="495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91"/>
        <w:gridCol w:w="1484"/>
        <w:gridCol w:w="989"/>
        <w:gridCol w:w="667"/>
        <w:gridCol w:w="729"/>
        <w:gridCol w:w="702"/>
        <w:gridCol w:w="1416"/>
        <w:gridCol w:w="824"/>
        <w:gridCol w:w="699"/>
        <w:gridCol w:w="570"/>
        <w:gridCol w:w="1268"/>
        <w:gridCol w:w="1190"/>
        <w:gridCol w:w="1188"/>
        <w:gridCol w:w="1334"/>
        <w:gridCol w:w="1475"/>
      </w:tblGrid>
      <w:tr>
        <w:trPr>
          <w:trHeight w:val="496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№ </w:t>
            </w:r>
            <w:r>
              <w:rPr>
                <w:bCs/>
                <w:sz w:val="20"/>
                <w:szCs w:val="20"/>
              </w:rPr>
              <w:t>поз.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Артикул, тип, марка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Завод изготовитель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Страна происхождения Товара</w:t>
            </w:r>
            <w:r>
              <w:rPr>
                <w:rStyle w:val="FootnoteReference"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регистрации производителя Товара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Код ОКПД 2 (с наименованием)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Порядковый номер(а) реестровой(ых) записи(ей)</w:t>
            </w:r>
            <w:r>
              <w:rPr>
                <w:rStyle w:val="FootnoteReference"/>
                <w:bCs/>
                <w:sz w:val="20"/>
                <w:szCs w:val="20"/>
                <w:vertAlign w:val="superscript"/>
              </w:rPr>
              <w:footnoteReference w:id="3"/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Цена за единицу, руб. без НДС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Цена, руб. без НДС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(22 %) руб.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Стоимость, руб., с НДС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508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8" w:hRule="atLeast"/>
        </w:trPr>
        <w:tc>
          <w:tcPr>
            <w:tcW w:w="99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стоимость всего Товара (с учетом доставки):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bookmarkStart w:id="47" w:name="_GoBack"/>
            <w:bookmarkStart w:id="48" w:name="_GoBack"/>
            <w:bookmarkEnd w:id="48"/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Примечание</w:t>
      </w:r>
      <w:r>
        <w:rPr>
          <w:sz w:val="22"/>
          <w:szCs w:val="22"/>
        </w:rPr>
        <w:t>: в случае закупки оборудования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>В случае включения в спецификацию стоимости за единицу оборудования, МТР с учетом доставки, указать данное условие</w:t>
      </w:r>
    </w:p>
    <w:sectPr>
      <w:headerReference w:type="default" r:id="rId5"/>
      <w:headerReference w:type="first" r:id="rId6"/>
      <w:footnotePr>
        <w:numFmt w:val="decimal"/>
      </w:footnotePr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 xml:space="preserve">В соответствии с Общероссийским классификатором стран мира (утв. постановлением Госстандарта России </w:t>
        <w:br/>
        <w:t>от 14.12.2001 № 529-ст).</w:t>
      </w:r>
    </w:p>
  </w:footnote>
  <w:footnote w:id="3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/>
        <w:t xml:space="preserve"> </w:t>
      </w:r>
      <w:r>
        <w:rPr>
          <w:bCs/>
        </w:rPr>
        <w:t>Порядковый номер (номера) реестровой записи (реестровых записей), под которой (которыми) Товар  включен в реестры, предусмотренные пунктом 3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либо иным нормативно-правовым актом, устанавливающим защитные меры в соответствии с законодательством о Национальном режиме</w:t>
      </w:r>
      <w:r>
        <w:rPr>
          <w:rFonts w:eastAsia="Calibri"/>
          <w:lang w:eastAsia="en-US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3426500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33739089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4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b w:val="false"/>
        <w:lang w:val="ru-RU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9"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ind w:left="0" w:firstLine="45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A11yhidden" w:customStyle="1">
    <w:name w:val="a11yhidden"/>
    <w:basedOn w:val="DefaultParagraphFont"/>
    <w:qFormat/>
    <w:rsid w:val="00f32fda"/>
    <w:rPr/>
  </w:style>
  <w:style w:type="character" w:styleId="Organictitlecontentspan" w:customStyle="1">
    <w:name w:val="organictitlecontentspan"/>
    <w:basedOn w:val="DefaultParagraphFont"/>
    <w:qFormat/>
    <w:rsid w:val="00f32fda"/>
    <w:rPr/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rong2" w:customStyle="1">
    <w:name w:val="Strong2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10f8c"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Headertext" w:customStyle="1">
    <w:name w:val="headertext"/>
    <w:basedOn w:val="Normal"/>
    <w:qFormat/>
    <w:rsid w:val="002a79f6"/>
    <w:pPr>
      <w:spacing w:beforeAutospacing="1" w:afterAutospacing="1"/>
    </w:pPr>
    <w:rPr>
      <w:sz w:val="24"/>
      <w:szCs w:val="24"/>
    </w:rPr>
  </w:style>
  <w:style w:type="paragraph" w:styleId="110" w:customStyle="1">
    <w:name w:val="Верхний колонтитул1"/>
    <w:basedOn w:val="Normal"/>
    <w:qFormat/>
    <w:rsid w:val="0090730b"/>
    <w:pPr>
      <w:spacing w:beforeAutospacing="1" w:afterAutospacing="1"/>
    </w:pPr>
    <w:rPr>
      <w:sz w:val="24"/>
      <w:szCs w:val="24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10D28-A41F-450B-9F71-530F8F483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Application>AlterOffice/2025.3.0.0$Linux_X86_64 LibreOffice_project/4ba31b6a4271509a884f95065d0a726e9cb2bdbb</Application>
  <AppVersion>15.0000</AppVersion>
  <Pages>7</Pages>
  <Words>1015</Words>
  <Characters>7044</Characters>
  <CharactersWithSpaces>7885</CharactersWithSpaces>
  <Paragraphs>177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2025-10-09T14:26:00Z</dcterms:created>
  <dc:creator>Быстров Олег Геннадьевич</dc:creator>
  <dc:description/>
  <dc:language>ru-RU</dc:language>
  <cp:lastModifiedBy>brusnikinann@corp.gidroogk.com</cp:lastModifiedBy>
  <cp:lastPrinted>2006-07-26T14:04:00Z</cp:lastPrinted>
  <dcterms:modified xsi:type="dcterms:W3CDTF">2026-07-29T10:29:44Z</dcterms:modified>
  <cp:revision>95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