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</w:r>
      <w:r>
        <w:rPr>
          <w:rFonts w:eastAsia="Calibri"/>
          <w:b/>
          <w:sz w:val="28"/>
        </w:rPr>
      </w:r>
      <w:r>
        <w:rPr>
          <w:rFonts w:eastAsia="Calibri"/>
          <w:b/>
          <w:sz w:val="28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</w:r>
      <w:r>
        <w:rPr>
          <w:rFonts w:eastAsia="Calibri"/>
          <w:b/>
          <w:sz w:val="28"/>
        </w:rPr>
      </w:r>
      <w:r>
        <w:rPr>
          <w:rFonts w:eastAsia="Calibri"/>
          <w:b/>
          <w:sz w:val="28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spacing w:before="120" w:after="120"/>
        <w:rPr>
          <w:rFonts w:eastAsia="Calibri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оказание услуг</w:t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spacing w:before="120" w:after="120"/>
      </w:pPr>
      <w:r/>
      <w:r/>
    </w:p>
    <w:p>
      <w:pPr>
        <w:jc w:val="center"/>
        <w:spacing w:before="120" w:after="120"/>
      </w:pPr>
      <w:r/>
      <w:r/>
    </w:p>
    <w:p>
      <w:pPr>
        <w:jc w:val="center"/>
        <w:spacing w:before="120" w:after="120"/>
        <w:rPr>
          <w:rFonts w:eastAsia="Calibri"/>
          <w:b/>
          <w:bCs/>
          <w:sz w:val="26"/>
          <w:szCs w:val="26"/>
          <w:lang w:eastAsia="en-US"/>
          <w14:ligatures w14:val="none"/>
        </w:rPr>
      </w:pPr>
      <w:r>
        <w:rPr>
          <w:b/>
        </w:rPr>
        <w:t xml:space="preserve">«</w:t>
      </w:r>
      <w:r>
        <w:rPr>
          <w:rFonts w:eastAsia="Calibri"/>
          <w:b/>
          <w:sz w:val="26"/>
          <w:szCs w:val="26"/>
          <w:lang w:eastAsia="en-US"/>
        </w:rPr>
        <w:t xml:space="preserve">ОКПД2 62.02.30.000 Информационные услуги с предоставлением информационно-правовы</w:t>
      </w:r>
      <w:r>
        <w:rPr>
          <w:rFonts w:eastAsia="Calibri"/>
          <w:b/>
          <w:bCs/>
          <w:sz w:val="26"/>
          <w:szCs w:val="26"/>
          <w:lang w:eastAsia="en-US"/>
        </w:rPr>
        <w:t xml:space="preserve">х систем для нужд  АО «ВНИИГ им. Б.Е. Веденеева</w:t>
      </w:r>
      <w:r>
        <w:rPr>
          <w:rFonts w:eastAsia="Calibri"/>
          <w:b/>
          <w:bCs/>
          <w:sz w:val="26"/>
          <w:szCs w:val="26"/>
          <w:lang w:eastAsia="en-US"/>
        </w:rPr>
        <w:t xml:space="preserve">»</w:t>
      </w:r>
      <w:r>
        <w:rPr>
          <w:rFonts w:eastAsia="Calibri"/>
          <w:b/>
          <w:bCs/>
          <w:sz w:val="26"/>
          <w:szCs w:val="26"/>
          <w:lang w:eastAsia="en-US"/>
          <w14:ligatures w14:val="none"/>
        </w:rPr>
      </w:r>
      <w:r>
        <w:rPr>
          <w:rFonts w:eastAsia="Calibri"/>
          <w:b/>
          <w:bCs/>
          <w:sz w:val="26"/>
          <w:szCs w:val="26"/>
          <w:lang w:eastAsia="en-US"/>
          <w14:ligatures w14:val="none"/>
        </w:rPr>
      </w:r>
    </w:p>
    <w:p>
      <w:pPr>
        <w:jc w:val="center"/>
        <w:spacing w:before="120" w:after="120"/>
        <w:rPr>
          <w:rFonts w:eastAsia="Calibri"/>
          <w:b/>
          <w:bCs/>
          <w:sz w:val="26"/>
          <w:szCs w:val="26"/>
          <w:lang w:eastAsia="en-US"/>
          <w14:ligatures w14:val="none"/>
        </w:rPr>
      </w:pPr>
      <w:r>
        <w:rPr>
          <w:rFonts w:eastAsia="Calibri"/>
          <w:b/>
          <w:bCs/>
          <w:sz w:val="26"/>
          <w:szCs w:val="26"/>
          <w:lang w:eastAsia="en-US"/>
        </w:rPr>
      </w:r>
      <w:r>
        <w:rPr>
          <w:rFonts w:eastAsia="Calibri"/>
          <w:b/>
          <w:bCs/>
          <w:sz w:val="26"/>
          <w:szCs w:val="26"/>
          <w:lang w:eastAsia="en-US"/>
        </w:rPr>
        <w:t xml:space="preserve">ЛО</w:t>
      </w:r>
      <w:r>
        <w:rPr>
          <w:rFonts w:eastAsia="Calibri"/>
          <w:b/>
          <w:bCs/>
          <w:sz w:val="26"/>
          <w:szCs w:val="26"/>
          <w:lang w:eastAsia="en-US"/>
        </w:rPr>
        <w:t xml:space="preserve">Т</w:t>
      </w:r>
      <w:r>
        <w:rPr>
          <w:rFonts w:eastAsia="Calibri"/>
          <w:b/>
          <w:bCs/>
          <w:sz w:val="26"/>
          <w:szCs w:val="26"/>
          <w:lang w:eastAsia="en-US"/>
        </w:rPr>
        <w:t xml:space="preserve"> № </w:t>
      </w:r>
      <w:r>
        <w:rPr>
          <w:rFonts w:eastAsia="Calibri"/>
          <w:b/>
          <w:bCs/>
          <w:sz w:val="26"/>
          <w:szCs w:val="26"/>
          <w:lang w:eastAsia="en-US"/>
        </w:rPr>
        <w:t xml:space="preserve">_________________</w:t>
      </w:r>
      <w:r>
        <w:rPr>
          <w:rFonts w:eastAsia="Calibri"/>
          <w:b/>
          <w:bCs/>
          <w:sz w:val="26"/>
          <w:szCs w:val="26"/>
          <w:lang w:eastAsia="en-US"/>
          <w14:ligatures w14:val="none"/>
        </w:rPr>
      </w:r>
      <w:r>
        <w:rPr>
          <w:rFonts w:eastAsia="Calibri"/>
          <w:b/>
          <w:bCs/>
          <w:sz w:val="26"/>
          <w:szCs w:val="26"/>
          <w:lang w:eastAsia="en-US"/>
          <w14:ligatures w14:val="none"/>
        </w:rPr>
      </w:r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r>
        <w:rPr>
          <w:b/>
        </w:rPr>
        <w:br w:type="page" w:clear="all"/>
      </w:r>
      <w:r/>
    </w:p>
    <w:p>
      <w:pPr>
        <w:jc w:val="center"/>
      </w:pPr>
      <w:r>
        <w:rPr>
          <w:b/>
        </w:rPr>
        <w:t xml:space="preserve">СОДЕРЖАНИЕ</w:t>
      </w:r>
      <w:r/>
    </w:p>
    <w:p>
      <w:pPr>
        <w:rPr>
          <w:highlight w:val="white"/>
        </w:rPr>
      </w:pPr>
      <w:r>
        <w:rPr>
          <w:rFonts w:cstheme="majorHAnsi"/>
          <w:i/>
          <w:highlight w:val="yellow"/>
        </w:rPr>
        <w:fldChar w:fldCharType="begin"/>
      </w:r>
      <w:r>
        <w:rPr>
          <w:rFonts w:cstheme="majorHAnsi"/>
          <w:i/>
          <w:highlight w:val="yellow"/>
        </w:rPr>
        <w:instrText xml:space="preserve"> TOC \o "1-4" \h \z \u </w:instrText>
      </w:r>
      <w:r>
        <w:rPr>
          <w:b/>
          <w:highlight w:val="white"/>
        </w:rPr>
        <w:fldChar w:fldCharType="separate"/>
      </w:r>
      <w:r>
        <w:rPr>
          <w:b/>
          <w:highlight w:val="white"/>
        </w:rPr>
        <w:t xml:space="preserve">1. </w:t>
      </w:r>
      <w:r>
        <w:rPr>
          <w:b/>
          <w:sz w:val="28"/>
          <w:highlight w:val="white"/>
        </w:rPr>
        <w:t xml:space="preserve">Общие сведения</w:t>
      </w:r>
      <w:r>
        <w:rPr>
          <w:b/>
          <w:highlight w:val="white"/>
        </w:rPr>
        <w:t xml:space="preserve">..................................................................................................................</w:t>
      </w:r>
      <w:r>
        <w:rPr>
          <w:b/>
          <w:sz w:val="28"/>
          <w:highlight w:val="white"/>
        </w:rPr>
        <w:t xml:space="preserve">3</w:t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  <w:t xml:space="preserve">1.1 Наименование закупаемой продукции....................................................</w:t>
      </w:r>
      <w:r>
        <w:rPr>
          <w:highlight w:val="white"/>
        </w:rPr>
        <w:t xml:space="preserve">..............................3</w:t>
      </w:r>
      <w:r>
        <w:rPr>
          <w:highlight w:val="white"/>
        </w:rPr>
      </w:r>
      <w:r>
        <w:rPr>
          <w:highlight w:val="white"/>
        </w:rPr>
      </w:r>
    </w:p>
    <w:p>
      <w:pPr>
        <w:rPr>
          <w:b/>
          <w:highlight w:val="white"/>
        </w:rPr>
      </w:pPr>
      <w:r>
        <w:rPr>
          <w:highlight w:val="white"/>
        </w:rPr>
        <w:t xml:space="preserve">1.2 Цель использования закупаемой продукции........................................................................3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rPr>
          <w:b/>
          <w:highlight w:val="white"/>
        </w:rPr>
      </w:pPr>
      <w:r>
        <w:rPr>
          <w:b/>
          <w:highlight w:val="white"/>
        </w:rPr>
        <w:t xml:space="preserve">Таблица 1. Перечень объектов заказчика.....................................................................</w:t>
      </w:r>
      <w:r>
        <w:rPr>
          <w:b/>
          <w:highlight w:val="white"/>
        </w:rPr>
        <w:t xml:space="preserve">..........3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  <w:t xml:space="preserve">1.3 Иные требования и сведения общего характера...................................................................3</w:t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b/>
          <w:iCs/>
          <w:sz w:val="28"/>
          <w:highlight w:val="white"/>
        </w:rPr>
        <w:t xml:space="preserve">2. Требования к продукции</w:t>
      </w:r>
      <w:r>
        <w:rPr>
          <w:b/>
          <w:highlight w:val="white"/>
        </w:rPr>
        <w:t xml:space="preserve">...............................................................................................4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rPr>
          <w:highlight w:val="white"/>
        </w:rPr>
      </w:pPr>
      <w:r>
        <w:rPr>
          <w:highlight w:val="white"/>
        </w:rPr>
        <w:t xml:space="preserve">2.1 Тр</w:t>
      </w:r>
      <w:r>
        <w:rPr>
          <w:highlight w:val="white"/>
        </w:rPr>
        <w:t xml:space="preserve">ебования к объемам и срокам оказания услуг..................................................................4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rPr>
          <w:highlight w:val="white"/>
        </w:rPr>
      </w:pPr>
      <w:r>
        <w:rPr>
          <w:highlight w:val="white"/>
        </w:rPr>
        <w:t xml:space="preserve">2.1.1 Требования к перечню и объему услуг...............................................................................4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spacing w:after="120"/>
        <w:rPr>
          <w:b/>
          <w:highlight w:val="white"/>
        </w:rPr>
      </w:pPr>
      <w:r>
        <w:rPr>
          <w:b/>
          <w:highlight w:val="white"/>
        </w:rPr>
        <w:t xml:space="preserve">Таблица 2. Перечень и об</w:t>
      </w:r>
      <w:r>
        <w:rPr>
          <w:b/>
          <w:highlight w:val="white"/>
        </w:rPr>
        <w:t xml:space="preserve">ъем оказываемых услуг................................................................4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contextualSpacing/>
        <w:rPr>
          <w:highlight w:val="white"/>
        </w:rPr>
      </w:pPr>
      <w:r>
        <w:rPr>
          <w:highlight w:val="white"/>
        </w:rPr>
        <w:t xml:space="preserve">2.1.2 Требования к срокам оказания услуг .................................................................................4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spacing w:after="120"/>
        <w:rPr>
          <w:b/>
          <w:highlight w:val="white"/>
        </w:rPr>
      </w:pPr>
      <w:r>
        <w:rPr>
          <w:b/>
          <w:highlight w:val="white"/>
        </w:rPr>
        <w:t xml:space="preserve">Таблица 3. Требования к срокам оказания услуг</w:t>
      </w:r>
      <w:r>
        <w:rPr>
          <w:b/>
          <w:highlight w:val="white"/>
        </w:rPr>
        <w:t xml:space="preserve">.................................................................4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contextualSpacing/>
        <w:rPr>
          <w:highlight w:val="white"/>
        </w:rPr>
      </w:pPr>
      <w:r>
        <w:rPr>
          <w:highlight w:val="white"/>
        </w:rPr>
        <w:t xml:space="preserve">2.2 Требования к качеству услуг..................................................................................................5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spacing w:after="120"/>
        <w:rPr>
          <w:highlight w:val="none"/>
        </w:rPr>
      </w:pPr>
      <w:r>
        <w:rPr>
          <w:b/>
          <w:highlight w:val="white"/>
        </w:rPr>
        <w:t xml:space="preserve">Таблица 4. Требования к качеству услуг ...............................................................................5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rPr>
          <w:highlight w:val="white"/>
        </w:rPr>
      </w:pPr>
      <w:r>
        <w:rPr>
          <w:highlight w:val="white"/>
        </w:rPr>
        <w:t xml:space="preserve">2.2.1.</w:t>
      </w:r>
      <w:r>
        <w:rPr>
          <w:highlight w:val="white"/>
        </w:rPr>
        <w:t xml:space="preserve">В составе заявки необходимо предоставит</w:t>
      </w:r>
      <w:r>
        <w:rPr>
          <w:highlight w:val="white"/>
        </w:rPr>
        <w:t xml:space="preserve">ь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</w:t>
      </w:r>
      <w:r>
        <w:rPr>
          <w:highlight w:val="white"/>
        </w:rPr>
        <w:t xml:space="preserve">...............</w:t>
      </w:r>
      <w:r>
        <w:rPr>
          <w:highlight w:val="white"/>
        </w:rPr>
        <w:t xml:space="preserve">1</w:t>
      </w:r>
      <w:r>
        <w:rPr>
          <w:highlight w:val="white"/>
        </w:rPr>
        <w:t xml:space="preserve">5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rPr>
          <w:highlight w:val="white"/>
        </w:rPr>
      </w:pPr>
      <w:r>
        <w:rPr>
          <w:b/>
          <w:bCs/>
          <w:iCs/>
          <w:sz w:val="28"/>
          <w:highlight w:val="white"/>
        </w:rPr>
        <w:t xml:space="preserve">3. Требования к документации по ценообразованию </w:t>
      </w:r>
      <w:r>
        <w:rPr>
          <w:b/>
          <w:sz w:val="28"/>
          <w:highlight w:val="white"/>
        </w:rPr>
        <w:t xml:space="preserve"> на этапе закуп</w:t>
      </w:r>
      <w:r>
        <w:rPr>
          <w:b/>
          <w:sz w:val="28"/>
          <w:highlight w:val="white"/>
        </w:rPr>
        <w:t xml:space="preserve">ки</w:t>
      </w:r>
      <w:r>
        <w:rPr>
          <w:b/>
          <w:sz w:val="28"/>
          <w:highlight w:val="white"/>
        </w:rPr>
        <w:t xml:space="preserve">.</w:t>
      </w:r>
      <w:r>
        <w:rPr>
          <w:b/>
          <w:sz w:val="28"/>
          <w:highlight w:val="white"/>
        </w:rPr>
        <w:t xml:space="preserve">.16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rPr>
          <w:highlight w:val="white"/>
        </w:rPr>
      </w:pPr>
      <w:r>
        <w:rPr>
          <w:b/>
          <w:sz w:val="28"/>
          <w:highlight w:val="white"/>
        </w:rPr>
        <w:t xml:space="preserve">4. Требования к документации по ценообразованию на этапе заключения (исполнения) договора.......................................................................................</w:t>
      </w:r>
      <w:r>
        <w:rPr>
          <w:b/>
          <w:sz w:val="28"/>
          <w:highlight w:val="white"/>
        </w:rPr>
        <w:t xml:space="preserve">.16</w:t>
      </w:r>
      <w:r>
        <w:rPr>
          <w:b/>
          <w:sz w:val="28"/>
          <w:highlight w:val="white"/>
        </w:rPr>
        <w:t xml:space="preserve"> Приложения..................................................................</w:t>
      </w:r>
      <w:r>
        <w:rPr>
          <w:b/>
          <w:sz w:val="28"/>
          <w:highlight w:val="white"/>
        </w:rPr>
        <w:t xml:space="preserve">.......................................</w:t>
      </w:r>
      <w:r>
        <w:rPr>
          <w:b/>
          <w:sz w:val="28"/>
          <w:highlight w:val="white"/>
        </w:rPr>
        <w:t xml:space="preserve">.1</w:t>
      </w:r>
      <w:r>
        <w:rPr>
          <w:b/>
          <w:sz w:val="28"/>
          <w:highlight w:val="white"/>
        </w:rPr>
        <w:t xml:space="preserve">6</w:t>
      </w:r>
      <w:r>
        <w:rPr>
          <w:highlight w:val="white"/>
        </w:rPr>
      </w:r>
      <w:r>
        <w:rPr>
          <w:highlight w:val="white"/>
        </w:rPr>
      </w:r>
    </w:p>
    <w:p>
      <w:pPr>
        <w:ind w:left="567"/>
        <w:jc w:val="center"/>
        <w:spacing w:after="120"/>
        <w:outlineLvl w:val="0"/>
      </w:pPr>
      <w:r>
        <w:rPr>
          <w:rFonts w:cstheme="majorHAnsi"/>
          <w:i/>
          <w:highlight w:val="yellow"/>
        </w:rPr>
        <w:fldChar w:fldCharType="end"/>
      </w:r>
      <w:r/>
    </w:p>
    <w:p>
      <w:pPr>
        <w:ind w:left="567"/>
        <w:jc w:val="center"/>
        <w:spacing w:after="120"/>
        <w:outlineLvl w:val="0"/>
      </w:pPr>
      <w:r/>
      <w:r/>
    </w:p>
    <w:p>
      <w:pPr>
        <w:outlineLvl w:val="0"/>
      </w:pPr>
      <w:r>
        <w:rPr>
          <w:i/>
        </w:rPr>
        <w:br w:type="page" w:clear="all"/>
      </w:r>
      <w:r/>
    </w:p>
    <w:p>
      <w:pPr>
        <w:pStyle w:val="1100"/>
        <w:numPr>
          <w:ilvl w:val="0"/>
          <w:numId w:val="2"/>
        </w:numPr>
        <w:contextualSpacing w:val="0"/>
        <w:ind w:left="567" w:hanging="567"/>
        <w:jc w:val="center"/>
        <w:spacing w:after="120"/>
        <w:outlineLvl w:val="0"/>
      </w:pPr>
      <w:r>
        <w:rPr>
          <w:b/>
          <w:sz w:val="28"/>
        </w:rPr>
        <w:t xml:space="preserve">Общие сведения</w:t>
      </w:r>
      <w:r/>
    </w:p>
    <w:p>
      <w:pPr>
        <w:pStyle w:val="1100"/>
        <w:numPr>
          <w:ilvl w:val="1"/>
          <w:numId w:val="2"/>
        </w:numPr>
        <w:contextualSpacing w:val="0"/>
        <w:ind w:left="567" w:hanging="567"/>
        <w:spacing w:after="120"/>
        <w:outlineLvl w:val="0"/>
      </w:pPr>
      <w:r>
        <w:rPr>
          <w:b/>
        </w:rPr>
        <w:t xml:space="preserve">Наименование закупаемой продукции</w:t>
      </w:r>
      <w:r/>
    </w:p>
    <w:p>
      <w:pPr>
        <w:ind w:firstLine="567"/>
        <w:jc w:val="both"/>
        <w:spacing w:after="120"/>
      </w:pPr>
      <w:r>
        <w:rPr>
          <w:rFonts w:eastAsiaTheme="minorHAnsi" w:cstheme="minorBidi"/>
          <w:lang w:eastAsia="en-US"/>
        </w:rPr>
        <w:t xml:space="preserve">ОКПД2 62.02.30.000 Информационные услуги с предоставлением информационно-правовых систем для нужд  АО "ВНИИГ им. Б.Е. Веденеева"</w:t>
      </w:r>
      <w:r>
        <w:t xml:space="preserve">.</w:t>
      </w:r>
      <w:r/>
    </w:p>
    <w:p>
      <w:pPr>
        <w:pStyle w:val="1100"/>
        <w:numPr>
          <w:ilvl w:val="1"/>
          <w:numId w:val="2"/>
        </w:numPr>
        <w:contextualSpacing w:val="0"/>
        <w:ind w:left="567" w:hanging="567"/>
        <w:spacing w:after="120"/>
      </w:pPr>
      <w:r>
        <w:rPr>
          <w:b/>
        </w:rPr>
        <w:t xml:space="preserve">Цель использования закупаем</w:t>
      </w:r>
      <w:r>
        <w:rPr>
          <w:b/>
        </w:rPr>
        <w:t xml:space="preserve">ой продукции</w:t>
      </w:r>
      <w:r/>
    </w:p>
    <w:p>
      <w:pPr>
        <w:ind w:firstLine="567"/>
        <w:jc w:val="both"/>
        <w:spacing w:after="120"/>
      </w:pPr>
      <w:r>
        <w:rPr>
          <w:rFonts w:eastAsia="Calibri"/>
          <w:lang w:eastAsia="en-US"/>
        </w:rPr>
        <w:t xml:space="preserve">Оказание информационных услуг с использованием экземпляров Справочно-Правовой Системы (далее – </w:t>
      </w:r>
      <w:r>
        <w:rPr>
          <w:rFonts w:eastAsia="Calibri"/>
          <w:lang w:eastAsia="en-US"/>
        </w:rPr>
        <w:t xml:space="preserve">Системы</w:t>
      </w:r>
      <w:r>
        <w:rPr>
          <w:rFonts w:eastAsia="Calibri"/>
          <w:lang w:eastAsia="en-US"/>
        </w:rPr>
        <w:t xml:space="preserve">) на основе специального лицензионного программного обеспечения, обеспечивающего совместимость информационных услуг с установленными у Заказчика </w:t>
      </w:r>
      <w:r>
        <w:rPr>
          <w:rFonts w:eastAsia="Calibri"/>
          <w:lang w:eastAsia="en-US"/>
        </w:rPr>
        <w:t xml:space="preserve">экземплярами </w:t>
      </w:r>
      <w:r>
        <w:rPr>
          <w:rFonts w:eastAsia="Calibri"/>
          <w:lang w:eastAsia="en-US"/>
        </w:rPr>
        <w:t xml:space="preserve">Систем</w:t>
      </w:r>
      <w:r>
        <w:rPr>
          <w:rFonts w:eastAsia="Calibri"/>
          <w:lang w:eastAsia="en-US"/>
        </w:rPr>
        <w:t xml:space="preserve">, в соответствии с настоящим техническим требованием</w:t>
      </w:r>
      <w:r>
        <w:t xml:space="preserve">.</w:t>
      </w:r>
      <w:r/>
    </w:p>
    <w:p>
      <w:pPr>
        <w:ind w:left="567"/>
        <w:spacing w:after="120"/>
      </w:pPr>
      <w:r>
        <w:rPr>
          <w:b/>
        </w:rPr>
        <w:t xml:space="preserve">Таблица 1. Перечень объектов заказчика</w:t>
      </w:r>
      <w:r/>
    </w:p>
    <w:tbl>
      <w:tblPr>
        <w:tblW w:w="94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1843"/>
        <w:gridCol w:w="1701"/>
        <w:gridCol w:w="4393"/>
        <w:gridCol w:w="992"/>
      </w:tblGrid>
      <w:tr>
        <w:tblPrEx/>
        <w:trPr/>
        <w:tc>
          <w:tcPr>
            <w:tcW w:w="533" w:type="dxa"/>
            <w:textDirection w:val="lrTb"/>
            <w:noWrap w:val="false"/>
          </w:tcPr>
          <w:p>
            <w:r>
              <w:t xml:space="preserve">№</w:t>
            </w:r>
            <w:r/>
          </w:p>
          <w:p>
            <w:r>
              <w:t xml:space="preserve">п/п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объекта</w:t>
            </w:r>
            <w:r/>
          </w:p>
          <w:p>
            <w:pPr>
              <w:jc w:val="center"/>
            </w:pPr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Расположение объекта </w:t>
            </w:r>
            <w:r>
              <w:br/>
            </w:r>
            <w:r>
              <w:rPr>
                <w:i/>
                <w:iCs/>
              </w:rPr>
              <w:t xml:space="preserve">(место оказания услуг)</w:t>
            </w:r>
            <w:r>
              <w:t xml:space="preserve">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основного средства </w:t>
            </w:r>
            <w:r>
              <w:br/>
            </w:r>
            <w:r>
              <w:t xml:space="preserve">(в отношении которого оказываются услуги)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</w:pPr>
            <w:r>
              <w:t xml:space="preserve">Примечания</w:t>
            </w:r>
            <w:r/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1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2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3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4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5</w:t>
            </w:r>
            <w:r/>
          </w:p>
        </w:tc>
      </w:tr>
      <w:tr>
        <w:tblPrEx/>
        <w:trPr>
          <w:trHeight w:val="881"/>
        </w:trPr>
        <w:tc>
          <w:tcPr>
            <w:tcW w:w="533" w:type="dxa"/>
            <w:textDirection w:val="lrTb"/>
            <w:noWrap w:val="false"/>
          </w:tcPr>
          <w:p>
            <w:pPr>
              <w:pStyle w:val="1100"/>
              <w:numPr>
                <w:ilvl w:val="0"/>
                <w:numId w:val="7"/>
              </w:numPr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АО «ВНИИГ им. Б.Е. Веденеева»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195220, г. Санкт-Петербург, ул. Гжатская, д. 21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 xml:space="preserve">Задача: </w:t>
            </w:r>
            <w:r>
              <w:rPr>
                <w:rFonts w:eastAsia="Calibri"/>
                <w:sz w:val="22"/>
                <w:lang w:eastAsia="en-US"/>
              </w:rPr>
              <w:t xml:space="preserve">Оказание информационных услуг с использованием экземпляров Справочно-Правовой Системы (дале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е –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Системы</w:t>
            </w:r>
            <w:r>
              <w:rPr>
                <w:rFonts w:eastAsia="Calibri"/>
                <w:sz w:val="22"/>
                <w:lang w:eastAsia="en-US"/>
              </w:rPr>
              <w:t xml:space="preserve">) на о</w:t>
            </w:r>
            <w:r>
              <w:rPr>
                <w:rFonts w:eastAsia="Calibri"/>
                <w:sz w:val="22"/>
                <w:lang w:eastAsia="en-US"/>
              </w:rPr>
              <w:t xml:space="preserve">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Систем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</w:t>
            </w:r>
            <w:r>
              <w:rPr>
                <w:rFonts w:eastAsia="Calibri"/>
                <w:sz w:val="22"/>
                <w:lang w:eastAsia="en-US"/>
              </w:rPr>
              <w:t xml:space="preserve"> в соответствии с настоящим техническим требованием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ind w:firstLine="567"/>
        <w:jc w:val="both"/>
        <w:spacing w:after="120"/>
      </w:pPr>
      <w:r/>
      <w:r/>
    </w:p>
    <w:p>
      <w:pPr>
        <w:pStyle w:val="1100"/>
        <w:numPr>
          <w:ilvl w:val="1"/>
          <w:numId w:val="2"/>
        </w:numPr>
        <w:contextualSpacing w:val="0"/>
        <w:ind w:left="567" w:hanging="567"/>
        <w:spacing w:after="120"/>
        <w:rPr>
          <w:b/>
        </w:rPr>
      </w:pPr>
      <w:r>
        <w:rPr>
          <w:b/>
        </w:rPr>
        <w:t xml:space="preserve">Иные требования и сведения общего характера</w:t>
      </w:r>
      <w:r>
        <w:rPr>
          <w:b/>
        </w:rPr>
      </w:r>
      <w:r>
        <w:rPr>
          <w:b/>
        </w:rPr>
      </w:r>
    </w:p>
    <w:p>
      <w:pPr>
        <w:ind w:left="567"/>
        <w:spacing w:after="120"/>
      </w:pPr>
      <w:r>
        <w:rPr>
          <w:lang w:eastAsia="en-US"/>
        </w:rPr>
        <w:t xml:space="preserve">ИСПОЛЬЗОВАНИЕ ЗАКАЗЧИКОМ ПЕРЕДАВАЕМОЙ ИНФОРМАЦИИ</w:t>
      </w:r>
      <w:r/>
    </w:p>
    <w:p>
      <w:pPr>
        <w:pStyle w:val="1100"/>
        <w:numPr>
          <w:ilvl w:val="0"/>
          <w:numId w:val="4"/>
        </w:numPr>
        <w:ind w:left="0" w:right="40" w:firstLine="567"/>
        <w:jc w:val="both"/>
        <w:spacing w:line="276" w:lineRule="auto"/>
        <w:rPr>
          <w:rFonts w:eastAsia="Calibri"/>
          <w:lang w:eastAsia="en-US"/>
        </w:rPr>
      </w:pPr>
      <w:r>
        <w:rPr>
          <w:lang w:eastAsia="en-US"/>
        </w:rPr>
        <w:t xml:space="preserve">Заказчик имеет право без дополнительных письменных разрешений распространять любым способом (продавать, сдавать в прокат и т.д.) и предоставлять доступ третьим лиц</w:t>
      </w:r>
      <w:r>
        <w:rPr>
          <w:lang w:eastAsia="en-US"/>
        </w:rPr>
        <w:t xml:space="preserve">ам к текстам правовых актов в печатном виде с обязательным указанием соответствующей Системы как источника информации</w:t>
      </w:r>
      <w:r>
        <w:rPr>
          <w:rFonts w:eastAsia="Calibri"/>
          <w:lang w:eastAsia="en-US"/>
        </w:rPr>
        <w:t xml:space="preserve">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1100"/>
        <w:numPr>
          <w:ilvl w:val="0"/>
          <w:numId w:val="4"/>
        </w:numPr>
        <w:ind w:left="0" w:right="40" w:firstLine="567"/>
        <w:jc w:val="both"/>
        <w:spacing w:line="276" w:lineRule="auto"/>
      </w:pPr>
      <w:r>
        <w:rPr>
          <w:lang w:eastAsia="en-US"/>
        </w:rPr>
        <w:t xml:space="preserve">Использование в печатном виде информации, являющейся самостоятельным объектом авторского права (комментарии, разъяснения экспертов, аналитические статьи и т.п.), возможно только после получения письменного </w:t>
      </w:r>
      <w:r>
        <w:rPr>
          <w:lang w:eastAsia="en-US"/>
        </w:rPr>
        <w:t xml:space="preserve">согласия </w:t>
      </w:r>
      <w:r>
        <w:rPr>
          <w:lang w:eastAsia="en-US"/>
        </w:rPr>
        <w:t xml:space="preserve">разработчика </w:t>
      </w:r>
      <w:r>
        <w:rPr>
          <w:lang w:eastAsia="en-US"/>
        </w:rPr>
        <w:t xml:space="preserve">Систем</w:t>
      </w:r>
      <w:r>
        <w:rPr>
          <w:lang w:eastAsia="en-US"/>
        </w:rPr>
        <w:t xml:space="preserve">. </w:t>
      </w:r>
      <w:r>
        <w:rPr>
          <w:lang w:eastAsia="en-US"/>
        </w:rPr>
        <w:t xml:space="preserve">Под использованием информации в </w:t>
      </w:r>
      <w:r>
        <w:rPr>
          <w:lang w:eastAsia="en-US"/>
        </w:rPr>
        <w:t xml:space="preserve">печатном виде в настоящем пункте понимается ее воспроизведение на материальных носителях и последующее их распространение любым способом (продажа, прокат и т.д.), а также предоставление доступа к этим материальным носителям третьим лицам.</w:t>
      </w:r>
      <w:r/>
    </w:p>
    <w:p>
      <w:pPr>
        <w:pStyle w:val="1100"/>
        <w:numPr>
          <w:ilvl w:val="0"/>
          <w:numId w:val="4"/>
        </w:numPr>
        <w:ind w:left="0" w:right="40" w:firstLine="567"/>
        <w:jc w:val="both"/>
        <w:spacing w:line="276" w:lineRule="auto"/>
        <w:rPr>
          <w:lang w:eastAsia="en-US"/>
        </w:rPr>
      </w:pPr>
      <w:r>
        <w:rPr>
          <w:lang w:eastAsia="en-US"/>
        </w:rPr>
        <w:t xml:space="preserve">Использование в э</w:t>
      </w:r>
      <w:r>
        <w:rPr>
          <w:lang w:eastAsia="en-US"/>
        </w:rPr>
        <w:t xml:space="preserve">лектронном виде любой переданной информации возможно только после получения письменного согласия разработчика</w:t>
      </w:r>
      <w:r>
        <w:rPr>
          <w:lang w:eastAsia="en-US"/>
        </w:rPr>
        <w:t xml:space="preserve"> </w:t>
      </w:r>
      <w:r>
        <w:rPr>
          <w:lang w:eastAsia="en-US"/>
        </w:rPr>
        <w:t xml:space="preserve">Систем</w:t>
      </w:r>
      <w:r>
        <w:rPr>
          <w:lang w:eastAsia="en-US"/>
        </w:rPr>
        <w:t xml:space="preserve">. </w:t>
      </w:r>
      <w:r>
        <w:rPr>
          <w:lang w:eastAsia="en-US"/>
        </w:rPr>
        <w:t xml:space="preserve">Под использованием информации в электронном виде в настоящем пункте понимается: копирование и последующее распространение третьим лицам инфор</w:t>
      </w:r>
      <w:r>
        <w:rPr>
          <w:lang w:eastAsia="en-US"/>
        </w:rPr>
        <w:t xml:space="preserve">мации на магнитных носителях, по телекоммуникационным сетям, посредством размещения в Интернете и другим способом, а также иное предоставление доступа к информации третьим лицам.</w:t>
      </w:r>
      <w:r>
        <w:rPr>
          <w:lang w:eastAsia="en-US"/>
        </w:rPr>
      </w:r>
      <w:r>
        <w:rPr>
          <w:lang w:eastAsia="en-US"/>
        </w:rPr>
      </w:r>
    </w:p>
    <w:p>
      <w:pPr>
        <w:pStyle w:val="1100"/>
        <w:numPr>
          <w:ilvl w:val="0"/>
          <w:numId w:val="4"/>
        </w:numPr>
        <w:ind w:left="0" w:right="40" w:firstLine="567"/>
        <w:jc w:val="both"/>
        <w:spacing w:line="276" w:lineRule="auto"/>
        <w:rPr>
          <w:lang w:eastAsia="en-US"/>
        </w:rPr>
      </w:pPr>
      <w:r>
        <w:rPr>
          <w:lang w:eastAsia="en-US"/>
        </w:rPr>
        <w:t xml:space="preserve">Если Договором или неотъемлемыми Приложениями к нему (Спецификации) предусмот</w:t>
      </w:r>
      <w:r>
        <w:rPr>
          <w:lang w:eastAsia="en-US"/>
        </w:rPr>
        <w:t xml:space="preserve">рена учетная запись, Заказчик вправе передавать реквизиты </w:t>
      </w:r>
      <w:r>
        <w:rPr>
          <w:lang w:eastAsia="en-US"/>
        </w:rPr>
        <w:t xml:space="preserve">учетной записи только своим Уникальным пользователям в соответствии с условиями данных документов. По запросу Исполнителя Заказчик обязан предоставлять Исполнителю информацию об Уникальных пользоват</w:t>
      </w:r>
      <w:r>
        <w:rPr>
          <w:lang w:eastAsia="en-US"/>
        </w:rPr>
        <w:t xml:space="preserve">елях, которым была передана учетная запись. Заказчик обязан обеспечить конфиденциальность учетной записи.</w:t>
      </w:r>
      <w:r>
        <w:rPr>
          <w:lang w:eastAsia="en-US"/>
        </w:rPr>
      </w:r>
      <w:r>
        <w:rPr>
          <w:lang w:eastAsia="en-US"/>
        </w:rPr>
      </w:r>
    </w:p>
    <w:p>
      <w:pPr>
        <w:pStyle w:val="1100"/>
        <w:numPr>
          <w:ilvl w:val="0"/>
          <w:numId w:val="4"/>
        </w:numPr>
        <w:ind w:left="0" w:right="40" w:firstLine="567"/>
        <w:jc w:val="both"/>
        <w:spacing w:line="276" w:lineRule="auto"/>
        <w:rPr>
          <w:lang w:eastAsia="en-US"/>
        </w:rPr>
      </w:pPr>
      <w:r>
        <w:rPr>
          <w:lang w:eastAsia="en-US"/>
        </w:rPr>
        <w:t xml:space="preserve">Заказчик не вправе предоставлять возможность использования Системы(м) лицам и/или способами, не предусмотренными в Договоре и их приложениях.</w:t>
      </w:r>
      <w:r>
        <w:rPr>
          <w:lang w:eastAsia="en-US"/>
        </w:rPr>
      </w:r>
      <w:r>
        <w:rPr>
          <w:lang w:eastAsia="en-US"/>
        </w:rPr>
      </w:r>
    </w:p>
    <w:p>
      <w:pPr>
        <w:pStyle w:val="1100"/>
        <w:numPr>
          <w:ilvl w:val="0"/>
          <w:numId w:val="4"/>
        </w:numPr>
        <w:ind w:left="0" w:right="40" w:firstLine="567"/>
        <w:jc w:val="both"/>
        <w:spacing w:line="276" w:lineRule="auto"/>
        <w:rPr>
          <w:lang w:eastAsia="en-US"/>
        </w:rPr>
      </w:pPr>
      <w:r>
        <w:rPr>
          <w:lang w:eastAsia="en-US"/>
        </w:rPr>
        <w:t xml:space="preserve">Заказчик</w:t>
      </w:r>
      <w:r>
        <w:rPr>
          <w:lang w:eastAsia="en-US"/>
        </w:rPr>
        <w:t xml:space="preserve"> имеет право в любое время заблокировать учетную запись путем смены ее реквизитов.</w:t>
      </w:r>
      <w:r>
        <w:rPr>
          <w:lang w:eastAsia="en-US"/>
        </w:rPr>
      </w:r>
      <w:r>
        <w:rPr>
          <w:lang w:eastAsia="en-US"/>
        </w:rPr>
      </w:r>
    </w:p>
    <w:p>
      <w:pPr>
        <w:pStyle w:val="1093"/>
        <w:numPr>
          <w:ilvl w:val="1"/>
          <w:numId w:val="4"/>
        </w:numPr>
        <w:ind w:left="0" w:firstLine="567"/>
        <w:jc w:val="both"/>
        <w:keepLines/>
        <w:keepNext/>
        <w:spacing w:after="0" w:line="240" w:lineRule="auto"/>
        <w:shd w:val="clear" w:color="auto" w:fill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Заказчик обязан заблокировать учетную запись в следующих случаях: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1093"/>
        <w:ind w:firstLine="567"/>
        <w:jc w:val="both"/>
        <w:keepLines/>
        <w:keepNext/>
        <w:spacing w:after="0" w:line="240" w:lineRule="auto"/>
        <w:shd w:val="clear" w:color="auto" w:fill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- В случае прекращения трудовых отношений с Уникальным пользователем, получившим учетную запись, - в течение одного рабочего дня с момента прекращения трудовых отношений;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1093"/>
        <w:ind w:firstLine="567"/>
        <w:jc w:val="both"/>
        <w:keepLines/>
        <w:keepNext/>
        <w:spacing w:after="0" w:line="240" w:lineRule="auto"/>
        <w:shd w:val="clear" w:color="auto" w:fill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- В случае действительного или потенциального нарушения конфиденциальности  реквизито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в учетной записи - незамедлительно при получении соответствующей информации.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1100"/>
        <w:numPr>
          <w:ilvl w:val="0"/>
          <w:numId w:val="4"/>
        </w:numPr>
        <w:ind w:left="0" w:right="40" w:firstLine="567"/>
        <w:jc w:val="both"/>
        <w:spacing w:line="276" w:lineRule="auto"/>
      </w:pPr>
      <w:r>
        <w:rPr>
          <w:lang w:eastAsia="en-US"/>
        </w:rPr>
        <w:t xml:space="preserve">Заказчик не вправе передавать экземпляр Системы третьему лицу, если иное не предусмотрено Договором и приложениями к нему</w:t>
      </w:r>
      <w:r/>
    </w:p>
    <w:p>
      <w:pPr>
        <w:spacing w:after="120"/>
      </w:pPr>
      <w:r/>
      <w:r/>
    </w:p>
    <w:p>
      <w:pPr>
        <w:pStyle w:val="1100"/>
        <w:numPr>
          <w:ilvl w:val="0"/>
          <w:numId w:val="2"/>
        </w:numPr>
        <w:contextualSpacing w:val="0"/>
        <w:ind w:left="567" w:hanging="567"/>
        <w:jc w:val="center"/>
        <w:spacing w:after="120"/>
      </w:pPr>
      <w:r>
        <w:rPr>
          <w:b/>
          <w:iCs/>
          <w:sz w:val="28"/>
        </w:rPr>
        <w:t xml:space="preserve">Требования к продукции</w:t>
      </w:r>
      <w:r/>
    </w:p>
    <w:p>
      <w:pPr>
        <w:pStyle w:val="1100"/>
        <w:numPr>
          <w:ilvl w:val="1"/>
          <w:numId w:val="2"/>
        </w:numPr>
        <w:contextualSpacing w:val="0"/>
        <w:ind w:left="567" w:hanging="567"/>
        <w:spacing w:after="120"/>
      </w:pPr>
      <w:r>
        <w:rPr>
          <w:b/>
        </w:rPr>
        <w:t xml:space="preserve">Требования к объемам и срокам ока</w:t>
      </w:r>
      <w:r>
        <w:rPr>
          <w:b/>
        </w:rPr>
        <w:t xml:space="preserve">зания услуг</w:t>
      </w:r>
      <w:r/>
    </w:p>
    <w:p>
      <w:pPr>
        <w:pStyle w:val="1100"/>
        <w:numPr>
          <w:ilvl w:val="2"/>
          <w:numId w:val="2"/>
        </w:numPr>
        <w:contextualSpacing w:val="0"/>
        <w:ind w:left="567" w:hanging="567"/>
        <w:spacing w:after="120"/>
      </w:pPr>
      <w:r>
        <w:rPr>
          <w:b/>
        </w:rPr>
        <w:t xml:space="preserve">Требования к перечню и объему услуг</w:t>
      </w:r>
      <w:r/>
    </w:p>
    <w:p>
      <w:pPr>
        <w:ind w:left="567"/>
        <w:spacing w:after="120"/>
        <w:rPr>
          <w:b/>
        </w:rPr>
      </w:pPr>
      <w:r>
        <w:rPr>
          <w:b/>
        </w:rPr>
        <w:t xml:space="preserve">Таблица 2. Перечень и объем оказываемых услуг</w:t>
      </w:r>
      <w:r>
        <w:rPr>
          <w:b/>
        </w:rPr>
      </w:r>
      <w:r>
        <w:rPr>
          <w:b/>
        </w:rPr>
      </w:r>
    </w:p>
    <w:tbl>
      <w:tblPr>
        <w:tblW w:w="981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>
        <w:tblPrEx/>
        <w:trPr/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keepNext/>
            </w:pPr>
            <w:r>
              <w:t xml:space="preserve">№</w:t>
            </w:r>
            <w:r/>
          </w:p>
          <w:p>
            <w:pPr>
              <w:jc w:val="center"/>
              <w:keepNext/>
            </w:pPr>
            <w:r>
              <w:t xml:space="preserve">п/п</w:t>
            </w:r>
            <w:r/>
          </w:p>
        </w:tc>
        <w:tc>
          <w:tcPr>
            <w:tcW w:w="4849" w:type="dxa"/>
            <w:vAlign w:val="center"/>
            <w:textDirection w:val="lrTb"/>
            <w:noWrap w:val="false"/>
          </w:tcPr>
          <w:p>
            <w:pPr>
              <w:jc w:val="center"/>
              <w:keepNext/>
            </w:pPr>
            <w:r>
              <w:t xml:space="preserve">Наименование услуг / этапа услуг</w:t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keepNext/>
            </w:pPr>
            <w:r>
              <w:t xml:space="preserve">Единица измерения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keepNext/>
            </w:pPr>
            <w:r>
              <w:t xml:space="preserve">Количество</w:t>
            </w:r>
            <w:r/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1</w:t>
            </w:r>
            <w:r/>
          </w:p>
        </w:tc>
        <w:tc>
          <w:tcPr>
            <w:tcW w:w="4849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2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4</w:t>
            </w:r>
            <w:r/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100"/>
              <w:numPr>
                <w:ilvl w:val="0"/>
                <w:numId w:val="5"/>
              </w:numPr>
            </w:pPr>
            <w:r/>
            <w:r/>
          </w:p>
        </w:tc>
        <w:tc>
          <w:tcPr>
            <w:tcW w:w="4849" w:type="dxa"/>
            <w:textDirection w:val="lrTb"/>
            <w:noWrap w:val="false"/>
          </w:tcPr>
          <w:p>
            <w:r>
              <w:rPr>
                <w:rFonts w:eastAsiaTheme="minorHAnsi" w:cstheme="minorBidi"/>
                <w:lang w:eastAsia="en-US"/>
              </w:rPr>
            </w:r>
            <w:r>
              <w:rPr>
                <w:rFonts w:eastAsiaTheme="minorHAnsi" w:cstheme="minorBidi"/>
                <w:lang w:eastAsia="en-US"/>
              </w:rPr>
              <w:t xml:space="preserve">ОКПД2 62.02.30.000 Информационные услуги с предоставлением информационно-правовых систем для нужд  АО "ВНИИГ им. Б.Е. Веденеева"</w:t>
            </w:r>
            <w:r>
              <w:rPr>
                <w:rFonts w:eastAsiaTheme="minorHAnsi" w:cstheme="minorBidi"/>
                <w:lang w:eastAsia="en-US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Усл. Ед.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</w:tbl>
    <w:p>
      <w:pPr>
        <w:ind w:left="567"/>
        <w:spacing w:after="120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100"/>
        <w:numPr>
          <w:ilvl w:val="2"/>
          <w:numId w:val="2"/>
        </w:numPr>
        <w:contextualSpacing w:val="0"/>
        <w:ind w:left="567" w:hanging="567"/>
        <w:spacing w:after="120"/>
      </w:pPr>
      <w:r>
        <w:rPr>
          <w:b/>
        </w:rPr>
        <w:t xml:space="preserve">Требования к срокам оказания услуг </w:t>
      </w:r>
      <w:r/>
    </w:p>
    <w:p>
      <w:pPr>
        <w:ind w:left="567"/>
        <w:spacing w:after="120"/>
        <w:rPr>
          <w:b/>
        </w:rPr>
      </w:pPr>
      <w:r>
        <w:rPr>
          <w:b/>
        </w:rPr>
        <w:t xml:space="preserve">Таблица 3. </w:t>
      </w:r>
      <w:bookmarkStart w:id="0" w:name="_Hlk50465284"/>
      <w:r>
        <w:rPr>
          <w:b/>
        </w:rPr>
        <w:t xml:space="preserve">Требования к срокам </w:t>
      </w:r>
      <w:bookmarkEnd w:id="0"/>
      <w:r>
        <w:rPr>
          <w:b/>
        </w:rPr>
        <w:t xml:space="preserve">оказания услуг</w:t>
      </w:r>
      <w:r>
        <w:rPr>
          <w:b/>
        </w:rPr>
      </w:r>
      <w:r>
        <w:rPr>
          <w:b/>
        </w:rPr>
      </w:r>
    </w:p>
    <w:tbl>
      <w:tblPr>
        <w:tblW w:w="97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5"/>
        <w:gridCol w:w="2551"/>
        <w:gridCol w:w="2865"/>
      </w:tblGrid>
      <w:tr>
        <w:tblPrEx/>
        <w:trPr/>
        <w:tc>
          <w:tcPr>
            <w:shd w:val="clear" w:color="ffffff" w:fill="ffffff"/>
            <w:tcW w:w="6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№ п/п</w:t>
            </w:r>
            <w:r/>
          </w:p>
        </w:tc>
        <w:tc>
          <w:tcPr>
            <w:shd w:val="clear" w:color="ffffff" w:fill="ffffff"/>
            <w:tcW w:w="36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услуг/ этапа услуг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</w:pPr>
            <w:r>
              <w:t xml:space="preserve">Требования к началу срока оказания услуг/ этапа услуг</w:t>
            </w:r>
            <w:r/>
          </w:p>
        </w:tc>
        <w:tc>
          <w:tcPr>
            <w:tcW w:w="28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Требования к окончанию срока оказания услуг / этапа услуг</w:t>
            </w:r>
            <w:r/>
          </w:p>
        </w:tc>
      </w:tr>
      <w:tr>
        <w:tblPrEx/>
        <w:trPr/>
        <w:tc>
          <w:tcPr>
            <w:shd w:val="clear" w:color="ffffff" w:fill="ffffff"/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1</w:t>
            </w:r>
            <w:r/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2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1118"/>
              <w:jc w:val="center"/>
              <w:keepNext w:val="0"/>
            </w:pPr>
            <w:r>
              <w:rPr>
                <w:b/>
                <w:sz w:val="24"/>
                <w:szCs w:val="24"/>
              </w:rPr>
              <w:t xml:space="preserve">3</w:t>
            </w:r>
            <w:r/>
          </w:p>
        </w:tc>
        <w:tc>
          <w:tcPr>
            <w:tcW w:w="2865" w:type="dxa"/>
            <w:textDirection w:val="lrTb"/>
            <w:noWrap w:val="false"/>
          </w:tcPr>
          <w:p>
            <w:pPr>
              <w:pStyle w:val="1118"/>
              <w:jc w:val="center"/>
              <w:keepNext w:val="0"/>
            </w:pPr>
            <w:r>
              <w:rPr>
                <w:b/>
                <w:sz w:val="24"/>
                <w:szCs w:val="24"/>
              </w:rPr>
              <w:t xml:space="preserve">4</w:t>
            </w:r>
            <w:r/>
          </w:p>
        </w:tc>
      </w:tr>
      <w:tr>
        <w:tblPrEx/>
        <w:trPr/>
        <w:tc>
          <w:tcPr>
            <w:shd w:val="clear" w:color="ffffff" w:fill="ffffff"/>
            <w:tcW w:w="675" w:type="dxa"/>
            <w:textDirection w:val="lrTb"/>
            <w:noWrap w:val="false"/>
          </w:tcPr>
          <w:p>
            <w:pPr>
              <w:pStyle w:val="1100"/>
              <w:numPr>
                <w:ilvl w:val="0"/>
                <w:numId w:val="6"/>
              </w:numPr>
            </w:pPr>
            <w:r/>
            <w:r/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r>
              <w:rPr>
                <w:rFonts w:eastAsiaTheme="minorHAnsi" w:cstheme="minorBidi"/>
                <w:lang w:eastAsia="en-US"/>
              </w:rPr>
            </w:r>
            <w:r>
              <w:rPr>
                <w:rFonts w:eastAsiaTheme="minorHAnsi" w:cstheme="minorBidi"/>
                <w:lang w:eastAsia="en-US"/>
              </w:rPr>
              <w:t xml:space="preserve">ОКПД2 62.02.30.000 Информационные услуги с предоставлением информационно-правовых систем для нужд  АО "ВНИИГ им. Б.Е. Веденеева"</w:t>
            </w:r>
            <w:r>
              <w:rPr>
                <w:rFonts w:eastAsiaTheme="minorHAnsi" w:cstheme="minorBidi"/>
                <w:lang w:eastAsia="en-US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 «01» июня 2027 года</w:t>
            </w:r>
            <w:r>
              <w:rPr>
                <w:highlight w:val="white"/>
              </w:rPr>
            </w:r>
          </w:p>
        </w:tc>
        <w:tc>
          <w:tcPr>
            <w:tcW w:w="286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по «31» мая 2028 года (включительно)</w:t>
            </w:r>
            <w:r>
              <w:rPr>
                <w:highlight w:val="white"/>
              </w:rPr>
            </w:r>
          </w:p>
        </w:tc>
      </w:tr>
    </w:tbl>
    <w:p>
      <w:pPr>
        <w:ind w:left="567"/>
        <w:spacing w:after="120"/>
        <w:rPr>
          <w:b/>
        </w:rPr>
        <w:sectPr>
          <w:footerReference w:type="default" r:id="rId9"/>
          <w:footnotePr/>
          <w:endnotePr/>
          <w:type w:val="nextPage"/>
          <w:pgSz w:w="11906" w:h="16838" w:orient="portrait"/>
          <w:pgMar w:top="850" w:right="850" w:bottom="850" w:left="1701" w:header="709" w:footer="709" w:gutter="0"/>
          <w:cols w:num="1" w:sep="0" w:space="708" w:equalWidth="1"/>
          <w:docGrid w:linePitch="360"/>
        </w:sect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100"/>
        <w:numPr>
          <w:ilvl w:val="1"/>
          <w:numId w:val="2"/>
        </w:numPr>
        <w:contextualSpacing w:val="0"/>
        <w:ind w:left="567" w:hanging="567"/>
        <w:spacing w:after="120"/>
      </w:pPr>
      <w:r>
        <w:rPr>
          <w:b/>
        </w:rPr>
        <w:t xml:space="preserve">Требования к качеству услуг</w:t>
      </w:r>
      <w:r/>
    </w:p>
    <w:p>
      <w:pPr>
        <w:ind w:left="567"/>
        <w:spacing w:after="120"/>
      </w:pPr>
      <w:r>
        <w:rPr>
          <w:b/>
        </w:rPr>
        <w:t xml:space="preserve">Таблица 4. Требования к качеству услуг </w:t>
      </w:r>
      <w:r/>
    </w:p>
    <w:p>
      <w:pPr>
        <w:ind w:left="567"/>
        <w:spacing w:after="120"/>
      </w:pPr>
      <w:r>
        <w:rPr>
          <w:b/>
          <w:bCs/>
        </w:rPr>
        <w:t xml:space="preserve">Наименование услуг/этапа услуг (позиция № 1Таблицы 2): </w:t>
      </w:r>
      <w:r>
        <w:rPr>
          <w:rFonts w:eastAsiaTheme="minorHAnsi" w:cstheme="minorBidi"/>
          <w:lang w:eastAsia="en-US"/>
        </w:rPr>
        <w:t xml:space="preserve">ОКПД2 62.02.30.000 Информационные услуги с предоставлением информационно-правовых систем для нужд  АО "ВНИИГ им. Б.Е. Веденеева"</w:t>
      </w:r>
      <w:r>
        <w:rPr>
          <w:rFonts w:eastAsiaTheme="minorHAnsi" w:cstheme="minorBidi"/>
          <w:lang w:eastAsia="en-US"/>
        </w:rPr>
      </w:r>
      <w:r/>
    </w:p>
    <w:tbl>
      <w:tblPr>
        <w:tblStyle w:val="1102"/>
        <w:tblW w:w="14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9"/>
        <w:gridCol w:w="1843"/>
        <w:gridCol w:w="6803"/>
        <w:gridCol w:w="1843"/>
        <w:gridCol w:w="2126"/>
        <w:gridCol w:w="1592"/>
      </w:tblGrid>
      <w:tr>
        <w:tblPrEx/>
        <w:trPr>
          <w:trHeight w:val="253"/>
        </w:trPr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№ п/п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Наименование параметра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68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Требование заказ</w:t>
            </w:r>
            <w:r>
              <w:rPr>
                <w:b/>
                <w:bCs/>
                <w:sz w:val="22"/>
              </w:rPr>
              <w:t xml:space="preserve">чика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Способ подтверждения участником соответствия требованиям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76"/>
        </w:trPr>
        <w:tc>
          <w:tcPr>
            <w:tcW w:w="67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80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Согласие с требованием/ указание характеристик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ind w:left="25"/>
              <w:jc w:val="center"/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1</w: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68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4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5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ind w:left="25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1.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W w:w="8645" w:type="dxa"/>
            <w:vAlign w:val="center"/>
            <w:vMerge w:val="restart"/>
            <w:textDirection w:val="lrTb"/>
            <w:noWrap w:val="false"/>
          </w:tcPr>
          <w:p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Требования к оказанию услуг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79" w:type="dxa"/>
            <w:vAlign w:val="center"/>
            <w:textDirection w:val="lrTb"/>
            <w:noWrap w:val="false"/>
          </w:tcPr>
          <w:p>
            <w:pPr>
              <w:ind w:left="25"/>
              <w:jc w:val="center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1.1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W w:w="8645" w:type="dxa"/>
            <w:vAlign w:val="center"/>
            <w:textDirection w:val="lrTb"/>
            <w:noWrap w:val="false"/>
          </w:tcPr>
          <w:p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Общие требования к оказанию услуг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79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1.1.1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shd w:val="clear" w:color="ffffff" w:fill="ffffff"/>
            <w:tcW w:w="8645" w:type="dxa"/>
            <w:textDirection w:val="lrTb"/>
            <w:noWrap w:val="false"/>
          </w:tcPr>
          <w:p>
            <w:pPr>
              <w:contextualSpacing/>
              <w:ind w:left="425"/>
              <w:jc w:val="both"/>
              <w:keepLines/>
              <w:spacing w:before="0" w:beforeAutospacing="0" w:line="17" w:lineRule="atLeas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Оказание услуг должно предусматривать:</w:t>
            </w:r>
            <w:r>
              <w:rPr>
                <w:rFonts w:eastAsia="Calibri"/>
                <w:sz w:val="22"/>
              </w:rPr>
            </w:r>
            <w:r>
              <w:rPr>
                <w:rFonts w:eastAsia="Calibri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1. Адаптацию (установку, тестирование, регистрацию, формирование в комплекты, внесение других изменений, необходимых для работоспособности на оборудовании Заказчика) экземпляров Систем;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 Сопровождение адаптированных</w:t>
            </w:r>
            <w:r>
              <w:rPr>
                <w:color w:val="000000"/>
                <w:sz w:val="22"/>
              </w:rPr>
              <w:t xml:space="preserve"> Исполнителем экземпляров Систем, в т.ч.: 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2.1 Передачу Заказчику актуальной информации (актуальных наборов текстовой информации, адаптированных к имеющимся у Заказчика экземплярам Систем);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2.2. Техническую профилактику работоспособности Систем и восстанов</w:t>
            </w:r>
            <w:r>
              <w:rPr>
                <w:color w:val="000000"/>
                <w:sz w:val="22"/>
              </w:rPr>
              <w:t xml:space="preserve">ление работоспособности Систем в случае сбоев компьютерного оборудования после их устранения Заказчиком (тестирование, переустановка);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2.3. Подключение к дополнительной информации, состав которой определяется Исполнителем;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2.4. Мониторинг данных об использ</w:t>
            </w:r>
            <w:r>
              <w:rPr>
                <w:color w:val="000000"/>
                <w:sz w:val="22"/>
              </w:rPr>
              <w:t xml:space="preserve">овании Систем с целью предотвращения их противоправного и контрафактного использования, а также замедления работы;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2.5.- Консультирование по работе с Системами, в т.ч. обучение Заказчика работе с Системами, с возможностью получения специального сертификата</w:t>
            </w:r>
            <w:r>
              <w:rPr>
                <w:color w:val="000000"/>
                <w:sz w:val="22"/>
              </w:rPr>
              <w:t xml:space="preserve"> об обучении;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2.6.- Предоставление возможности получения Заказчиком консультаций по работе </w:t>
            </w:r>
            <w:r>
              <w:rPr>
                <w:color w:val="000000"/>
                <w:sz w:val="22"/>
              </w:rPr>
              <w:t xml:space="preserve">Систем по телефону, по электронной почте, через специальные сервисы и базы данных либо в офисе Исполнителя;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2.7. Предоставление другой информации и материалов;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2.8. </w:t>
            </w:r>
            <w:r>
              <w:rPr>
                <w:color w:val="000000"/>
                <w:sz w:val="22"/>
              </w:rPr>
              <w:t xml:space="preserve">Предоставление иных услуг по сопровождению адаптированных Исполнителем экземпляров Систем.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1.1.2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shd w:val="clear" w:color="ffffff" w:fill="ffffff"/>
            <w:tcW w:w="8645" w:type="dxa"/>
            <w:vMerge w:val="restart"/>
            <w:textDirection w:val="lrTb"/>
            <w:noWrap w:val="false"/>
          </w:tcPr>
          <w:p>
            <w:pPr>
              <w:ind w:firstLine="425"/>
              <w:spacing w:before="60"/>
              <w:widowControl w:val="off"/>
              <w:tabs>
                <w:tab w:val="left" w:pos="426" w:leader="none"/>
              </w:tabs>
              <w:rPr>
                <w:b/>
                <w:sz w:val="22"/>
              </w:rPr>
            </w:pPr>
            <w:r>
              <w:rPr>
                <w:color w:val="000000"/>
                <w:sz w:val="22"/>
              </w:rPr>
              <w:t xml:space="preserve">Оказание Заказчику текущих услуг с использованием экземпляров Систем осуществляется без выбора документов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9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/>
              <w:rPr>
                <w:b/>
              </w:rPr>
            </w:pPr>
            <w:r>
              <w:rPr>
                <w:b/>
              </w:rPr>
              <w:t xml:space="preserve">1.2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ffffff" w:fill="ffffff"/>
            <w:tcW w:w="8645" w:type="dxa"/>
            <w:textDirection w:val="lrTb"/>
            <w:noWrap w:val="false"/>
          </w:tcPr>
          <w:p>
            <w:pPr>
              <w:jc w:val="both"/>
              <w:spacing w:before="60"/>
              <w:widowControl w:val="off"/>
              <w:tabs>
                <w:tab w:val="left" w:pos="426" w:leader="none"/>
              </w:tabs>
            </w:pPr>
            <w:r>
              <w:rPr>
                <w:b/>
              </w:rPr>
              <w:t xml:space="preserve">Требования к способам оказания услуг</w:t>
            </w:r>
            <w:r/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1.2.1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/>
              <w:keepLines/>
              <w:spacing w:before="240"/>
              <w:rPr>
                <w:color w:val="000000"/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Треб</w:t>
            </w:r>
            <w:r>
              <w:rPr>
                <w:color w:val="000000"/>
                <w:sz w:val="22"/>
                <w:lang w:eastAsia="en-US"/>
              </w:rPr>
              <w:t xml:space="preserve">ование к порядку оказания услуг: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shd w:val="clear" w:color="ffffff" w:fill="ffffff"/>
            <w:tcW w:w="6803" w:type="dxa"/>
            <w:vMerge w:val="restart"/>
            <w:textDirection w:val="lrTb"/>
            <w:noWrap w:val="false"/>
          </w:tcPr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</w:pPr>
            <w:r>
              <w:rPr>
                <w:color w:val="000000"/>
                <w:sz w:val="22"/>
              </w:rPr>
              <w:t xml:space="preserve">1. Поставщик должен оказывать Заказчику услуги по адаптации и сопровождению</w:t>
            </w:r>
            <w:r>
              <w:rPr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экземпляров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color w:val="000000"/>
                <w:sz w:val="22"/>
              </w:rPr>
              <w:t xml:space="preserve">, принадлежащих Заказчику.</w:t>
            </w:r>
            <w:r/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</w:pPr>
            <w:r>
              <w:rPr>
                <w:color w:val="000000"/>
                <w:sz w:val="22"/>
              </w:rPr>
              <w:t xml:space="preserve">2. Поставщик должен регулярно, ежедневно, при наличии технической возможности Заказчика, передавать Заказ</w:t>
            </w:r>
            <w:r>
              <w:rPr>
                <w:color w:val="000000"/>
                <w:sz w:val="22"/>
              </w:rPr>
              <w:t xml:space="preserve">чику актуальную информацию по телекоммуникационным каналам связи,  осуществлять пополнение (внесение изменений и дополнений) баз данных (информационных банков)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color w:val="000000"/>
                <w:sz w:val="22"/>
              </w:rPr>
              <w:t xml:space="preserve"> актуальной информацией (документами) с полной ее юридической обработкой; обновление (внесени</w:t>
            </w:r>
            <w:r>
              <w:rPr>
                <w:color w:val="000000"/>
                <w:sz w:val="22"/>
              </w:rPr>
              <w:t xml:space="preserve">е изменений и дополнений)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color w:val="000000"/>
                <w:sz w:val="22"/>
              </w:rPr>
              <w:t xml:space="preserve"> до актуальной версии. А при отсутствии интернета, не реже 1 раза в неделю, силами прикрепленного персонального специалиста Поставщика.</w:t>
            </w:r>
            <w:r/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</w:pPr>
            <w:r>
              <w:rPr>
                <w:color w:val="000000"/>
                <w:sz w:val="22"/>
              </w:rPr>
              <w:t xml:space="preserve">3. Поставщик должен в рамках сервиса «Горячая линия» по запросу Заказчика оперативно (не по</w:t>
            </w:r>
            <w:r>
              <w:rPr>
                <w:color w:val="000000"/>
                <w:sz w:val="22"/>
              </w:rPr>
              <w:t xml:space="preserve">зднее одного рабочего дня для документов/не позднее трех рабочих дней для консультации) предоставлять Заказчику дополнительную информацию (документы), помимо содержащейся в базах данных (информационных банках)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color w:val="000000"/>
                <w:sz w:val="22"/>
              </w:rPr>
              <w:t xml:space="preserve">, осуществлять поиск документов по индивиду</w:t>
            </w:r>
            <w:r>
              <w:rPr>
                <w:color w:val="000000"/>
                <w:sz w:val="22"/>
              </w:rPr>
              <w:t xml:space="preserve">альному заказу.</w:t>
            </w:r>
            <w:r/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</w:pPr>
            <w:r>
              <w:rPr>
                <w:color w:val="000000"/>
                <w:sz w:val="22"/>
              </w:rPr>
              <w:t xml:space="preserve">4. Поставщик должен закрепить персонального специалиста, ответственного за взаимодействие между Заказчиком и Поставщиком по всем вопросам, связанным с оказанием услуг (эксперт или менеджер индивидуального сервиса, в задачи, которого входит,</w:t>
            </w:r>
            <w:r>
              <w:rPr>
                <w:color w:val="000000"/>
                <w:sz w:val="22"/>
              </w:rPr>
              <w:t xml:space="preserve"> обучение, анонс изменений, ответы на вопросы, взаимодействие с руководством и пользователями.</w:t>
            </w:r>
            <w:r/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</w:pPr>
            <w:r>
              <w:rPr>
                <w:color w:val="000000"/>
                <w:sz w:val="22"/>
              </w:rPr>
              <w:t xml:space="preserve">5. Заказчик обязуется согласовать с Поставщиком время посещения и обеспечить готовность технических средств и беспрепятственный доступ к экземплярам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color w:val="000000"/>
                <w:sz w:val="22"/>
              </w:rPr>
              <w:t xml:space="preserve"> в оговор</w:t>
            </w:r>
            <w:r>
              <w:rPr>
                <w:color w:val="000000"/>
                <w:sz w:val="22"/>
              </w:rPr>
              <w:t xml:space="preserve">енное время </w:t>
            </w:r>
            <w:r>
              <w:rPr>
                <w:color w:val="000000"/>
                <w:sz w:val="22"/>
              </w:rPr>
              <w:t xml:space="preserve">специалисту Поставщика, если потребуется его личное присутствие для адаптации экземпляров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color w:val="000000"/>
                <w:sz w:val="22"/>
              </w:rPr>
              <w:t xml:space="preserve"> к техническим средствам Заказчика.</w:t>
            </w:r>
            <w:r/>
          </w:p>
          <w:p>
            <w:pPr>
              <w:contextualSpacing/>
              <w:ind w:firstLine="425"/>
              <w:jc w:val="both"/>
              <w:keepLines/>
              <w:spacing w:before="0" w:beforeAutospacing="0" w:line="17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6. В случае доставки информации с помощью телекоммуникационных средств все расходы, связанные с обеспечением достат</w:t>
            </w:r>
            <w:r>
              <w:rPr>
                <w:color w:val="000000"/>
                <w:sz w:val="22"/>
                <w:szCs w:val="22"/>
              </w:rPr>
              <w:t xml:space="preserve">очного для оказания текущих информационных услуг трафика, оплачиваются Заказчиком за свой счет.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ffffff" w:fill="ffffff"/>
            <w:tcW w:w="8645" w:type="dxa"/>
            <w:vAlign w:val="center"/>
            <w:vMerge w:val="restar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bCs/>
              </w:rPr>
              <w:t xml:space="preserve">Требования к результатам у</w:t>
            </w:r>
            <w:r>
              <w:rPr>
                <w:b/>
              </w:rPr>
              <w:t xml:space="preserve">слуг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b/>
              </w:rPr>
            </w:pPr>
            <w:r>
              <w:rPr>
                <w:b/>
              </w:rPr>
              <w:t xml:space="preserve">2.1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ffffff" w:fill="ffffff"/>
            <w:tcW w:w="8645" w:type="dxa"/>
            <w:vAlign w:val="center"/>
            <w:vMerge w:val="restar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bCs/>
              </w:rPr>
              <w:t xml:space="preserve">Общие требования к результатам услуг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2.1.1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keepLines/>
              <w:spacing w:before="240"/>
              <w:rPr>
                <w:sz w:val="22"/>
              </w:rPr>
            </w:pPr>
            <w:r>
              <w:rPr>
                <w:sz w:val="22"/>
              </w:rPr>
              <w:t xml:space="preserve">Требования к качеству оказываемых услуг: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6803" w:type="dxa"/>
            <w:vMerge w:val="restart"/>
            <w:textDirection w:val="lrTb"/>
            <w:noWrap w:val="false"/>
          </w:tcPr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Поставщик обязан обеспечить взаимодействие и совместимость услуг по адаптации и сопровождению экземпляров </w:t>
            </w:r>
            <w:r>
              <w:rPr>
                <w:color w:val="000000"/>
                <w:sz w:val="22"/>
              </w:rPr>
              <w:t xml:space="preserve">Систем </w:t>
            </w:r>
            <w:r>
              <w:rPr>
                <w:sz w:val="22"/>
                <w:szCs w:val="22"/>
                <w:highlight w:val="white"/>
              </w:rPr>
              <w:t xml:space="preserve">с установленными у Заказчика экземплярами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sz w:val="22"/>
                <w:szCs w:val="22"/>
                <w:highlight w:val="white"/>
              </w:rPr>
              <w:t xml:space="preserve">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Поставщик обязан предоставить Заказчику документы, подтверждающие наличие у Поставщика необходимых прав на использование технологий и иных результатов интеллектуальной деятельности, и, в частности, копию Лицензионного соглашения, подтверждающего, что специ</w:t>
            </w:r>
            <w:r>
              <w:rPr>
                <w:sz w:val="22"/>
                <w:szCs w:val="22"/>
                <w:highlight w:val="white"/>
              </w:rPr>
              <w:t xml:space="preserve">альное программное обеспечение, используемое Поставщиком для оказания услуг заказчику, полностью совместимо с установленными у заказчика экземплярами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sz w:val="22"/>
                <w:szCs w:val="22"/>
                <w:highlight w:val="white"/>
              </w:rPr>
              <w:t xml:space="preserve">, а также с самостоятельно подготовленными на основании технологии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sz w:val="22"/>
                <w:szCs w:val="22"/>
                <w:highlight w:val="white"/>
              </w:rPr>
              <w:t xml:space="preserve"> внутренними информационными ресу</w:t>
            </w:r>
            <w:r>
              <w:rPr>
                <w:sz w:val="22"/>
                <w:szCs w:val="22"/>
                <w:highlight w:val="white"/>
              </w:rPr>
              <w:t xml:space="preserve">рсами заказчика (отдельные документы и подборки, перечни документов «на контроле», комментарии, технологические взаимосвязи собственных документов Заказчика с </w:t>
            </w:r>
            <w:r>
              <w:rPr>
                <w:color w:val="000000"/>
                <w:sz w:val="22"/>
              </w:rPr>
              <w:t xml:space="preserve">Системами</w:t>
            </w:r>
            <w:r>
              <w:rPr>
                <w:sz w:val="22"/>
                <w:szCs w:val="22"/>
                <w:highlight w:val="white"/>
              </w:rPr>
              <w:t xml:space="preserve"> и т.д.);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Поставщик обязан предоставить заказчику достоверные сведения о совместимости оказыва</w:t>
            </w:r>
            <w:r>
              <w:rPr>
                <w:sz w:val="22"/>
                <w:szCs w:val="22"/>
                <w:highlight w:val="white"/>
              </w:rPr>
              <w:t xml:space="preserve">емых услуг по адаптации и сопровождению экземпляров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sz w:val="22"/>
                <w:szCs w:val="22"/>
                <w:highlight w:val="white"/>
              </w:rPr>
              <w:t xml:space="preserve"> с установленными у Заказчика экземплярами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sz w:val="22"/>
                <w:szCs w:val="22"/>
                <w:highlight w:val="white"/>
              </w:rPr>
              <w:t xml:space="preserve"> на основе специального лицензионного программного обеспечения, обеспечивающего такую совместимость, а также о возможности оказания указанных информационны</w:t>
            </w:r>
            <w:r>
              <w:rPr>
                <w:sz w:val="22"/>
                <w:szCs w:val="22"/>
                <w:highlight w:val="white"/>
              </w:rPr>
              <w:t xml:space="preserve">х услуг;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Обеспечить ежедневное обновление по телекоммуникационным сетям Информационных банков (далее – ИБ)  с полной юридической обработкой (неполная юридическая обработка допускается только для факультативных онлайн-архивов </w:t>
            </w:r>
            <w:r>
              <w:rPr>
                <w:sz w:val="22"/>
                <w:szCs w:val="22"/>
                <w:highlight w:val="white"/>
              </w:rPr>
              <w:t xml:space="preserve">документов, доступных за рамкам</w:t>
            </w:r>
            <w:r>
              <w:rPr>
                <w:sz w:val="22"/>
                <w:szCs w:val="22"/>
                <w:highlight w:val="white"/>
              </w:rPr>
              <w:t xml:space="preserve">и основной оболочки комплекта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sz w:val="22"/>
                <w:szCs w:val="22"/>
                <w:highlight w:val="white"/>
              </w:rPr>
              <w:t xml:space="preserve">);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Процедура обновления информации в </w:t>
            </w:r>
            <w:r>
              <w:rPr>
                <w:color w:val="000000"/>
                <w:sz w:val="22"/>
              </w:rPr>
              <w:t xml:space="preserve">Системах</w:t>
            </w:r>
            <w:r>
              <w:rPr>
                <w:sz w:val="22"/>
                <w:szCs w:val="22"/>
                <w:highlight w:val="white"/>
              </w:rPr>
              <w:t xml:space="preserve"> должна осуществляться способом кусочного пополнения, без замены информационного банка целиком. Пополнение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sz w:val="22"/>
                <w:szCs w:val="22"/>
                <w:highlight w:val="white"/>
              </w:rPr>
              <w:t xml:space="preserve"> должно осуществляться с сохранением личных настроек пользователя;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Возмож</w:t>
            </w:r>
            <w:r>
              <w:rPr>
                <w:sz w:val="22"/>
                <w:szCs w:val="22"/>
                <w:highlight w:val="white"/>
              </w:rPr>
              <w:t xml:space="preserve">ность интеграции сетевых версий ИБ с различным количеством одновременных доступов в единый комплект;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Для отслеживания информации о внесении изменений в документы (в т.ч. редакции документов), определенные пользователем, в </w:t>
            </w:r>
            <w:r>
              <w:rPr>
                <w:color w:val="000000"/>
                <w:sz w:val="22"/>
              </w:rPr>
              <w:t xml:space="preserve">Системах</w:t>
            </w:r>
            <w:r>
              <w:rPr>
                <w:sz w:val="22"/>
                <w:szCs w:val="22"/>
                <w:highlight w:val="white"/>
              </w:rPr>
              <w:t xml:space="preserve"> должна быть предусмотрена возм</w:t>
            </w:r>
            <w:r>
              <w:rPr>
                <w:sz w:val="22"/>
                <w:szCs w:val="22"/>
                <w:highlight w:val="white"/>
              </w:rPr>
              <w:t xml:space="preserve">ожность постановки этих документов на контроль. При этом пользователь должен информироваться об изменении документа и о типе этого изменения (создана новая редакция, документ утратил силу и т.д.) непосредственно в системе.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Интерфейс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sz w:val="22"/>
                <w:szCs w:val="22"/>
                <w:highlight w:val="white"/>
              </w:rPr>
              <w:t xml:space="preserve"> должен представлять</w:t>
            </w:r>
            <w:r>
              <w:rPr>
                <w:sz w:val="22"/>
                <w:szCs w:val="22"/>
                <w:highlight w:val="white"/>
              </w:rPr>
              <w:t xml:space="preserve"> актуальные примечания на панели с полез</w:t>
            </w:r>
            <w:r>
              <w:rPr>
                <w:sz w:val="22"/>
                <w:szCs w:val="22"/>
                <w:highlight w:val="white"/>
              </w:rPr>
              <w:t xml:space="preserve">ной информацией к наиболее востребованным нормам нормативно-правовых актов;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Возможность автоматического заказа и получения в реальном времени посредством сети Интернет  </w:t>
            </w:r>
            <w:r>
              <w:rPr>
                <w:sz w:val="22"/>
                <w:szCs w:val="22"/>
                <w:highlight w:val="white"/>
              </w:rPr>
              <w:t xml:space="preserve">при переходе через ссылку без заполнения дополн</w:t>
            </w:r>
            <w:r>
              <w:rPr>
                <w:sz w:val="22"/>
                <w:szCs w:val="22"/>
                <w:highlight w:val="white"/>
              </w:rPr>
              <w:t xml:space="preserve">ительных заявок</w:t>
            </w:r>
            <w:r>
              <w:rPr>
                <w:sz w:val="22"/>
                <w:szCs w:val="22"/>
                <w:highlight w:val="white"/>
              </w:rPr>
              <w:t xml:space="preserve"> текстов федеральных нормативно-правовых актов и судебных решений, упоминаемых в текстах других документов в ИБ, но отсутствующ</w:t>
            </w:r>
            <w:r>
              <w:rPr>
                <w:sz w:val="22"/>
                <w:szCs w:val="22"/>
                <w:highlight w:val="white"/>
              </w:rPr>
              <w:t xml:space="preserve">их в установленных у пользователя ИБ (при условии их наличия в других ИБ, не вошедших в установленный у Заказчика </w:t>
            </w:r>
            <w:r>
              <w:rPr>
                <w:sz w:val="22"/>
                <w:szCs w:val="22"/>
                <w:highlight w:val="white"/>
              </w:rPr>
              <w:t xml:space="preserve">комплект);</w:t>
            </w:r>
            <w:r>
              <w:rPr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1418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Возможность обращения к онлайн-архиву определений арбитражных судов первой, апелляционной и кассационной инстанций объемом не менее 57 млн документов (при наличии соответствующих Информационных Банков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sz w:val="22"/>
                <w:szCs w:val="22"/>
                <w:highlight w:val="white"/>
              </w:rPr>
              <w:t xml:space="preserve"> и выхода в Интернет с рабочего места по</w:t>
            </w:r>
            <w:r>
              <w:rPr>
                <w:sz w:val="22"/>
                <w:szCs w:val="22"/>
                <w:highlight w:val="white"/>
              </w:rPr>
              <w:t xml:space="preserve">льзователя;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10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  <w:tab w:val="left" w:pos="1418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Судебные акты арбитражных судов уровня дел Верховного Суда, Высшего Арбитражного Суда (до 06.08.2014) и арбитражных судов округов в </w:t>
            </w:r>
            <w:r>
              <w:rPr>
                <w:color w:val="000000"/>
                <w:sz w:val="22"/>
              </w:rPr>
              <w:t xml:space="preserve">Системах</w:t>
            </w:r>
            <w:r>
              <w:rPr>
                <w:sz w:val="22"/>
                <w:szCs w:val="22"/>
                <w:highlight w:val="white"/>
              </w:rPr>
              <w:t xml:space="preserve"> должны быть снабжены аннотациями, предоставляющими возможность экспресс-анализа каждого акта без необходимос</w:t>
            </w:r>
            <w:r>
              <w:rPr>
                <w:sz w:val="22"/>
                <w:szCs w:val="22"/>
                <w:highlight w:val="white"/>
              </w:rPr>
              <w:t xml:space="preserve">ти изучать его полный текст. </w:t>
            </w:r>
            <w:r>
              <w:rPr>
                <w:sz w:val="22"/>
                <w:szCs w:val="22"/>
                <w:highlight w:val="white"/>
              </w:rPr>
              <w:t xml:space="preserve">Указанные аннотации должны содержать следующие элементы: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  <w:tab w:val="left" w:pos="1418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 номер дела, дата принятия судебного акта и наименование суда;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  <w:tab w:val="left" w:pos="1418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 предмет спора (требования, заявляемые  истцом);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  <w:tab w:val="left" w:pos="1418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 краткое описание обстоятельств дела, из которых мо</w:t>
            </w:r>
            <w:r>
              <w:rPr>
                <w:sz w:val="22"/>
                <w:szCs w:val="22"/>
                <w:highlight w:val="white"/>
              </w:rPr>
              <w:t xml:space="preserve">жно было бы понять, как стороны обосновывали свои требования и возражения;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  <w:tab w:val="left" w:pos="1418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краткое описание резолютивной части, т.е. результат рассмотрения дела.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851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Возможность поиска по тексту документа с учетом близости слов, задаваемой пользователем, или нахождения их в одном абзаце документа с применением логических операций «и», «или», «кроме».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851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Ссылки из всех документов (включая судебные решения и авторские матер</w:t>
            </w:r>
            <w:r>
              <w:rPr>
                <w:sz w:val="22"/>
                <w:szCs w:val="22"/>
                <w:highlight w:val="white"/>
              </w:rPr>
              <w:t xml:space="preserve">иалы) на другие документы по умолчанию должны вести в те редакции других докум</w:t>
            </w:r>
            <w:r>
              <w:rPr>
                <w:sz w:val="22"/>
                <w:szCs w:val="22"/>
                <w:highlight w:val="white"/>
              </w:rPr>
              <w:t xml:space="preserve">ентов, которые были актуальны на момент подготовки или принятия исходного документа (судебного решения, авторского материала)</w:t>
            </w:r>
            <w:r>
              <w:rPr>
                <w:sz w:val="22"/>
                <w:szCs w:val="22"/>
                <w:highlight w:val="white"/>
              </w:rPr>
              <w:t xml:space="preserve">, </w:t>
            </w:r>
            <w:r>
              <w:rPr>
                <w:sz w:val="22"/>
                <w:szCs w:val="22"/>
                <w:highlight w:val="white"/>
              </w:rPr>
              <w:t xml:space="preserve">с возможностью перехода в новую редакцию документа по активной ссылке на экране</w:t>
            </w:r>
            <w:r>
              <w:rPr>
                <w:sz w:val="22"/>
                <w:szCs w:val="22"/>
                <w:highlight w:val="white"/>
              </w:rPr>
              <w:t xml:space="preserve">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851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Наличие онлайн-сервиса по созданию</w:t>
            </w:r>
            <w:r>
              <w:rPr>
                <w:sz w:val="22"/>
                <w:szCs w:val="22"/>
                <w:highlight w:val="white"/>
              </w:rPr>
              <w:t xml:space="preserve"> договоров с пред</w:t>
            </w:r>
            <w:r>
              <w:rPr>
                <w:sz w:val="22"/>
                <w:szCs w:val="22"/>
                <w:highlight w:val="white"/>
              </w:rPr>
              <w:t xml:space="preserve">оставлением пользователю перечня вопросов (анкеты) по условиям договора с вариантами ответов на них; выбор условий договора пользователем должен осуществляться путем выбора готового варианта ответа на вопрос анкеты (при наличии подключения и выхода в Интер</w:t>
            </w:r>
            <w:r>
              <w:rPr>
                <w:sz w:val="22"/>
                <w:szCs w:val="22"/>
                <w:highlight w:val="white"/>
              </w:rPr>
              <w:t xml:space="preserve">нет с рабочего места пользователя). В сервисе должны быть реализованы следующие возможности: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9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для составленного шаблона документа – предупреждение об изменениях и автоматическая корректировка составленного шаблона с учетом изменения законодательства;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9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для ка</w:t>
            </w:r>
            <w:r>
              <w:rPr>
                <w:sz w:val="22"/>
                <w:szCs w:val="22"/>
                <w:highlight w:val="white"/>
              </w:rPr>
              <w:t xml:space="preserve">ждого договора – автоматические предупреждения о рисках к конкретным условиям договора со ссылками на законодательство и судебную практику либо аналитические материалы;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9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для каждого договора – возможность изменения условий внутри каждого раздела договора;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9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</w:t>
            </w:r>
            <w:r>
              <w:rPr>
                <w:sz w:val="22"/>
                <w:szCs w:val="22"/>
                <w:highlight w:val="white"/>
              </w:rPr>
              <w:t xml:space="preserve">ля каждого договора – обзор изменений, внесенных в шаблон, с указанием даты и характера изменений;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9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для каждого договора – краткое описание отношений, которые соответствующий договор призван регулировать, его существенных условий и соотношения со смежными д</w:t>
            </w:r>
            <w:r>
              <w:rPr>
                <w:sz w:val="22"/>
                <w:szCs w:val="22"/>
                <w:highlight w:val="white"/>
              </w:rPr>
              <w:t xml:space="preserve">оговорами;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9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выделение цветом условий, измененных пользователем при формировании договора;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9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 шаблон трудового договора должно быть включено приложение «Лист ознакомления с документами»;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Возможность построения списка документов, структурированного по типам пр</w:t>
            </w:r>
            <w:r>
              <w:rPr>
                <w:sz w:val="22"/>
                <w:szCs w:val="22"/>
                <w:highlight w:val="white"/>
              </w:rPr>
              <w:t xml:space="preserve">авовой информации (нормативных актов, судебных решений, консультационных материалов), связанных с каждым фрагментом нормативного правового акта (с разделом, главой, статьей, ее частью, пунктом, абзацем). Вышеуказанная возможность должна существовать как дл</w:t>
            </w:r>
            <w:r>
              <w:rPr>
                <w:sz w:val="22"/>
                <w:szCs w:val="22"/>
                <w:highlight w:val="white"/>
              </w:rPr>
              <w:t xml:space="preserve">я действующей, так и недействующих редакций нормативно правового акта.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Должна быть предусмотрена возможность работать с большим количеством вкладок (более 10).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Возможность постановки на контроль каждого отдельного фрагмента текста нормативно-правового акта</w:t>
            </w:r>
            <w:r>
              <w:rPr>
                <w:sz w:val="22"/>
                <w:szCs w:val="22"/>
                <w:highlight w:val="white"/>
              </w:rPr>
              <w:t xml:space="preserve"> (а не только документа в целом) с последующим автоматическим информированием пользователя непосредственно в </w:t>
            </w:r>
            <w:r>
              <w:rPr>
                <w:color w:val="000000"/>
                <w:sz w:val="22"/>
              </w:rPr>
              <w:t xml:space="preserve">Системах</w:t>
            </w:r>
            <w:r>
              <w:rPr>
                <w:sz w:val="22"/>
                <w:szCs w:val="22"/>
                <w:highlight w:val="white"/>
              </w:rPr>
              <w:t xml:space="preserve"> об изменении именно этого фрагмента.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Возможность построения списка взаимосвязанных документов с указанием типа юридической связи документов и сортировкой по типам правовой информации.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 </w:t>
            </w:r>
            <w:r>
              <w:rPr>
                <w:color w:val="000000"/>
                <w:sz w:val="22"/>
              </w:rPr>
              <w:t xml:space="preserve">Системах</w:t>
            </w:r>
            <w:r>
              <w:rPr>
                <w:sz w:val="22"/>
                <w:szCs w:val="22"/>
                <w:highlight w:val="white"/>
              </w:rPr>
              <w:t xml:space="preserve"> должен быть представлен инструментарий для сравнения двух любых редакций документа, включая недействующ</w:t>
            </w:r>
            <w:r>
              <w:rPr>
                <w:sz w:val="22"/>
                <w:szCs w:val="22"/>
                <w:highlight w:val="white"/>
              </w:rPr>
              <w:t xml:space="preserve">ие.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Наличие в Системе профилей специалистов: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"Бухгалтерия и кадры";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"Юрист";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"Специалист по закупкам";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"Кадры";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"Универсальный".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«Универсальный для бюджетной организации»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tabs>
                <w:tab w:val="left" w:pos="0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«Бухгалтерия и кадры бюджетной организации»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Каждому профилю должны соот</w:t>
            </w:r>
            <w:r>
              <w:rPr>
                <w:sz w:val="22"/>
                <w:szCs w:val="22"/>
                <w:highlight w:val="white"/>
              </w:rPr>
              <w:t xml:space="preserve">ветствовать свой вид главной страницы (набор важнейших нормативных правовых актов, справочной информации, новостные ленты) и особенности поисковой выдачи, адаптированные под профессиональные потребности соответствующих специалистов.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Должен быть доступ к об</w:t>
            </w:r>
            <w:r>
              <w:rPr>
                <w:sz w:val="22"/>
                <w:szCs w:val="22"/>
                <w:highlight w:val="white"/>
              </w:rPr>
              <w:t xml:space="preserve">зорам по Антикризисным мерам 2022 и изменениям в связи с коронавирусом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Должна быть возможность поиска, в результате которого получается единый список документов (без разбивки по информационным банкам), в котором представлены нормативные документы, судебные</w:t>
            </w:r>
            <w:r>
              <w:rPr>
                <w:sz w:val="22"/>
                <w:szCs w:val="22"/>
                <w:highlight w:val="white"/>
              </w:rPr>
              <w:t xml:space="preserve"> решения, комментарии и т.п., наиболее точно отвечающие условиям запроса с указанием фрагмента текста;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возможность поиска по общим (при поиске по всему информационному массиву) и специальным полям (при поиске в определенном виде информации):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тематика;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вид документа;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принявший орган;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дата;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номер;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дата регистрации документа в Минюсте;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номер регистрации документа в Минюсте;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 поиске по параметрам «Название документа» и «Текст документа» должна быть предусмотрена возможность одновременного использования: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логических выражений, содержащих скобки;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логических операций и условий;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название документа (с возможностью составлять </w:t>
            </w:r>
            <w:r>
              <w:rPr>
                <w:sz w:val="22"/>
                <w:szCs w:val="22"/>
                <w:highlight w:val="white"/>
              </w:rPr>
              <w:t xml:space="preserve">запросы простым языком, не вникая в тонкости языка запросов);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текст документа (с возможностью составлять запросы простым языком, не вникая в тонкости языка запросов);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есть возможность включать или отключать словарь синонимов;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Должна быть предусмотрена </w:t>
            </w:r>
            <w:r>
              <w:rPr>
                <w:sz w:val="22"/>
                <w:szCs w:val="22"/>
                <w:highlight w:val="white"/>
              </w:rPr>
              <w:t xml:space="preserve">возможность наиболее точного и эффективного поиска документов при неизвестных реквизитах;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возможность уточнения поискового запроса: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в построенном списке найденных документов;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в единой истории запросов;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в сохраненных папках пользователя;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подсказки</w:t>
            </w:r>
            <w:r>
              <w:rPr>
                <w:sz w:val="22"/>
                <w:szCs w:val="22"/>
                <w:highlight w:val="white"/>
              </w:rPr>
              <w:t xml:space="preserve"> в Быстром поиске;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Должна быть предусмотрена возможность поиска по тексту и названию документа с формулированием запроса, как на естественном языке, так и с использованием различных логических условий и ограничений (поиск с учетом близости слов, поиск с од</w:t>
            </w:r>
            <w:r>
              <w:rPr>
                <w:sz w:val="22"/>
                <w:szCs w:val="22"/>
                <w:highlight w:val="white"/>
              </w:rPr>
              <w:t xml:space="preserve">новременным использованием нескольких логических условий);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возможность поиска с помощью самонастраивающихся словарей;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возможность создания ссылок, ведущих на документы в экземпляре Системы;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возможность построения списка документов в виде структуриро</w:t>
            </w:r>
            <w:r>
              <w:rPr>
                <w:sz w:val="22"/>
                <w:szCs w:val="22"/>
                <w:highlight w:val="white"/>
              </w:rPr>
              <w:t xml:space="preserve">ванного «дерево» списка;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возможность экспорта текста в редакторы MS WORD и MS EXCEL, а также в соответствующие ассоциированные приложения;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возможность предоставления информации о статусе документа: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действующий;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утратил силу;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не вступил в силу;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фактически утратил силу;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документ фактически не применяется;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Должна быть предусмотрена возможность уточнять список документов не только по отдельной норме, но и по документу в целом.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Должна быть предусмотрена возможность: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предоставления в документах подробных ссылок на связанные документы в формате гипертекста;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</w:t>
            </w:r>
            <w:r>
              <w:rPr>
                <w:sz w:val="22"/>
                <w:szCs w:val="22"/>
                <w:highlight w:val="white"/>
              </w:rPr>
              <w:t xml:space="preserve">сохранения результатов работы с помощью истории запросов, папок и закладок пользователя, а также индивидуальных настроек интерфейса программы;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обмена результатами работы («папки», «закладки») по электронной почте и с помощью мобильных носителей;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сравне</w:t>
            </w:r>
            <w:r>
              <w:rPr>
                <w:sz w:val="22"/>
                <w:szCs w:val="22"/>
                <w:highlight w:val="white"/>
              </w:rPr>
              <w:t xml:space="preserve">ния текстов редакций нормативно-правовых актов;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 предоставления системы помощи;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автоматического заказа и получения в реальном времени посредством сети Интернет текстов федеральных нормативно-правовых актов и судебных решений, упоминаемых в текстах друг</w:t>
            </w:r>
            <w:r>
              <w:rPr>
                <w:sz w:val="22"/>
                <w:szCs w:val="22"/>
                <w:highlight w:val="white"/>
              </w:rPr>
              <w:t xml:space="preserve">их документов в информационных банках, но отсутствующих в установленных у Заказчика информационных банках (при условии их наличия в других информационных банках данного производителя, не вошедших в установленный у Заказчика комплект);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Должна быть предусмот</w:t>
            </w:r>
            <w:r>
              <w:rPr>
                <w:sz w:val="22"/>
                <w:szCs w:val="22"/>
                <w:highlight w:val="white"/>
              </w:rPr>
              <w:t xml:space="preserve">рена возможность регулярного ознакомления с наиболее важными изменениями в законодательстве (обзоры ежедневные, еженедельные);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Наличие электронных версии ведущих журналов, включая редакции за 2005 - 2019 гг., их обновление и пополнение: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«Юрист»;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«Рос</w:t>
            </w:r>
            <w:r>
              <w:rPr>
                <w:sz w:val="22"/>
                <w:szCs w:val="22"/>
                <w:highlight w:val="white"/>
              </w:rPr>
              <w:t xml:space="preserve">сийская юстиция»;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«Административное право и процесс»;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•</w:t>
            </w:r>
            <w:r>
              <w:rPr>
                <w:sz w:val="22"/>
                <w:szCs w:val="22"/>
                <w:highlight w:val="white"/>
              </w:rPr>
              <w:tab/>
              <w:t xml:space="preserve">«Российский судья».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 w:val="0"/>
              <w:ind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 наличие трудов ведущих специалистов в области права: П.В. </w:t>
            </w:r>
            <w:r>
              <w:rPr>
                <w:sz w:val="22"/>
                <w:szCs w:val="22"/>
                <w:highlight w:val="white"/>
              </w:rPr>
              <w:t xml:space="preserve">Крашенинникова, М.И. Брагинского, В.В. Витрянского.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Должна быть предусмотрена возможность выделения цветными пометка</w:t>
            </w:r>
            <w:r>
              <w:rPr>
                <w:sz w:val="22"/>
                <w:szCs w:val="22"/>
                <w:highlight w:val="white"/>
              </w:rPr>
              <w:t xml:space="preserve">ми наиболее важного материала в текстовых документах (кроме Новостно</w:t>
            </w:r>
            <w:r>
              <w:rPr>
                <w:sz w:val="22"/>
                <w:szCs w:val="22"/>
                <w:highlight w:val="white"/>
              </w:rPr>
              <w:t xml:space="preserve">й страницы) и сохранения этих пометок в отдельной папке в Избранном (функционал «Маркеров»), при экспорте в Word и печати.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Должна быть предусмотрена возможность интеграции в единый информа</w:t>
            </w:r>
            <w:r>
              <w:rPr>
                <w:sz w:val="22"/>
                <w:szCs w:val="22"/>
                <w:highlight w:val="white"/>
              </w:rPr>
              <w:t xml:space="preserve">ционный массив систем различных типов сетевой, сетевой однопользовательской и локальной.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Время до завершения сессии пользователя, если браузер открыт, и пользователь не активен не менее 360 минут. Под активностью пользователя понимается действия пользовате</w:t>
            </w:r>
            <w:r>
              <w:rPr>
                <w:sz w:val="22"/>
                <w:szCs w:val="22"/>
                <w:highlight w:val="white"/>
              </w:rPr>
              <w:t xml:space="preserve">ля, такие как поисковый запрос, прокрутка документа более чем на 2-3 экрана, переход в документ, и прочие действия, формирующие запрос к серверу.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00"/>
              <w:numPr>
                <w:ilvl w:val="0"/>
                <w:numId w:val="8"/>
              </w:numPr>
              <w:contextualSpacing w:val="0"/>
              <w:ind w:left="0" w:firstLine="425"/>
              <w:jc w:val="left"/>
              <w:keepLines/>
              <w:spacing w:before="0" w:beforeAutospacing="0" w:line="17" w:lineRule="atLeast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  <w:shd w:val="clear" w:color="auto" w:fill="ffff00"/>
              </w:rPr>
              <w:t xml:space="preserve">В</w:t>
            </w:r>
            <w:r>
              <w:rPr>
                <w:sz w:val="22"/>
                <w:szCs w:val="22"/>
                <w:highlight w:val="white"/>
                <w:shd w:val="clear" w:color="auto" w:fill="ffff00"/>
              </w:rPr>
              <w:t xml:space="preserve">се результаты поиска информации должны </w:t>
            </w:r>
            <w:r>
              <w:rPr>
                <w:sz w:val="22"/>
                <w:szCs w:val="22"/>
                <w:highlight w:val="white"/>
                <w:shd w:val="clear" w:color="auto" w:fill="ffff00"/>
              </w:rPr>
              <w:t xml:space="preserve">быть выданы</w:t>
            </w:r>
            <w:r>
              <w:rPr>
                <w:sz w:val="22"/>
                <w:szCs w:val="22"/>
                <w:highlight w:val="white"/>
                <w:shd w:val="clear" w:color="ffffff" w:themeColor="background1" w:fill="ffffff" w:themeFill="background1"/>
              </w:rPr>
              <w:t xml:space="preserve"> в </w:t>
            </w:r>
            <w:r>
              <w:rPr>
                <w:sz w:val="22"/>
                <w:szCs w:val="22"/>
                <w:highlight w:val="white"/>
                <w:shd w:val="clear" w:color="auto" w:fill="ffff00"/>
              </w:rPr>
              <w:t xml:space="preserve">одном окне, в том числе результаты судебной практи</w:t>
            </w:r>
            <w:r>
              <w:rPr>
                <w:sz w:val="22"/>
                <w:szCs w:val="22"/>
                <w:highlight w:val="white"/>
                <w:shd w:val="clear" w:color="ffffff" w:themeColor="background1" w:fill="ffffff" w:themeFill="background1"/>
              </w:rPr>
              <w:t xml:space="preserve">ки </w:t>
            </w:r>
            <w:r>
              <w:rPr>
                <w:sz w:val="22"/>
                <w:szCs w:val="22"/>
                <w:highlight w:val="white"/>
                <w:shd w:val="clear" w:color="auto" w:fill="ffff00"/>
              </w:rPr>
              <w:t xml:space="preserve">кассационны</w:t>
            </w:r>
            <w:r>
              <w:rPr>
                <w:sz w:val="22"/>
                <w:szCs w:val="22"/>
                <w:highlight w:val="white"/>
                <w:shd w:val="clear" w:color="ffffff" w:themeColor="background1" w:fill="ffffff" w:themeFill="background1"/>
              </w:rPr>
              <w:t xml:space="preserve">х, </w:t>
            </w:r>
            <w:r>
              <w:rPr>
                <w:sz w:val="22"/>
                <w:szCs w:val="22"/>
                <w:highlight w:val="white"/>
                <w:shd w:val="clear" w:color="auto" w:fill="ffff00"/>
              </w:rPr>
              <w:t xml:space="preserve">апелляционных, судов.</w:t>
            </w:r>
            <w:r>
              <w:rPr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shd w:val="clear" w:color="ffffff" w:themeColor="background1" w:fill="ffffff" w:themeFill="background1"/>
              <w:rPr>
                <w:highlight w:val="white"/>
              </w:rPr>
              <w:suppressLineNumbers w:val="0"/>
            </w:pPr>
            <w:r>
              <w:rPr>
                <w:i/>
                <w:iCs/>
                <w:sz w:val="22"/>
                <w:szCs w:val="22"/>
                <w:highlight w:val="white"/>
              </w:rPr>
              <w:t xml:space="preserve">Согласие с требованием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2.1.2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shd w:val="clear" w:color="ffffff" w:fill="ffffff"/>
            <w:tcW w:w="8645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Требования к информационным блокам приведены в Приложении 1 к </w:t>
            </w:r>
            <w:r>
              <w:rPr>
                <w:iCs/>
                <w:sz w:val="22"/>
              </w:rPr>
              <w:t xml:space="preserve">настоящим Техническим требованиям</w:t>
            </w:r>
            <w:r>
              <w:rPr>
                <w:sz w:val="22"/>
              </w:rPr>
              <w:t xml:space="preserve">. Информационные блоки могут содержать друг друга в себе, быть поглощенными более крупными либо существовать независимо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Участник должен пр</w:t>
            </w:r>
            <w:r>
              <w:rPr>
                <w:i/>
                <w:iCs/>
                <w:sz w:val="22"/>
                <w:szCs w:val="22"/>
              </w:rPr>
              <w:t xml:space="preserve">едоставить в составе заявки заполненное Приложение №1 к настоящим Техническим требованиям</w:t>
            </w:r>
            <w:r/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2.1.3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shd w:val="clear" w:color="ffffff" w:fill="ffffff"/>
            <w:tcW w:w="8645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14:ligatures w14:val="non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highlight w:val="white"/>
              </w:rPr>
              <w:t xml:space="preserve">Системы</w:t>
            </w:r>
            <w:r>
              <w:rPr>
                <w:sz w:val="22"/>
                <w:szCs w:val="22"/>
                <w:highlight w:val="white"/>
              </w:rPr>
              <w:t xml:space="preserve"> должны быть совместимы с </w:t>
            </w:r>
            <w:r>
              <w:rPr>
                <w:sz w:val="22"/>
                <w:szCs w:val="22"/>
                <w:highlight w:val="white"/>
              </w:rPr>
              <w:t xml:space="preserve">отечествен</w:t>
            </w:r>
            <w:r>
              <w:rPr>
                <w:sz w:val="22"/>
                <w:szCs w:val="22"/>
                <w:highlight w:val="white"/>
              </w:rPr>
              <w:t xml:space="preserve">ной операционной сис</w:t>
            </w:r>
            <w:r>
              <w:rPr>
                <w:sz w:val="22"/>
                <w:szCs w:val="22"/>
                <w:highlight w:val="white"/>
              </w:rPr>
              <w:t xml:space="preserve">темой</w:t>
            </w:r>
            <w:r>
              <w:rPr>
                <w:sz w:val="22"/>
                <w:szCs w:val="22"/>
                <w:highlight w:val="white"/>
              </w:rPr>
              <w:t xml:space="preserve">, включенной в </w:t>
            </w:r>
            <w:hyperlink r:id="rId10" w:tooltip="https://reestr.digital.gov.ru/" w:history="1">
              <w:r>
                <w:rPr>
                  <w:rStyle w:val="1099"/>
                  <w:sz w:val="22"/>
                  <w:szCs w:val="22"/>
                  <w:highlight w:val="white"/>
                </w:rPr>
                <w:t xml:space="preserve">реестр российского программного обеспечения</w:t>
              </w:r>
            </w:hyperlink>
            <w:r>
              <w:rPr>
                <w:sz w:val="22"/>
                <w:szCs w:val="22"/>
                <w:highlight w:val="white"/>
              </w:rPr>
              <w:t xml:space="preserve">.</w:t>
            </w:r>
            <w:r>
              <w:rPr>
                <w:sz w:val="22"/>
                <w:szCs w:val="22"/>
                <w:highlight w:val="white"/>
                <w14:ligatures w14:val="none"/>
              </w:rPr>
            </w:r>
            <w:r>
              <w:rPr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i/>
                <w:iCs/>
                <w:sz w:val="22"/>
                <w:szCs w:val="22"/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</w:rPr>
            </w:r>
            <w:r>
              <w:rPr>
                <w:i/>
                <w:iCs/>
                <w:sz w:val="22"/>
                <w:szCs w:val="22"/>
                <w:highlight w:val="white"/>
              </w:rPr>
              <w:t xml:space="preserve">Согласие с требованием</w:t>
            </w:r>
            <w:r>
              <w:rPr>
                <w:i/>
                <w:iCs/>
                <w:sz w:val="22"/>
                <w:szCs w:val="22"/>
                <w:highlight w:val="white"/>
              </w:rPr>
            </w:r>
            <w:r>
              <w:rPr>
                <w:i/>
                <w:i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/>
              </w:rPr>
              <w:t xml:space="preserve">–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ffffff" w:fill="ffffff"/>
            <w:tcW w:w="864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Требования к ответственности и гарантиям исполнителя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3.1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/>
              <w:keepLines/>
              <w:spacing w:before="240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Требования к гарантийным обязательствам оказываемых услуг</w:t>
            </w:r>
            <w:r>
              <w:rPr>
                <w:rFonts w:eastAsia="Calibri"/>
                <w:sz w:val="22"/>
                <w:lang w:eastAsia="en-US"/>
              </w:rPr>
            </w: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shd w:val="clear" w:color="ffffff" w:fill="ffffff"/>
            <w:tcW w:w="6803" w:type="dxa"/>
            <w:vMerge w:val="restart"/>
            <w:textDirection w:val="lrTb"/>
            <w:noWrap w:val="false"/>
          </w:tcPr>
          <w:p>
            <w:pPr>
              <w:contextualSpacing/>
              <w:keepLines/>
              <w:spacing w:before="240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Поставщик должен гарантировать достоверность предоставляемой информации и нести ответственность за качество и работоспособность экземпляров </w:t>
            </w:r>
            <w:r>
              <w:rPr>
                <w:color w:val="000000"/>
                <w:sz w:val="22"/>
              </w:rPr>
              <w:t xml:space="preserve">Систем</w:t>
            </w:r>
            <w:r>
              <w:rPr>
                <w:rFonts w:eastAsia="Calibri"/>
                <w:sz w:val="22"/>
                <w:lang w:eastAsia="en-US"/>
              </w:rPr>
            </w:r>
            <w:r>
              <w:rPr>
                <w:rFonts w:eastAsia="Calibri"/>
                <w:sz w:val="22"/>
                <w:lang w:eastAsia="en-US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spacing w:after="120"/>
              <w:rPr>
                <w:b w:val="0"/>
                <w:bCs w:val="0"/>
                <w:i w:val="0"/>
                <w:sz w:val="22"/>
                <w:lang w:val="ru-RU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  <w:lang w:val="ru-RU"/>
              </w:rPr>
              <w:t xml:space="preserve">4</w:t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</w:p>
        </w:tc>
        <w:tc>
          <w:tcPr>
            <w:gridSpan w:val="2"/>
            <w:shd w:val="clear" w:color="ffffff" w:fill="ffffff"/>
            <w:tcW w:w="8645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Прочие (дополнительные) требования к продукции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spacing w:after="120"/>
              <w:rPr>
                <w:b w:val="0"/>
                <w:bCs w:val="0"/>
                <w:i w:val="0"/>
                <w:sz w:val="22"/>
                <w:lang w:val="ru-RU"/>
              </w:rPr>
            </w:pPr>
            <w:r>
              <w:rPr>
                <w:b w:val="0"/>
                <w:bCs w:val="0"/>
                <w:i w:val="0"/>
                <w:sz w:val="22"/>
                <w:lang w:val="ru-RU"/>
              </w:rPr>
              <w:t xml:space="preserve">4.1</w:t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  <w:r>
              <w:rPr>
                <w:b w:val="0"/>
                <w:bCs w:val="0"/>
                <w:i w:val="0"/>
                <w:sz w:val="22"/>
                <w:lang w:val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spacing w:after="120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  <w:t xml:space="preserve">Требования к происхождению поставляемой продукции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W w:w="6803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spacing w:after="120"/>
              <w:rPr>
                <w:sz w:val="22"/>
                <w:szCs w:val="22"/>
                <w:highlight w:val="white"/>
                <w14:ligatures w14:val="none"/>
              </w:rPr>
            </w:pPr>
            <w:r>
              <w:rPr>
                <w:sz w:val="22"/>
                <w:szCs w:val="22"/>
                <w:highlight w:val="white"/>
                <w:lang w:val="ru-RU"/>
              </w:rPr>
            </w:r>
            <w:r>
              <w:rPr>
                <w:sz w:val="22"/>
                <w:szCs w:val="22"/>
                <w:highlight w:val="white"/>
              </w:rPr>
              <w:t xml:space="preserve">Информационно-правовые системы</w:t>
            </w:r>
            <w:r>
              <w:rPr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 xml:space="preserve">должны быть включены в «Единый реестр российских программ для электронных вычислительных машин и баз данных», предусмотренный постановлением Правительства РФ от 16.11.2015 №1236 «</w:t>
            </w:r>
            <w:r>
              <w:rPr>
                <w:sz w:val="22"/>
                <w:szCs w:val="22"/>
                <w:highlight w:val="white"/>
              </w:rPr>
              <w:t xml:space="preserve">Об утверждении Правил формирования и ведения </w:t>
            </w:r>
            <w:r>
              <w:rPr>
                <w:sz w:val="22"/>
                <w:szCs w:val="22"/>
                <w:highlight w:val="white"/>
              </w:rPr>
              <w:t xml:space="preserve">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</w:t>
            </w:r>
            <w:r>
              <w:rPr>
                <w:sz w:val="22"/>
                <w:szCs w:val="22"/>
                <w:highlight w:val="white"/>
              </w:rPr>
              <w:t xml:space="preserve">ации</w:t>
            </w:r>
            <w:r>
              <w:rPr>
                <w:sz w:val="22"/>
                <w:szCs w:val="22"/>
                <w:highlight w:val="white"/>
              </w:rPr>
              <w:t xml:space="preserve">». </w:t>
            </w:r>
            <w:r>
              <w:rPr>
                <w:sz w:val="22"/>
                <w:szCs w:val="22"/>
                <w:highlight w:val="white"/>
                <w14:ligatures w14:val="none"/>
              </w:rPr>
            </w:r>
            <w:r>
              <w:rPr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</w:rPr>
              <w:t xml:space="preserve">Согласие с требованием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  <w:highlight w:val="white"/>
              </w:rPr>
              <w:t xml:space="preserve">Учас</w:t>
            </w:r>
            <w:r>
              <w:rPr>
                <w:i/>
                <w:iCs/>
                <w:sz w:val="22"/>
                <w:szCs w:val="22"/>
                <w:highlight w:val="white"/>
              </w:rPr>
              <w:t xml:space="preserve">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  <w:r/>
          </w:p>
        </w:tc>
        <w:tc>
          <w:tcPr>
            <w:shd w:val="clear" w:color="ffffff" w:fill="ffffff"/>
            <w:tcW w:w="1592" w:type="dxa"/>
            <w:vMerge w:val="restart"/>
            <w:textDirection w:val="lrTb"/>
            <w:noWrap w:val="false"/>
          </w:tcPr>
          <w:p>
            <w:r/>
            <w:r/>
          </w:p>
        </w:tc>
      </w:tr>
    </w:tbl>
    <w:p>
      <w:pPr>
        <w:ind w:left="567"/>
        <w:spacing w:after="120"/>
        <w:rPr>
          <w:b/>
          <w:bCs/>
          <w:sz w:val="28"/>
          <w:szCs w:val="28"/>
        </w:rPr>
      </w:pPr>
      <w:r>
        <w:rPr>
          <w:b/>
          <w:sz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100"/>
        <w:numPr>
          <w:ilvl w:val="2"/>
          <w:numId w:val="2"/>
        </w:numPr>
        <w:contextualSpacing w:val="0"/>
        <w:ind w:left="567" w:hanging="567"/>
        <w:spacing w:after="120"/>
        <w:rPr>
          <w:b/>
          <w:bCs/>
          <w:highlight w:val="white"/>
          <w14:ligatures w14:val="non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  <w:t xml:space="preserve"> В составе заявки необходимо предоставит</w:t>
      </w:r>
      <w:r>
        <w:rPr>
          <w:b/>
          <w:bCs/>
          <w:highlight w:val="white"/>
        </w:rPr>
        <w:t xml:space="preserve">ь</w:t>
      </w:r>
      <w:r>
        <w:rPr>
          <w:b/>
          <w:bCs/>
          <w:highlight w:val="white"/>
          <w:lang w:val="ru-RU"/>
        </w:rPr>
        <w:t xml:space="preserve">:</w:t>
      </w:r>
      <w:r>
        <w:rPr>
          <w:b/>
          <w:bCs/>
          <w:highlight w:val="white"/>
          <w14:ligatures w14:val="none"/>
        </w:rPr>
      </w:r>
      <w:r>
        <w:rPr>
          <w:b/>
          <w:bCs/>
          <w:highlight w:val="white"/>
          <w14:ligatures w14:val="none"/>
        </w:rPr>
      </w:r>
    </w:p>
    <w:p>
      <w:pPr>
        <w:pStyle w:val="1100"/>
        <w:numPr>
          <w:ilvl w:val="0"/>
          <w:numId w:val="16"/>
        </w:numPr>
        <w:contextualSpacing w:val="0"/>
        <w:jc w:val="left"/>
        <w:spacing w:after="120"/>
        <w:rPr>
          <w:b w:val="0"/>
          <w:bCs w:val="0"/>
          <w:highlight w:val="white"/>
          <w14:ligatures w14:val="none"/>
        </w:rPr>
      </w:pPr>
      <w:r>
        <w:rPr>
          <w:b w:val="0"/>
          <w:bCs w:val="0"/>
          <w:szCs w:val="24"/>
          <w:highlight w:val="white"/>
          <w:lang w:val="ru-RU"/>
        </w:rPr>
        <w:t xml:space="preserve">Техническое предложение с з</w:t>
      </w:r>
      <w:r>
        <w:rPr>
          <w:b w:val="0"/>
          <w:bCs w:val="0"/>
          <w:highlight w:val="white"/>
          <w:lang w:val="ru-RU"/>
        </w:rPr>
        <w:t xml:space="preserve">аполненным Приложением №1 к настоящим Техническим требованиям</w:t>
      </w:r>
      <w:r>
        <w:rPr>
          <w:b w:val="0"/>
          <w:bCs w:val="0"/>
          <w:highlight w:val="white"/>
          <w14:ligatures w14:val="none"/>
        </w:rPr>
      </w:r>
      <w:r>
        <w:rPr>
          <w:b w:val="0"/>
          <w:bCs w:val="0"/>
          <w:highlight w:val="white"/>
          <w14:ligatures w14:val="none"/>
        </w:rPr>
      </w:r>
    </w:p>
    <w:p>
      <w:pPr>
        <w:ind w:left="567"/>
        <w:spacing w:after="120"/>
        <w:rPr>
          <w:b/>
          <w:bCs/>
          <w:sz w:val="28"/>
          <w:szCs w:val="28"/>
        </w:rPr>
      </w:pPr>
      <w:r>
        <w:rPr>
          <w:b/>
          <w:sz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100"/>
        <w:numPr>
          <w:ilvl w:val="0"/>
          <w:numId w:val="2"/>
        </w:numPr>
        <w:contextualSpacing w:val="0"/>
        <w:ind w:left="567" w:hanging="567"/>
        <w:jc w:val="center"/>
        <w:spacing w:after="120"/>
        <w:rPr>
          <w:b/>
        </w:rPr>
        <w:sectPr>
          <w:footnotePr/>
          <w:endnotePr/>
          <w:type w:val="nextPage"/>
          <w:pgSz w:w="16838" w:h="11906" w:orient="landscape"/>
          <w:pgMar w:top="1701" w:right="851" w:bottom="850" w:left="851" w:header="709" w:footer="709" w:gutter="0"/>
          <w:cols w:num="1" w:sep="0" w:space="708" w:equalWidth="1"/>
          <w:docGrid w:linePitch="360"/>
        </w:sect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100"/>
        <w:numPr>
          <w:ilvl w:val="0"/>
          <w:numId w:val="2"/>
        </w:numPr>
        <w:contextualSpacing w:val="0"/>
        <w:ind w:left="0" w:firstLine="0"/>
        <w:jc w:val="center"/>
        <w:spacing w:after="120"/>
        <w:rPr>
          <w:b/>
          <w:sz w:val="28"/>
        </w:rPr>
      </w:pPr>
      <w:r>
        <w:rPr>
          <w:b/>
          <w:bCs/>
          <w:iCs/>
          <w:sz w:val="28"/>
        </w:rPr>
        <w:t xml:space="preserve">Требования к документации по ценообразованию </w:t>
      </w:r>
      <w:r>
        <w:rPr>
          <w:b/>
          <w:sz w:val="28"/>
        </w:rPr>
        <w:t xml:space="preserve">на этапе закупки</w:t>
      </w:r>
      <w:r>
        <w:rPr>
          <w:b/>
          <w:bCs/>
          <w:iCs/>
          <w:sz w:val="28"/>
        </w:rPr>
        <w:t xml:space="preserve">.</w:t>
      </w:r>
      <w:r>
        <w:rPr>
          <w:b/>
          <w:sz w:val="28"/>
        </w:rPr>
      </w:r>
      <w:r>
        <w:rPr>
          <w:b/>
          <w:sz w:val="28"/>
        </w:rPr>
      </w:r>
    </w:p>
    <w:p>
      <w:pPr>
        <w:numPr>
          <w:ilvl w:val="1"/>
          <w:numId w:val="3"/>
        </w:numPr>
        <w:ind w:left="0" w:hanging="6"/>
        <w:jc w:val="both"/>
        <w:spacing w:after="120"/>
      </w:pPr>
      <w:r>
        <w:rPr>
          <w:bCs/>
          <w:iCs/>
        </w:rPr>
        <w:t xml:space="preserve">В обоснование стоимости своей заявки Участник предоставляет Коммерческое предложение с указанием стоимости </w:t>
      </w:r>
      <w:r>
        <w:rPr>
          <w:rFonts w:eastAsia="Calibri"/>
        </w:rPr>
        <w:t xml:space="preserve">с НДС / без НДС</w:t>
      </w:r>
      <w:r>
        <w:rPr>
          <w:bCs/>
          <w:iCs/>
        </w:rPr>
        <w:t xml:space="preserve"> по форме </w:t>
      </w:r>
      <w:bookmarkStart w:id="1" w:name="_Hlk88325985"/>
      <w:r>
        <w:rPr>
          <w:bCs/>
          <w:iCs/>
        </w:rPr>
        <w:t xml:space="preserve">(с учетом прилагаемой к ней инструкции по заполнению)</w:t>
      </w:r>
      <w:bookmarkEnd w:id="1"/>
      <w:r>
        <w:rPr>
          <w:bCs/>
          <w:iCs/>
        </w:rPr>
        <w:t xml:space="preserve">, привед</w:t>
      </w:r>
      <w:r>
        <w:rPr>
          <w:bCs/>
          <w:iCs/>
        </w:rPr>
        <w:t xml:space="preserve">енной в Документации о закупке.</w:t>
      </w:r>
      <w:r/>
    </w:p>
    <w:p>
      <w:pPr>
        <w:numPr>
          <w:ilvl w:val="1"/>
          <w:numId w:val="3"/>
        </w:numPr>
        <w:ind w:left="0" w:hanging="6"/>
        <w:jc w:val="both"/>
        <w:spacing w:after="120"/>
      </w:pPr>
      <w:r/>
      <w:bookmarkStart w:id="2" w:name="_Hlk88327292"/>
      <w:r>
        <w:rPr>
          <w:bCs/>
          <w:iCs/>
        </w:rPr>
        <w:t xml:space="preserve">Дополнительные документы по ценообразованию</w:t>
      </w:r>
      <w:bookmarkEnd w:id="2"/>
      <w:r>
        <w:rPr>
          <w:bCs/>
          <w:iCs/>
        </w:rPr>
        <w:t xml:space="preserve"> в состав заявки не включаются.</w:t>
      </w:r>
      <w:r/>
    </w:p>
    <w:p>
      <w:pPr>
        <w:pStyle w:val="1100"/>
        <w:numPr>
          <w:ilvl w:val="0"/>
          <w:numId w:val="2"/>
        </w:numPr>
        <w:contextualSpacing w:val="0"/>
        <w:ind w:left="0" w:firstLine="0"/>
        <w:jc w:val="center"/>
        <w:spacing w:after="120"/>
        <w:rPr>
          <w:b/>
          <w:sz w:val="28"/>
        </w:rPr>
      </w:pPr>
      <w:r>
        <w:rPr>
          <w:b/>
          <w:bCs/>
          <w:sz w:val="28"/>
          <w:szCs w:val="28"/>
        </w:rPr>
        <w:t xml:space="preserve">Требования к документации по ценообразованию на этапе заключения (исполнения) договора.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100"/>
        <w:numPr>
          <w:ilvl w:val="1"/>
          <w:numId w:val="2"/>
        </w:numPr>
        <w:contextualSpacing w:val="0"/>
        <w:ind w:left="0" w:firstLine="0"/>
        <w:spacing w:after="120"/>
        <w:rPr>
          <w:b/>
          <w:sz w:val="28"/>
        </w:rPr>
      </w:pPr>
      <w:r>
        <w:t xml:space="preserve">В  цену </w:t>
      </w:r>
      <w:r>
        <w:rPr>
          <w:lang w:eastAsia="en-US"/>
        </w:rPr>
        <w:t xml:space="preserve">поставки</w:t>
      </w:r>
      <w:r>
        <w:t xml:space="preserve"> включаются все расходы Поставщика, производимые им в процессе поставки, в том числе расходы на доставку, уплату налогов, сборов, иных обязательных платежей</w:t>
      </w:r>
      <w:r>
        <w:rPr>
          <w:bCs/>
          <w:iCs/>
        </w:rPr>
        <w:t xml:space="preserve">.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100"/>
        <w:numPr>
          <w:ilvl w:val="0"/>
          <w:numId w:val="2"/>
        </w:numPr>
        <w:contextualSpacing w:val="0"/>
        <w:ind w:left="567" w:hanging="567"/>
        <w:jc w:val="center"/>
        <w:spacing w:after="120"/>
      </w:pPr>
      <w:r>
        <w:rPr>
          <w:b/>
          <w:sz w:val="28"/>
        </w:rPr>
        <w:t xml:space="preserve">Приложения</w:t>
      </w:r>
      <w:r/>
    </w:p>
    <w:p>
      <w:pPr>
        <w:jc w:val="both"/>
        <w:spacing w:after="120"/>
      </w:pPr>
      <w:r>
        <w:t xml:space="preserve">Приложение №1 Требования к информационным блокам, которые должны входить в экземпляры </w:t>
      </w:r>
      <w:r>
        <w:t xml:space="preserve">Систем</w:t>
      </w:r>
      <w:r/>
    </w:p>
    <w:p>
      <w:pPr>
        <w:ind w:left="1080"/>
        <w:jc w:val="both"/>
        <w:spacing w:after="120"/>
      </w:pPr>
      <w:r/>
      <w:r/>
    </w:p>
    <w:p>
      <w:pPr>
        <w:ind w:left="1080"/>
        <w:jc w:val="both"/>
        <w:spacing w:after="120"/>
      </w:pPr>
      <w:r/>
      <w:r/>
    </w:p>
    <w:p>
      <w:pPr>
        <w:ind w:left="1080"/>
        <w:jc w:val="both"/>
        <w:spacing w:after="120"/>
        <w:sectPr>
          <w:footnotePr/>
          <w:endnotePr/>
          <w:type w:val="nextPage"/>
          <w:pgSz w:w="11906" w:h="16838" w:orient="portrait"/>
          <w:pgMar w:top="850" w:right="850" w:bottom="850" w:left="1701" w:header="709" w:footer="709" w:gutter="0"/>
          <w:cols w:num="1" w:sep="0" w:space="708" w:equalWidth="1"/>
          <w:docGrid w:linePitch="360"/>
        </w:sectPr>
      </w:pPr>
      <w:r/>
      <w:r/>
    </w:p>
    <w:p>
      <w:pPr>
        <w:contextualSpacing/>
        <w:ind w:left="5245"/>
        <w:jc w:val="right"/>
        <w:spacing w:line="17" w:lineRule="atLeast"/>
        <w:rPr>
          <w:rFonts w:eastAsia="Calibri"/>
        </w:rPr>
      </w:pPr>
      <w:r>
        <w:rPr>
          <w:rFonts w:eastAsia="Calibri"/>
          <w:b/>
        </w:rPr>
        <w:t xml:space="preserve">Приложение № 1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left="1080"/>
        <w:jc w:val="right"/>
        <w:spacing w:after="120" w:line="17" w:lineRule="atLeast"/>
      </w:pPr>
      <w:r>
        <w:rPr>
          <w:rFonts w:eastAsia="Calibri"/>
          <w:b/>
        </w:rPr>
        <w:t xml:space="preserve">к Техническим требованиям</w:t>
      </w:r>
      <w:r/>
    </w:p>
    <w:p>
      <w:pPr>
        <w:ind w:left="1080"/>
        <w:jc w:val="right"/>
        <w:spacing w:after="120"/>
        <w:rPr>
          <w:rFonts w:eastAsia="Calibri"/>
          <w:b/>
        </w:rPr>
      </w:pPr>
      <w:r>
        <w:rPr>
          <w:rFonts w:eastAsia="Calibri"/>
          <w:b/>
        </w:rPr>
      </w:r>
      <w:r>
        <w:rPr>
          <w:rFonts w:eastAsia="Calibri"/>
          <w:b/>
        </w:rPr>
      </w:r>
      <w:r>
        <w:rPr>
          <w:rFonts w:eastAsia="Calibri"/>
          <w:b/>
        </w:rPr>
      </w:r>
    </w:p>
    <w:p>
      <w:pPr>
        <w:ind w:left="1080"/>
        <w:jc w:val="center"/>
        <w:spacing w:after="120"/>
        <w:rPr>
          <w:b/>
          <w:bCs/>
          <w14:ligatures w14:val="none"/>
        </w:rPr>
      </w:pPr>
      <w:r>
        <w:rPr>
          <w:b/>
          <w:bCs/>
        </w:rPr>
        <w:t xml:space="preserve">Требования к информационным блокам, которые должны входить в экземпляр</w:t>
      </w:r>
      <w:r>
        <w:rPr>
          <w:b/>
          <w:bCs/>
        </w:rPr>
        <w:t xml:space="preserve">ы </w:t>
      </w:r>
      <w:r>
        <w:rPr>
          <w:b/>
          <w:bCs/>
        </w:rPr>
        <w:t xml:space="preserve">Систем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left="1080"/>
        <w:jc w:val="center"/>
        <w:spacing w:after="120"/>
        <w:rPr>
          <w:rFonts w:eastAsia="Calibri"/>
          <w:b/>
        </w:rPr>
      </w:pPr>
      <w:r>
        <w:rPr>
          <w:rFonts w:eastAsia="Calibri"/>
          <w:b/>
        </w:rPr>
      </w:r>
      <w:r>
        <w:rPr>
          <w:rFonts w:eastAsia="Calibri"/>
          <w:b/>
        </w:rPr>
      </w:r>
      <w:r>
        <w:rPr>
          <w:rFonts w:eastAsia="Calibri"/>
          <w:b/>
        </w:rPr>
      </w:r>
    </w:p>
    <w:tbl>
      <w:tblPr>
        <w:tblStyle w:val="1102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3955"/>
        <w:gridCol w:w="1417"/>
        <w:gridCol w:w="1134"/>
        <w:gridCol w:w="992"/>
        <w:gridCol w:w="1701"/>
        <w:gridCol w:w="1701"/>
        <w:gridCol w:w="2126"/>
        <w:gridCol w:w="1781"/>
      </w:tblGrid>
      <w:tr>
        <w:tblPrEx/>
        <w:trPr>
          <w:trHeight w:val="411"/>
        </w:trPr>
        <w:tc>
          <w:tcPr>
            <w:tcW w:w="5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4"/>
            <w:tcW w:w="74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Требования заказчика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4"/>
            <w:tcW w:w="73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Предложение участника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1378"/>
        </w:trPr>
        <w:tc>
          <w:tcPr>
            <w:tcW w:w="5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5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Содержание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документов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одновременных доступов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Тип доступа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Содержание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Количество документов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Количество одновременных доступов</w:t>
            </w:r>
            <w:r/>
          </w:p>
        </w:tc>
        <w:tc>
          <w:tcPr>
            <w:tcW w:w="17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Тип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Российское законодательство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305000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bCs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bCs/>
                <w:i/>
                <w:color w:val="808080" w:themeColor="background1" w:themeShade="80"/>
                <w:sz w:val="20"/>
                <w:szCs w:val="20"/>
              </w:rPr>
            </w:r>
            <w:r>
              <w:rPr>
                <w:bCs/>
                <w:i/>
                <w:color w:val="808080" w:themeColor="background1" w:themeShade="80"/>
                <w:sz w:val="20"/>
                <w:szCs w:val="2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bCs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доступов</w:t>
            </w:r>
            <w:r>
              <w:rPr>
                <w:bCs/>
                <w:i/>
                <w:color w:val="808080" w:themeColor="background1" w:themeShade="80"/>
                <w:sz w:val="20"/>
                <w:szCs w:val="20"/>
              </w:rPr>
            </w:r>
            <w:r>
              <w:rPr>
                <w:bCs/>
                <w:i/>
                <w:color w:val="808080" w:themeColor="background1" w:themeShade="80"/>
                <w:sz w:val="20"/>
                <w:szCs w:val="2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highlight w:val="green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begin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instrText xml:space="preserve"> DOCVARIABLE ТАБЛТОВАРЫ_НАИМЕНОВАНИЕСПС </w:instrTex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separate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Законодательство Санкт-Петербурга и Ленинградской област</w: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end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и</w:t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199000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>
              <w:rPr>
                <w:lang w:val="en-GB"/>
              </w:rPr>
            </w:r>
            <w:r>
              <w:rPr>
                <w:lang w:val="en-GB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Путеводители для юристов: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договорной работе,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судебной практике (ГК РФ),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корпоративным процедурам,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корпоративным спорам,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трудовым спорам,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госуслугам для юридических лиц,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контрактной системе в </w: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сфере закупок,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highlight w:val="green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спорам в сфере закупок</w:t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316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Подборки и консультации Горячей линии,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35000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highlight w:val="green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Конструктор договоров</w:t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-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согласие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Финансовые и кадровые консультации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110000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Постатейные комментарии и книги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4400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  <w:lang w:val="en-US"/>
              </w:rPr>
              <w:t xml:space="preserve">8.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Путеводители для</w: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 бухгалтерии: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налогам,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кадровым вопросам,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Путеводитель по сделкам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326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  <w:lang w:val="en-US"/>
              </w:rPr>
              <w:t xml:space="preserve">9.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Юридическая пресса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143000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  <w:lang w:val="en-US"/>
              </w:rPr>
              <w:t xml:space="preserve">10.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Законопроекты (базовая версия) 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221000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1.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Бухгалтерская</w: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 пресса и книги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305000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2.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Решения суда по интеллектуальным правам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100000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3.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highlight w:val="green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Дополнительные формы документов</w:t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16000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4.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Разъясняющие письма органов власти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5.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highlight w:val="green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Решения высших судов</w:t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763000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6.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Практика антимонопольной службы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827000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7.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Судебная практика для бухгалтера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120000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8.</w:t>
            </w:r>
            <w:r/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Решения госорганов по спорным ситуациям,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66000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9</w:t>
            </w:r>
            <w:r>
              <w:rPr>
                <w:sz w:val="22"/>
                <w:szCs w:val="22"/>
                <w:lang w:val="en-GB"/>
              </w:rPr>
              <w:t xml:space="preserve">.</w:t>
            </w:r>
            <w:r>
              <w:rPr>
                <w:lang w:val="en-GB"/>
              </w:rPr>
            </w:r>
            <w:r>
              <w:rPr>
                <w:lang w:val="en-GB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begin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instrText xml:space="preserve"> DOCVARIABLE ТАБЛТОВАРЫ_НАИМЕНОВАНИЕСПС </w:instrTex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separate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Изменения в регулировании договоров</w: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end"/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145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US"/>
              </w:rPr>
              <w:t xml:space="preserve">20</w:t>
            </w:r>
            <w:r>
              <w:rPr>
                <w:sz w:val="22"/>
                <w:szCs w:val="22"/>
                <w:lang w:val="en-GB"/>
              </w:rPr>
              <w:t xml:space="preserve">.</w:t>
            </w:r>
            <w:r>
              <w:rPr>
                <w:lang w:val="en-GB"/>
              </w:rPr>
            </w:r>
            <w:r>
              <w:rPr>
                <w:lang w:val="en-GB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highlight w:val="green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Правовые позиции высших судов</w:t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3800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21.</w:t>
            </w:r>
            <w:r>
              <w:rPr>
                <w:lang w:val="en-GB"/>
              </w:rPr>
            </w:r>
            <w:r>
              <w:rPr>
                <w:lang w:val="en-GB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begin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instrText xml:space="preserve"> DOCVARIABLE ТАБЛТОВАРЫ_НАИМЕНОВАНИЕСПС </w:instrTex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separate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Формы с комментариями о рисках по налогам и кадрам</w: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end"/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195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  <w:lang w:val="en-GB"/>
              </w:rPr>
              <w:t xml:space="preserve">2.</w:t>
            </w:r>
            <w:r>
              <w:rPr>
                <w:lang w:val="en-GB"/>
              </w:rPr>
            </w:r>
            <w:r>
              <w:rPr>
                <w:lang w:val="en-GB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begin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instrText xml:space="preserve"> DOCVARIABLE ТАБЛТОВАРЫ_НАИМЕНОВАНИЕСПС </w:instrTex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separate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Перспективы и риски арбитражных споров  </w: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end"/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</w:t>
            </w:r>
            <w:r>
              <w:rPr>
                <w:sz w:val="22"/>
                <w:highlight w:val="white"/>
              </w:rPr>
              <w:t xml:space="preserve">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3050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GB"/>
              </w:rPr>
              <w:t xml:space="preserve">23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highlight w:val="green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begin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instrText xml:space="preserve"> DOCVARIABLE ТАБЛТОВАРЫ_НАИМЕНОВАНИЕСПС </w:instrTex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separate"/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Решения судов общей юрисдикции всех округов </w:t>
            </w: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fldChar w:fldCharType="end"/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  <w14:ligatures w14:val="none"/>
              </w:rPr>
            </w:pPr>
            <w:r>
              <w:rPr>
                <w:sz w:val="22"/>
                <w:highlight w:val="white"/>
              </w:rPr>
              <w:t xml:space="preserve">не</w:t>
            </w:r>
            <w:r>
              <w:rPr>
                <w:sz w:val="22"/>
                <w:szCs w:val="22"/>
                <w:highlight w:val="white"/>
              </w:rPr>
              <w:t xml:space="preserve"> менее </w:t>
            </w:r>
            <w:r>
              <w:rPr>
                <w:sz w:val="22"/>
                <w:szCs w:val="22"/>
                <w:highlight w:val="white"/>
              </w:rPr>
              <w:t xml:space="preserve">5069135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сеть1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24.</w:t>
            </w:r>
            <w:r>
              <w:rPr>
                <w:lang w:val="en-GB"/>
              </w:rPr>
            </w:r>
            <w:r>
              <w:rPr>
                <w:lang w:val="en-GB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highlight w:val="green"/>
              </w:rPr>
            </w:pPr>
            <w:r>
              <w:rPr>
                <w:color w:val="000000"/>
                <w:spacing w:val="-1"/>
                <w:sz w:val="20"/>
                <w:szCs w:val="20"/>
                <w:lang w:eastAsia="en-US"/>
              </w:rPr>
              <w:t xml:space="preserve">Арбитражные суды всех округов</w:t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4740800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сеть1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25.</w:t>
            </w:r>
            <w:r>
              <w:rPr>
                <w:lang w:val="en-GB"/>
              </w:rPr>
            </w:r>
            <w:r>
              <w:rPr>
                <w:lang w:val="en-GB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Все апелляционные суды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4890400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</w:t>
            </w:r>
            <w:r>
              <w:rPr>
                <w:sz w:val="22"/>
              </w:rPr>
              <w:t xml:space="preserve">ее </w:t>
            </w: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сеть1</w: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t xml:space="preserve">26.</w: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W w:w="3955" w:type="dxa"/>
            <w:vMerge w:val="restart"/>
            <w:textDirection w:val="lrTb"/>
            <w:noWrap w:val="false"/>
          </w:tcPr>
          <w:p>
            <w:pPr>
              <w:rPr>
                <w:color w:val="000000"/>
                <w:spacing w:val="-1"/>
                <w:sz w:val="20"/>
                <w:szCs w:val="20"/>
                <w:highlight w:val="white"/>
                <w14:ligatures w14:val="non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Справочник Строителя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</w:r>
            <w:r>
              <w:rPr>
                <w:color w:val="000000"/>
                <w:spacing w:val="-1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sz w:val="22"/>
                <w:szCs w:val="22"/>
                <w:highlight w:val="white"/>
              </w:rPr>
              <w:t xml:space="preserve">93557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50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  <w:r>
              <w:rPr>
                <w:sz w:val="22"/>
                <w:highlight w:val="white"/>
              </w:rPr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сеть</w:t>
            </w:r>
            <w:r>
              <w:rPr>
                <w:color w:val="000000" w:themeColor="text1"/>
                <w:sz w:val="22"/>
                <w:highlight w:val="white"/>
              </w:rPr>
            </w:r>
            <w:r>
              <w:rPr>
                <w:color w:val="000000" w:themeColor="text1"/>
                <w:sz w:val="22"/>
                <w:highlight w:val="white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vMerge w:val="restart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подтверждения: указание типа доступа</w:t>
            </w:r>
            <w:r/>
          </w:p>
        </w:tc>
      </w:tr>
      <w:tr>
        <w:tblPrEx/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27.</w:t>
            </w:r>
            <w:r>
              <w:rPr>
                <w:lang w:val="en-GB"/>
              </w:rPr>
            </w:r>
            <w:r>
              <w:rPr>
                <w:lang w:val="en-GB"/>
              </w:rPr>
            </w:r>
          </w:p>
        </w:tc>
        <w:tc>
          <w:tcPr>
            <w:tcW w:w="3955" w:type="dxa"/>
            <w:textDirection w:val="lrTb"/>
            <w:noWrap w:val="false"/>
          </w:tcPr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fldChar w:fldCharType="begin"/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instrText xml:space="preserve"> DOCVARIABLE ТАБЛТОВАРЫ_НАИМЕНОВАНИЕСПС </w:instrTex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fldChar w:fldCharType="separate"/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Экземпляр Систем 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fldChar w:fldCharType="end"/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на флэш носителе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Система должна содержать следующие </w:t>
            </w:r>
            <w:r>
              <w:rPr>
                <w:sz w:val="20"/>
                <w:szCs w:val="20"/>
                <w:highlight w:val="white"/>
                <w:lang w:eastAsia="en-US"/>
              </w:rPr>
              <w:t xml:space="preserve">Информационные Банки: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  <w:lang w:eastAsia="en-US"/>
              </w:rPr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Российское законодательство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Практика антимонопольной службы,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Решения госорганов по спорным ситуациям,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fldChar w:fldCharType="begin"/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instrText xml:space="preserve"> DOCVARIABLE ТАБЛТОВАРЫ_НАИМЕНОВАНИЕСПС </w:instrTex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fldChar w:fldCharType="separate"/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Законодательство Санкт-Петербурга и Ленинградской област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fldChar w:fldCharType="end"/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и,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Эксперт-приложение (бюджетные организации),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Правовые позиции высших судов,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Решения высших судов,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Суд по интеллектуальным правам,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Все арбитражные суды округов,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Все арбитражные апелляционные суды,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Все кассационные, и апелляционные суды общею юрисдикции,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Супе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рмассив судебной практики: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- Решения арбитражных судов первой инстанции,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-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 областные и приравненные к ним, районные суды общей юрисдикции (все округа), военные суды,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Подборки судебных реш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ений,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Путеводитель по налогам,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Путеводитель по кадровым вопросам,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еводитель по сделкам,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Разъясняющие письма органов власти,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Финансовые и кадровые консультации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Бухгалтерская пресса и книги,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Корреспонденция счетов,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Подборки и консультации Горячей линии,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Путеводитель по договорной работе,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Путеводи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тель по судебной практике (ГК РФ),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утеводитель по корпоративным процедурам,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Путеводитель по корпоративным спорам,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Путеводитель по трудовым спорам,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Путеводитель по госуслугам для юридических лиц,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Путеводитель по контрактной системе в сфере закупок,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Путеводитель по спорам в сфере закупок,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Постатейные комментарии и книги,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Юридическая пресса,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Деловые бумаги,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Законопроекты,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Проекты нормативных правовых актов,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Конструктор договоров,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А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рхив решений ФАС и УФАС,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А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рхив определений арбитражных судов,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color w:val="000000"/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А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рхив решений мировых судей,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А</w:t>
            </w:r>
            <w:r>
              <w:rPr>
                <w:color w:val="000000"/>
                <w:spacing w:val="-1"/>
                <w:sz w:val="20"/>
                <w:szCs w:val="20"/>
                <w:highlight w:val="white"/>
                <w:lang w:eastAsia="en-US"/>
              </w:rPr>
              <w:t xml:space="preserve">рхив документов муниципальных образований субъектов РФ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менее </w:t>
            </w:r>
            <w:r>
              <w:rPr>
                <w:bCs/>
                <w:iCs/>
                <w:color w:val="000000" w:themeColor="text1"/>
                <w:sz w:val="22"/>
                <w:szCs w:val="22"/>
                <w:highlight w:val="white"/>
                <w:lang w:eastAsia="en-US"/>
              </w:rPr>
              <w:t xml:space="preserve">237 500 000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 xml:space="preserve">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992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ФЛЭШ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подтверждения: указание содержания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подтверждения: указание количества документов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212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подтверждения: указание количества одновременных  доступов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W w:w="1781" w:type="dxa"/>
            <w:vAlign w:val="center"/>
            <w:textDirection w:val="lrTb"/>
            <w:noWrap w:val="false"/>
          </w:tcPr>
          <w:p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Способ 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подтверждения: указание типа доступа</w:t>
            </w:r>
            <w:r/>
          </w:p>
        </w:tc>
      </w:tr>
    </w:tbl>
    <w:p>
      <w:pPr>
        <w:ind w:left="1080"/>
        <w:jc w:val="center"/>
        <w:spacing w:after="120"/>
        <w:rPr>
          <w:rFonts w:eastAsia="Calibri"/>
          <w:b/>
        </w:rPr>
      </w:pPr>
      <w:r>
        <w:rPr>
          <w:rFonts w:eastAsia="Calibri"/>
          <w:b/>
        </w:rPr>
      </w:r>
      <w:r>
        <w:rPr>
          <w:rFonts w:eastAsia="Calibri"/>
          <w:b/>
        </w:rPr>
      </w:r>
      <w:r>
        <w:rPr>
          <w:rFonts w:eastAsia="Calibri"/>
          <w:b/>
        </w:rPr>
      </w:r>
    </w:p>
    <w:sectPr>
      <w:footnotePr/>
      <w:endnotePr/>
      <w:type w:val="nextPage"/>
      <w:pgSz w:w="16838" w:h="11906" w:orient="landscape"/>
      <w:pgMar w:top="1701" w:right="851" w:bottom="850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ahoma">
    <w:panose1 w:val="020B0606040504020204"/>
  </w:font>
  <w:font w:name="Segoe UI">
    <w:panose1 w:val="020B050204050402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8</w:t>
    </w:r>
    <w:r>
      <w:fldChar w:fldCharType="end"/>
    </w:r>
    <w:r/>
  </w:p>
  <w:p>
    <w:pPr>
      <w:pStyle w:val="94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eastAsia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 w:ascii="Times New Roman" w:hAnsi="Times New Roman" w:eastAsia="Times New Roman" w:cs="Times New Roman"/>
        <w:b w:val="0"/>
        <w:i w:val="0"/>
        <w:sz w:val="24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40" w:hanging="4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2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decimal"/>
      <w:pStyle w:val="1104"/>
      <w:isLgl w:val="false"/>
      <w:suff w:val="tab"/>
      <w:lvlText w:val="%1."/>
      <w:lvlJc w:val="left"/>
      <w:pPr>
        <w:ind w:left="3479" w:hanging="360"/>
      </w:pPr>
    </w:lvl>
    <w:lvl w:ilvl="1">
      <w:start w:val="1"/>
      <w:numFmt w:val="decimal"/>
      <w:pStyle w:val="1105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1108"/>
      <w:isLgl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2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eastAsia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 w:ascii="Times New Roman" w:hAnsi="Times New Roman" w:eastAsia="Times New Roman" w:cs="Times New Roman"/>
        <w:b w:val="0"/>
        <w:i w:val="0"/>
        <w:sz w:val="24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eastAsia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 w:ascii="Times New Roman" w:hAnsi="Times New Roman" w:eastAsia="Times New Roman" w:cs="Times New Roman"/>
        <w:b w:val="0"/>
        <w:i w:val="0"/>
        <w:sz w:val="24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38" w:hanging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106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106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8">
    <w:name w:val="Table Grid Light"/>
    <w:basedOn w:val="8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Grid Table 1 Light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 - Accent 1"/>
    <w:basedOn w:val="8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 - Accent 1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paragraph" w:styleId="79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92">
    <w:name w:val="Heading 1"/>
    <w:basedOn w:val="791"/>
    <w:next w:val="791"/>
    <w:link w:val="92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93">
    <w:name w:val="Heading 2"/>
    <w:basedOn w:val="791"/>
    <w:next w:val="791"/>
    <w:link w:val="1111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794">
    <w:name w:val="Heading 3"/>
    <w:basedOn w:val="791"/>
    <w:next w:val="791"/>
    <w:link w:val="9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95">
    <w:name w:val="Heading 4"/>
    <w:basedOn w:val="791"/>
    <w:next w:val="791"/>
    <w:link w:val="9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6">
    <w:name w:val="Heading 5"/>
    <w:basedOn w:val="791"/>
    <w:next w:val="791"/>
    <w:link w:val="9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97">
    <w:name w:val="Heading 6"/>
    <w:basedOn w:val="791"/>
    <w:next w:val="791"/>
    <w:link w:val="9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8">
    <w:name w:val="Heading 7"/>
    <w:basedOn w:val="791"/>
    <w:next w:val="791"/>
    <w:link w:val="9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>
    <w:name w:val="Heading 8"/>
    <w:basedOn w:val="791"/>
    <w:next w:val="791"/>
    <w:link w:val="9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0">
    <w:name w:val="Heading 9"/>
    <w:basedOn w:val="791"/>
    <w:next w:val="791"/>
    <w:link w:val="1103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styleId="801" w:default="1">
    <w:name w:val="Default Paragraph Font"/>
    <w:uiPriority w:val="1"/>
    <w:semiHidden/>
    <w:unhideWhenUsed/>
  </w:style>
  <w:style w:type="table" w:styleId="8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3" w:default="1">
    <w:name w:val="No List"/>
    <w:uiPriority w:val="99"/>
    <w:semiHidden/>
    <w:unhideWhenUsed/>
  </w:style>
  <w:style w:type="character" w:styleId="804" w:customStyle="1">
    <w:name w:val="Heading 1 Char"/>
    <w:basedOn w:val="801"/>
    <w:uiPriority w:val="9"/>
    <w:rPr>
      <w:rFonts w:ascii="Arial" w:hAnsi="Arial" w:eastAsia="Arial" w:cs="Arial"/>
      <w:sz w:val="40"/>
      <w:szCs w:val="40"/>
    </w:rPr>
  </w:style>
  <w:style w:type="character" w:styleId="805" w:customStyle="1">
    <w:name w:val="Heading 3 Char"/>
    <w:basedOn w:val="801"/>
    <w:uiPriority w:val="9"/>
    <w:rPr>
      <w:rFonts w:ascii="Arial" w:hAnsi="Arial" w:eastAsia="Arial" w:cs="Arial"/>
      <w:sz w:val="30"/>
      <w:szCs w:val="30"/>
    </w:rPr>
  </w:style>
  <w:style w:type="character" w:styleId="806" w:customStyle="1">
    <w:name w:val="Heading 4 Char"/>
    <w:basedOn w:val="801"/>
    <w:uiPriority w:val="9"/>
    <w:rPr>
      <w:rFonts w:ascii="Arial" w:hAnsi="Arial" w:eastAsia="Arial" w:cs="Arial"/>
      <w:b/>
      <w:bCs/>
      <w:sz w:val="26"/>
      <w:szCs w:val="26"/>
    </w:rPr>
  </w:style>
  <w:style w:type="character" w:styleId="807" w:customStyle="1">
    <w:name w:val="Heading 5 Char"/>
    <w:basedOn w:val="801"/>
    <w:uiPriority w:val="9"/>
    <w:rPr>
      <w:rFonts w:ascii="Arial" w:hAnsi="Arial" w:eastAsia="Arial" w:cs="Arial"/>
      <w:b/>
      <w:bCs/>
      <w:sz w:val="24"/>
      <w:szCs w:val="24"/>
    </w:rPr>
  </w:style>
  <w:style w:type="character" w:styleId="808" w:customStyle="1">
    <w:name w:val="Heading 6 Char"/>
    <w:basedOn w:val="801"/>
    <w:uiPriority w:val="9"/>
    <w:rPr>
      <w:rFonts w:ascii="Arial" w:hAnsi="Arial" w:eastAsia="Arial" w:cs="Arial"/>
      <w:b/>
      <w:bCs/>
      <w:sz w:val="22"/>
      <w:szCs w:val="22"/>
    </w:rPr>
  </w:style>
  <w:style w:type="character" w:styleId="809" w:customStyle="1">
    <w:name w:val="Heading 7 Char"/>
    <w:basedOn w:val="8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0" w:customStyle="1">
    <w:name w:val="Heading 8 Char"/>
    <w:basedOn w:val="801"/>
    <w:uiPriority w:val="9"/>
    <w:rPr>
      <w:rFonts w:ascii="Arial" w:hAnsi="Arial" w:eastAsia="Arial" w:cs="Arial"/>
      <w:i/>
      <w:iCs/>
      <w:sz w:val="22"/>
      <w:szCs w:val="22"/>
    </w:rPr>
  </w:style>
  <w:style w:type="character" w:styleId="811" w:customStyle="1">
    <w:name w:val="Title Char"/>
    <w:basedOn w:val="801"/>
    <w:uiPriority w:val="10"/>
    <w:rPr>
      <w:sz w:val="48"/>
      <w:szCs w:val="48"/>
    </w:rPr>
  </w:style>
  <w:style w:type="character" w:styleId="812" w:customStyle="1">
    <w:name w:val="Subtitle Char"/>
    <w:basedOn w:val="801"/>
    <w:uiPriority w:val="11"/>
    <w:rPr>
      <w:sz w:val="24"/>
      <w:szCs w:val="24"/>
    </w:rPr>
  </w:style>
  <w:style w:type="character" w:styleId="813" w:customStyle="1">
    <w:name w:val="Quote Char"/>
    <w:uiPriority w:val="29"/>
    <w:rPr>
      <w:i/>
    </w:rPr>
  </w:style>
  <w:style w:type="character" w:styleId="814" w:customStyle="1">
    <w:name w:val="Intense Quote Char"/>
    <w:uiPriority w:val="30"/>
    <w:rPr>
      <w:i/>
    </w:rPr>
  </w:style>
  <w:style w:type="character" w:styleId="815" w:customStyle="1">
    <w:name w:val="Header Char"/>
    <w:basedOn w:val="801"/>
    <w:uiPriority w:val="99"/>
  </w:style>
  <w:style w:type="character" w:styleId="816" w:customStyle="1">
    <w:name w:val="Caption Char"/>
    <w:uiPriority w:val="99"/>
  </w:style>
  <w:style w:type="table" w:styleId="817">
    <w:name w:val="Grid Table Light"/>
    <w:basedOn w:val="8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8">
    <w:name w:val="Plain Table 1"/>
    <w:basedOn w:val="8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9">
    <w:name w:val="Plain Table 2"/>
    <w:basedOn w:val="80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0">
    <w:name w:val="Plain Table 3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1">
    <w:name w:val="Plain Table 4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Plain Table 5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3">
    <w:name w:val="Grid Table 1 Light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1 Light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2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4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5">
    <w:name w:val="Grid Table 4 Accent 1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46">
    <w:name w:val="Grid Table 4 Accent 2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47">
    <w:name w:val="Grid Table 4 Accent 3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48">
    <w:name w:val="Grid Table 4 Accent 4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49">
    <w:name w:val="Grid Table 4 Accent 5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50">
    <w:name w:val="Grid Table 4 Accent 6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51">
    <w:name w:val="Grid Table 5 Dark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2">
    <w:name w:val="Grid Table 5 Dark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53">
    <w:name w:val="Grid Table 5 Dark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54">
    <w:name w:val="Grid Table 5 Dark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55">
    <w:name w:val="Grid Table 5 Dark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56">
    <w:name w:val="Grid Table 6 Colorful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7">
    <w:name w:val="Grid Table 6 Colorful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58">
    <w:name w:val="Grid Table 6 Colorful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59">
    <w:name w:val="Grid Table 6 Colorful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60">
    <w:name w:val="Grid Table 6 Colorful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61">
    <w:name w:val="Grid Table 6 Colorful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62">
    <w:name w:val="Grid Table 6 Colorful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63">
    <w:name w:val="Grid Table 7 Colorful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>
    <w:name w:val="Grid Table 7 Colorful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>
    <w:name w:val="Grid Table 7 Colorful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>
    <w:name w:val="Grid Table 7 Colorful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>
    <w:name w:val="Grid Table 7 Colorful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>
    <w:name w:val="Grid Table 7 Colorful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>
    <w:name w:val="Grid Table 7 Colorful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>
    <w:name w:val="List Table 1 Light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Accent 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Accent 2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Accent 3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Accent 4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Accent 5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 Accent 6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8">
    <w:name w:val="List Table 2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79">
    <w:name w:val="List Table 2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80">
    <w:name w:val="List Table 2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81">
    <w:name w:val="List Table 2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82">
    <w:name w:val="List Table 2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83">
    <w:name w:val="List Table 2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84">
    <w:name w:val="List Table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3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5 Dark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>
    <w:name w:val="List Table 5 Dark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>
    <w:name w:val="List Table 5 Dark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>
    <w:name w:val="List Table 5 Dark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>
    <w:name w:val="List Table 5 Dark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>
    <w:name w:val="List Table 5 Dark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>
    <w:name w:val="List Table 5 Dark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>
    <w:name w:val="List Table 6 Colorful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6">
    <w:name w:val="List Table 6 Colorful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07">
    <w:name w:val="List Table 6 Colorful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08">
    <w:name w:val="List Table 6 Colorful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09">
    <w:name w:val="List Table 6 Colorful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10">
    <w:name w:val="List Table 6 Colorful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11">
    <w:name w:val="List Table 6 Colorful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12">
    <w:name w:val="List Table 7 Colorful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>
    <w:name w:val="List Table 7 Colorful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>
    <w:name w:val="List Table 7 Colorful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>
    <w:name w:val="List Table 7 Colorful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>
    <w:name w:val="List Table 7 Colorful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7">
    <w:name w:val="List Table 7 Colorful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8">
    <w:name w:val="List Table 7 Colorful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919" w:customStyle="1">
    <w:name w:val="Footnote Text Char"/>
    <w:uiPriority w:val="99"/>
    <w:rPr>
      <w:sz w:val="18"/>
    </w:rPr>
  </w:style>
  <w:style w:type="character" w:styleId="920" w:customStyle="1">
    <w:name w:val="Endnote Text Char"/>
    <w:uiPriority w:val="99"/>
    <w:rPr>
      <w:sz w:val="20"/>
    </w:rPr>
  </w:style>
  <w:style w:type="character" w:styleId="921" w:customStyle="1">
    <w:name w:val="Heading 1 Char1"/>
    <w:basedOn w:val="801"/>
    <w:link w:val="792"/>
    <w:uiPriority w:val="9"/>
    <w:rPr>
      <w:rFonts w:ascii="Arial" w:hAnsi="Arial" w:eastAsia="Arial" w:cs="Arial"/>
      <w:sz w:val="40"/>
      <w:szCs w:val="40"/>
    </w:rPr>
  </w:style>
  <w:style w:type="character" w:styleId="922" w:customStyle="1">
    <w:name w:val="Heading 2 Char"/>
    <w:basedOn w:val="801"/>
    <w:uiPriority w:val="9"/>
    <w:rPr>
      <w:rFonts w:ascii="Arial" w:hAnsi="Arial" w:eastAsia="Arial" w:cs="Arial"/>
      <w:sz w:val="34"/>
    </w:rPr>
  </w:style>
  <w:style w:type="character" w:styleId="923" w:customStyle="1">
    <w:name w:val="Heading 3 Char1"/>
    <w:basedOn w:val="801"/>
    <w:link w:val="794"/>
    <w:uiPriority w:val="9"/>
    <w:rPr>
      <w:rFonts w:ascii="Arial" w:hAnsi="Arial" w:eastAsia="Arial" w:cs="Arial"/>
      <w:sz w:val="30"/>
      <w:szCs w:val="30"/>
    </w:rPr>
  </w:style>
  <w:style w:type="character" w:styleId="924" w:customStyle="1">
    <w:name w:val="Heading 4 Char1"/>
    <w:basedOn w:val="801"/>
    <w:link w:val="795"/>
    <w:uiPriority w:val="9"/>
    <w:rPr>
      <w:rFonts w:ascii="Arial" w:hAnsi="Arial" w:eastAsia="Arial" w:cs="Arial"/>
      <w:b/>
      <w:bCs/>
      <w:sz w:val="26"/>
      <w:szCs w:val="26"/>
    </w:rPr>
  </w:style>
  <w:style w:type="character" w:styleId="925" w:customStyle="1">
    <w:name w:val="Heading 5 Char1"/>
    <w:basedOn w:val="801"/>
    <w:link w:val="796"/>
    <w:uiPriority w:val="9"/>
    <w:rPr>
      <w:rFonts w:ascii="Arial" w:hAnsi="Arial" w:eastAsia="Arial" w:cs="Arial"/>
      <w:b/>
      <w:bCs/>
      <w:sz w:val="24"/>
      <w:szCs w:val="24"/>
    </w:rPr>
  </w:style>
  <w:style w:type="character" w:styleId="926" w:customStyle="1">
    <w:name w:val="Heading 6 Char1"/>
    <w:basedOn w:val="801"/>
    <w:link w:val="797"/>
    <w:uiPriority w:val="9"/>
    <w:rPr>
      <w:rFonts w:ascii="Arial" w:hAnsi="Arial" w:eastAsia="Arial" w:cs="Arial"/>
      <w:b/>
      <w:bCs/>
      <w:sz w:val="22"/>
      <w:szCs w:val="22"/>
    </w:rPr>
  </w:style>
  <w:style w:type="character" w:styleId="927" w:customStyle="1">
    <w:name w:val="Heading 7 Char1"/>
    <w:basedOn w:val="801"/>
    <w:link w:val="7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28" w:customStyle="1">
    <w:name w:val="Heading 8 Char1"/>
    <w:basedOn w:val="801"/>
    <w:link w:val="799"/>
    <w:uiPriority w:val="9"/>
    <w:rPr>
      <w:rFonts w:ascii="Arial" w:hAnsi="Arial" w:eastAsia="Arial" w:cs="Arial"/>
      <w:i/>
      <w:iCs/>
      <w:sz w:val="22"/>
      <w:szCs w:val="22"/>
    </w:rPr>
  </w:style>
  <w:style w:type="character" w:styleId="929" w:customStyle="1">
    <w:name w:val="Heading 9 Char"/>
    <w:basedOn w:val="801"/>
    <w:uiPriority w:val="9"/>
    <w:rPr>
      <w:rFonts w:ascii="Arial" w:hAnsi="Arial" w:eastAsia="Arial" w:cs="Arial"/>
      <w:i/>
      <w:iCs/>
      <w:sz w:val="21"/>
      <w:szCs w:val="21"/>
    </w:rPr>
  </w:style>
  <w:style w:type="paragraph" w:styleId="930">
    <w:name w:val="No Spacing"/>
    <w:uiPriority w:val="1"/>
    <w:qFormat/>
    <w:pPr>
      <w:spacing w:after="0" w:line="240" w:lineRule="auto"/>
    </w:pPr>
  </w:style>
  <w:style w:type="paragraph" w:styleId="931">
    <w:name w:val="Title"/>
    <w:basedOn w:val="791"/>
    <w:next w:val="791"/>
    <w:link w:val="93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32" w:customStyle="1">
    <w:name w:val="Title Char1"/>
    <w:basedOn w:val="801"/>
    <w:link w:val="931"/>
    <w:uiPriority w:val="10"/>
    <w:rPr>
      <w:sz w:val="48"/>
      <w:szCs w:val="48"/>
    </w:rPr>
  </w:style>
  <w:style w:type="paragraph" w:styleId="933">
    <w:name w:val="Subtitle"/>
    <w:basedOn w:val="791"/>
    <w:next w:val="791"/>
    <w:link w:val="934"/>
    <w:uiPriority w:val="11"/>
    <w:qFormat/>
    <w:pPr>
      <w:spacing w:before="200" w:after="200"/>
    </w:pPr>
  </w:style>
  <w:style w:type="character" w:styleId="934" w:customStyle="1">
    <w:name w:val="Subtitle Char1"/>
    <w:basedOn w:val="801"/>
    <w:link w:val="933"/>
    <w:uiPriority w:val="11"/>
    <w:rPr>
      <w:sz w:val="24"/>
      <w:szCs w:val="24"/>
    </w:rPr>
  </w:style>
  <w:style w:type="paragraph" w:styleId="935">
    <w:name w:val="Quote"/>
    <w:basedOn w:val="791"/>
    <w:next w:val="791"/>
    <w:link w:val="936"/>
    <w:uiPriority w:val="29"/>
    <w:qFormat/>
    <w:pPr>
      <w:ind w:left="720" w:right="720"/>
    </w:pPr>
    <w:rPr>
      <w:i/>
    </w:rPr>
  </w:style>
  <w:style w:type="character" w:styleId="936" w:customStyle="1">
    <w:name w:val="Quote Char1"/>
    <w:link w:val="935"/>
    <w:uiPriority w:val="29"/>
    <w:rPr>
      <w:i/>
    </w:rPr>
  </w:style>
  <w:style w:type="paragraph" w:styleId="937">
    <w:name w:val="Intense Quote"/>
    <w:basedOn w:val="791"/>
    <w:next w:val="791"/>
    <w:link w:val="93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38" w:customStyle="1">
    <w:name w:val="Intense Quote Char1"/>
    <w:link w:val="937"/>
    <w:uiPriority w:val="30"/>
    <w:rPr>
      <w:i/>
    </w:rPr>
  </w:style>
  <w:style w:type="paragraph" w:styleId="939">
    <w:name w:val="Header"/>
    <w:basedOn w:val="791"/>
    <w:link w:val="94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940" w:customStyle="1">
    <w:name w:val="Header Char1"/>
    <w:basedOn w:val="801"/>
    <w:link w:val="939"/>
    <w:uiPriority w:val="99"/>
  </w:style>
  <w:style w:type="paragraph" w:styleId="941">
    <w:name w:val="Footer"/>
    <w:basedOn w:val="791"/>
    <w:link w:val="94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942" w:customStyle="1">
    <w:name w:val="Footer Char"/>
    <w:basedOn w:val="801"/>
    <w:uiPriority w:val="99"/>
  </w:style>
  <w:style w:type="paragraph" w:styleId="943">
    <w:name w:val="Caption"/>
    <w:basedOn w:val="791"/>
    <w:next w:val="791"/>
    <w:link w:val="81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944" w:customStyle="1">
    <w:name w:val="Footer Char1"/>
    <w:link w:val="941"/>
    <w:uiPriority w:val="99"/>
  </w:style>
  <w:style w:type="table" w:styleId="945" w:customStyle="1">
    <w:name w:val="Сетка таблицы светлая1"/>
    <w:basedOn w:val="8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46" w:customStyle="1">
    <w:name w:val="Таблица простая 11"/>
    <w:basedOn w:val="8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7" w:customStyle="1">
    <w:name w:val="Таблица простая 21"/>
    <w:basedOn w:val="80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8" w:customStyle="1">
    <w:name w:val="Таблица простая 3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49" w:customStyle="1">
    <w:name w:val="Таблица простая 4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Таблица простая 5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1" w:customStyle="1">
    <w:name w:val="Таблица-сетка 1 светлая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 w:customStyle="1">
    <w:name w:val="Таблица-сетка 1 светлая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 w:customStyle="1">
    <w:name w:val="Таблица-сетка 1 светлая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 w:customStyle="1">
    <w:name w:val="Таблица-сетка 1 светлая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Таблица-сетка 1 светлая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Таблица-сетка 1 светлая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Таблица-сетка 1 светлая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 w:customStyle="1">
    <w:name w:val="Таблица-сетка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Таблица-сетка 2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Таблица-сетка 2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Таблица-сетка 2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Таблица-сетка 2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Таблица-сетка 2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Таблица-сетка 2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Таблица-сетка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Таблица-сетка 3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Таблица-сетка 3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Таблица-сетка 3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Таблица-сетка 3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Таблица-сетка 3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Таблица-сетка 3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Таблица-сетка 41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73" w:customStyle="1">
    <w:name w:val="Таблица-сетка 4 — акцент 11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974" w:customStyle="1">
    <w:name w:val="Таблица-сетка 4 — акцент 21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75" w:customStyle="1">
    <w:name w:val="Таблица-сетка 4 — акцент 31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76" w:customStyle="1">
    <w:name w:val="Таблица-сетка 4 — акцент 41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77" w:customStyle="1">
    <w:name w:val="Таблица-сетка 4 — акцент 51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978" w:customStyle="1">
    <w:name w:val="Таблица-сетка 4 — акцент 61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79" w:customStyle="1">
    <w:name w:val="Таблица-сетка 5 темная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80" w:customStyle="1">
    <w:name w:val="Grid Table 5 Dark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981" w:customStyle="1">
    <w:name w:val="Таблица-сетка 5 темная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82" w:customStyle="1">
    <w:name w:val="Таблица-сетка 5 темная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83" w:customStyle="1">
    <w:name w:val="Grid Table 5 Dark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84" w:customStyle="1">
    <w:name w:val="Таблица-сетка 5 темная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985" w:customStyle="1">
    <w:name w:val="Таблица-сетка 5 темная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86" w:customStyle="1">
    <w:name w:val="Таблица-сетка 6 цветная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87" w:customStyle="1">
    <w:name w:val="Таблица-сетка 6 цветная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988" w:customStyle="1">
    <w:name w:val="Таблица-сетка 6 цветная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89" w:customStyle="1">
    <w:name w:val="Таблица-сетка 6 цветная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90" w:customStyle="1">
    <w:name w:val="Таблица-сетка 6 цветная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91" w:customStyle="1">
    <w:name w:val="Таблица-сетка 6 цветная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92" w:customStyle="1">
    <w:name w:val="Таблица-сетка 6 цветная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93" w:customStyle="1">
    <w:name w:val="Таблица-сетка 7 цветная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Таблица-сетка 7 цветная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Таблица-сетка 7 цветная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Таблица-сетка 7 цветная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Таблица-сетка 7 цветная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Таблица-сетка 7 цветная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Таблица-сетка 7 цветная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Список-таблица 1 светлая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Список-таблица 1 светлая — акцент 1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Список-таблица 1 светлая — акцент 2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Список-таблица 1 светлая — акцент 3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 w:customStyle="1">
    <w:name w:val="Список-таблица 1 светлая — акцент 4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Список-таблица 1 светлая — акцент 5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Список-таблица 1 светлая — акцент 6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 w:customStyle="1">
    <w:name w:val="Список-таблица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08" w:customStyle="1">
    <w:name w:val="Список-таблица 2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009" w:customStyle="1">
    <w:name w:val="Список-таблица 2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10" w:customStyle="1">
    <w:name w:val="Список-таблица 2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11" w:customStyle="1">
    <w:name w:val="Список-таблица 2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12" w:customStyle="1">
    <w:name w:val="Список-таблица 2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013" w:customStyle="1">
    <w:name w:val="Список-таблица 2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14" w:customStyle="1">
    <w:name w:val="Список-таблица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5" w:customStyle="1">
    <w:name w:val="Список-таблица 3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6" w:customStyle="1">
    <w:name w:val="Список-таблица 3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 w:customStyle="1">
    <w:name w:val="Список-таблица 3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 w:customStyle="1">
    <w:name w:val="Список-таблица 3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Список-таблица 3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Список-таблица 3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Список-таблица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Список-таблица 4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Список-таблица 4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Список-таблица 4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 w:customStyle="1">
    <w:name w:val="Список-таблица 4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Список-таблица 4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 w:customStyle="1">
    <w:name w:val="Список-таблица 4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 w:customStyle="1">
    <w:name w:val="Список-таблица 5 темная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9" w:customStyle="1">
    <w:name w:val="Список-таблица 5 темная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0" w:customStyle="1">
    <w:name w:val="Список-таблица 5 темная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1" w:customStyle="1">
    <w:name w:val="Список-таблица 5 темная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2" w:customStyle="1">
    <w:name w:val="Список-таблица 5 темная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3" w:customStyle="1">
    <w:name w:val="Список-таблица 5 темная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4" w:customStyle="1">
    <w:name w:val="Список-таблица 5 темная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5" w:customStyle="1">
    <w:name w:val="Список-таблица 6 цветная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36" w:customStyle="1">
    <w:name w:val="Список-таблица 6 цветная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037" w:customStyle="1">
    <w:name w:val="Список-таблица 6 цветная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038" w:customStyle="1">
    <w:name w:val="Список-таблица 6 цветная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039" w:customStyle="1">
    <w:name w:val="Список-таблица 6 цветная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040" w:customStyle="1">
    <w:name w:val="Список-таблица 6 цветная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041" w:customStyle="1">
    <w:name w:val="Список-таблица 6 цветная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042" w:customStyle="1">
    <w:name w:val="Список-таблица 7 цветная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3" w:customStyle="1">
    <w:name w:val="Список-таблица 7 цветная — акцент 1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4" w:customStyle="1">
    <w:name w:val="Список-таблица 7 цветная — акцент 2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 w:customStyle="1">
    <w:name w:val="Список-таблица 7 цветная — акцент 3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 w:customStyle="1">
    <w:name w:val="Список-таблица 7 цветная — акцент 4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Список-таблица 7 цветная — акцент 5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Список-таблица 7 цветная — акцент 6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Lined - Accent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0" w:customStyle="1">
    <w:name w:val="Lined - Accent 1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051" w:customStyle="1">
    <w:name w:val="Lined - Accent 2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52" w:customStyle="1">
    <w:name w:val="Lined - Accent 3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53" w:customStyle="1">
    <w:name w:val="Lined - Accent 4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54" w:customStyle="1">
    <w:name w:val="Lined - Accent 5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055" w:customStyle="1">
    <w:name w:val="Lined - Accent 6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56" w:customStyle="1">
    <w:name w:val="Bordered &amp; Lined - Accent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7" w:customStyle="1">
    <w:name w:val="Bordered &amp; Lined - Accent 1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058" w:customStyle="1">
    <w:name w:val="Bordered &amp; Lined - Accent 2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59" w:customStyle="1">
    <w:name w:val="Bordered &amp; Lined - Accent 3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60" w:customStyle="1">
    <w:name w:val="Bordered &amp; Lined - Accent 4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61" w:customStyle="1">
    <w:name w:val="Bordered &amp; Lined - Accent 5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062" w:customStyle="1">
    <w:name w:val="Bordered &amp; Lined - Accent 6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63" w:customStyle="1">
    <w:name w:val="Bordered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64" w:customStyle="1">
    <w:name w:val="Bordered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065" w:customStyle="1">
    <w:name w:val="Bordered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066" w:customStyle="1">
    <w:name w:val="Bordered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067" w:customStyle="1">
    <w:name w:val="Bordered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068" w:customStyle="1">
    <w:name w:val="Bordered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069" w:customStyle="1">
    <w:name w:val="Bordered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070">
    <w:name w:val="footnote text"/>
    <w:basedOn w:val="791"/>
    <w:link w:val="1071"/>
    <w:uiPriority w:val="99"/>
    <w:semiHidden/>
    <w:unhideWhenUsed/>
    <w:pPr>
      <w:spacing w:after="40"/>
    </w:pPr>
    <w:rPr>
      <w:sz w:val="18"/>
    </w:rPr>
  </w:style>
  <w:style w:type="character" w:styleId="1071" w:customStyle="1">
    <w:name w:val="Footnote Text Char1"/>
    <w:link w:val="1070"/>
    <w:uiPriority w:val="99"/>
    <w:rPr>
      <w:sz w:val="18"/>
    </w:rPr>
  </w:style>
  <w:style w:type="character" w:styleId="1072">
    <w:name w:val="footnote reference"/>
    <w:basedOn w:val="801"/>
    <w:uiPriority w:val="99"/>
    <w:unhideWhenUsed/>
    <w:rPr>
      <w:vertAlign w:val="superscript"/>
    </w:rPr>
  </w:style>
  <w:style w:type="paragraph" w:styleId="1073">
    <w:name w:val="endnote text"/>
    <w:basedOn w:val="791"/>
    <w:link w:val="1074"/>
    <w:uiPriority w:val="99"/>
    <w:semiHidden/>
    <w:unhideWhenUsed/>
    <w:rPr>
      <w:sz w:val="20"/>
    </w:rPr>
  </w:style>
  <w:style w:type="character" w:styleId="1074" w:customStyle="1">
    <w:name w:val="Endnote Text Char1"/>
    <w:link w:val="1073"/>
    <w:uiPriority w:val="99"/>
    <w:rPr>
      <w:sz w:val="20"/>
    </w:rPr>
  </w:style>
  <w:style w:type="character" w:styleId="1075">
    <w:name w:val="endnote reference"/>
    <w:basedOn w:val="801"/>
    <w:uiPriority w:val="99"/>
    <w:semiHidden/>
    <w:unhideWhenUsed/>
    <w:rPr>
      <w:vertAlign w:val="superscript"/>
    </w:rPr>
  </w:style>
  <w:style w:type="paragraph" w:styleId="1076">
    <w:name w:val="toc 1"/>
    <w:basedOn w:val="791"/>
    <w:next w:val="791"/>
    <w:uiPriority w:val="39"/>
    <w:unhideWhenUsed/>
    <w:pPr>
      <w:spacing w:after="57"/>
    </w:pPr>
  </w:style>
  <w:style w:type="paragraph" w:styleId="1077">
    <w:name w:val="toc 2"/>
    <w:basedOn w:val="791"/>
    <w:next w:val="791"/>
    <w:uiPriority w:val="39"/>
    <w:unhideWhenUsed/>
    <w:pPr>
      <w:ind w:left="283"/>
      <w:spacing w:after="57"/>
    </w:pPr>
  </w:style>
  <w:style w:type="paragraph" w:styleId="1078">
    <w:name w:val="toc 3"/>
    <w:basedOn w:val="791"/>
    <w:next w:val="791"/>
    <w:uiPriority w:val="39"/>
    <w:unhideWhenUsed/>
    <w:pPr>
      <w:ind w:left="567"/>
      <w:spacing w:after="57"/>
    </w:pPr>
  </w:style>
  <w:style w:type="paragraph" w:styleId="1079">
    <w:name w:val="toc 4"/>
    <w:basedOn w:val="791"/>
    <w:next w:val="791"/>
    <w:uiPriority w:val="39"/>
    <w:unhideWhenUsed/>
    <w:pPr>
      <w:ind w:left="850"/>
      <w:spacing w:after="57"/>
    </w:pPr>
  </w:style>
  <w:style w:type="paragraph" w:styleId="1080">
    <w:name w:val="toc 5"/>
    <w:basedOn w:val="791"/>
    <w:next w:val="791"/>
    <w:uiPriority w:val="39"/>
    <w:unhideWhenUsed/>
    <w:pPr>
      <w:ind w:left="1134"/>
      <w:spacing w:after="57"/>
    </w:pPr>
  </w:style>
  <w:style w:type="paragraph" w:styleId="1081">
    <w:name w:val="toc 6"/>
    <w:basedOn w:val="791"/>
    <w:next w:val="791"/>
    <w:uiPriority w:val="39"/>
    <w:unhideWhenUsed/>
    <w:pPr>
      <w:ind w:left="1417"/>
      <w:spacing w:after="57"/>
    </w:pPr>
  </w:style>
  <w:style w:type="paragraph" w:styleId="1082">
    <w:name w:val="toc 7"/>
    <w:basedOn w:val="791"/>
    <w:next w:val="791"/>
    <w:uiPriority w:val="39"/>
    <w:unhideWhenUsed/>
    <w:pPr>
      <w:ind w:left="1701"/>
      <w:spacing w:after="57"/>
    </w:pPr>
  </w:style>
  <w:style w:type="paragraph" w:styleId="1083">
    <w:name w:val="toc 8"/>
    <w:basedOn w:val="791"/>
    <w:next w:val="791"/>
    <w:uiPriority w:val="39"/>
    <w:unhideWhenUsed/>
    <w:pPr>
      <w:ind w:left="1984"/>
      <w:spacing w:after="57"/>
    </w:pPr>
  </w:style>
  <w:style w:type="paragraph" w:styleId="1084">
    <w:name w:val="toc 9"/>
    <w:basedOn w:val="791"/>
    <w:next w:val="791"/>
    <w:uiPriority w:val="39"/>
    <w:unhideWhenUsed/>
    <w:pPr>
      <w:ind w:left="2268"/>
      <w:spacing w:after="57"/>
    </w:pPr>
  </w:style>
  <w:style w:type="paragraph" w:styleId="1085">
    <w:name w:val="TOC Heading"/>
    <w:uiPriority w:val="39"/>
    <w:unhideWhenUsed/>
  </w:style>
  <w:style w:type="paragraph" w:styleId="1086">
    <w:name w:val="table of figures"/>
    <w:basedOn w:val="791"/>
    <w:next w:val="791"/>
    <w:uiPriority w:val="99"/>
    <w:unhideWhenUsed/>
  </w:style>
  <w:style w:type="character" w:styleId="1087">
    <w:name w:val="annotation reference"/>
    <w:basedOn w:val="801"/>
    <w:uiPriority w:val="99"/>
    <w:unhideWhenUsed/>
    <w:rPr>
      <w:sz w:val="16"/>
      <w:szCs w:val="16"/>
    </w:rPr>
  </w:style>
  <w:style w:type="paragraph" w:styleId="1088">
    <w:name w:val="annotation text"/>
    <w:basedOn w:val="791"/>
    <w:link w:val="1089"/>
    <w:uiPriority w:val="99"/>
    <w:unhideWhenUsed/>
    <w:rPr>
      <w:sz w:val="20"/>
      <w:szCs w:val="20"/>
    </w:rPr>
  </w:style>
  <w:style w:type="character" w:styleId="1089" w:customStyle="1">
    <w:name w:val="Comment Text Char"/>
    <w:basedOn w:val="801"/>
    <w:link w:val="108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90">
    <w:name w:val="Balloon Text"/>
    <w:basedOn w:val="791"/>
    <w:link w:val="109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91" w:customStyle="1">
    <w:name w:val="Balloon Text Char"/>
    <w:basedOn w:val="801"/>
    <w:link w:val="109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1092" w:customStyle="1">
    <w:name w:val="Заголовок №1_"/>
    <w:link w:val="1093"/>
    <w:rPr>
      <w:b/>
      <w:bCs/>
      <w:sz w:val="28"/>
      <w:szCs w:val="28"/>
      <w:shd w:val="clear" w:color="auto" w:fill="ffffff"/>
    </w:rPr>
  </w:style>
  <w:style w:type="paragraph" w:styleId="1093" w:customStyle="1">
    <w:name w:val="Заголовок №1"/>
    <w:basedOn w:val="791"/>
    <w:link w:val="1092"/>
    <w:pPr>
      <w:ind w:hanging="520"/>
      <w:jc w:val="center"/>
      <w:spacing w:after="10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sz w:val="28"/>
      <w:szCs w:val="28"/>
      <w:lang w:eastAsia="en-US"/>
    </w:rPr>
  </w:style>
  <w:style w:type="character" w:styleId="1094" w:customStyle="1">
    <w:name w:val="Заголовок №2_"/>
    <w:link w:val="1096"/>
    <w:rPr>
      <w:b/>
      <w:bCs/>
      <w:sz w:val="23"/>
      <w:szCs w:val="23"/>
      <w:shd w:val="clear" w:color="auto" w:fill="ffffff"/>
    </w:rPr>
  </w:style>
  <w:style w:type="character" w:styleId="1095" w:customStyle="1">
    <w:name w:val="Body Text Char"/>
    <w:link w:val="1097"/>
    <w:rPr>
      <w:sz w:val="23"/>
      <w:szCs w:val="23"/>
      <w:shd w:val="clear" w:color="auto" w:fill="ffffff"/>
    </w:rPr>
  </w:style>
  <w:style w:type="paragraph" w:styleId="1096" w:customStyle="1">
    <w:name w:val="Заголовок №2"/>
    <w:basedOn w:val="791"/>
    <w:link w:val="1094"/>
    <w:pPr>
      <w:ind w:hanging="1300"/>
      <w:jc w:val="both"/>
      <w:spacing w:before="360" w:after="180" w:line="240" w:lineRule="atLeast"/>
      <w:shd w:val="clear" w:color="auto" w:fill="ffffff"/>
      <w:outlineLvl w:val="1"/>
    </w:pPr>
    <w:rPr>
      <w:rFonts w:asciiTheme="minorHAnsi" w:hAnsiTheme="minorHAnsi" w:eastAsiaTheme="minorHAnsi" w:cstheme="minorBidi"/>
      <w:b/>
      <w:bCs/>
      <w:sz w:val="23"/>
      <w:szCs w:val="23"/>
      <w:lang w:eastAsia="en-US"/>
    </w:rPr>
  </w:style>
  <w:style w:type="paragraph" w:styleId="1097">
    <w:name w:val="Body Text"/>
    <w:basedOn w:val="791"/>
    <w:link w:val="1095"/>
    <w:pPr>
      <w:ind w:hanging="1020"/>
      <w:jc w:val="both"/>
      <w:spacing w:before="180" w:after="180" w:line="322" w:lineRule="exact"/>
      <w:shd w:val="clear" w:color="auto" w:fill="ffffff"/>
    </w:pPr>
    <w:rPr>
      <w:rFonts w:asciiTheme="minorHAnsi" w:hAnsiTheme="minorHAnsi" w:eastAsiaTheme="minorHAnsi" w:cstheme="minorBidi"/>
      <w:sz w:val="23"/>
      <w:szCs w:val="23"/>
      <w:lang w:eastAsia="en-US"/>
    </w:rPr>
  </w:style>
  <w:style w:type="character" w:styleId="1098" w:customStyle="1">
    <w:name w:val="Основной текст Знак1"/>
    <w:basedOn w:val="80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99">
    <w:name w:val="Hyperlink"/>
    <w:uiPriority w:val="99"/>
    <w:semiHidden/>
    <w:unhideWhenUsed/>
    <w:rPr>
      <w:color w:val="0000ff"/>
      <w:u w:val="single"/>
    </w:rPr>
  </w:style>
  <w:style w:type="paragraph" w:styleId="1100">
    <w:name w:val="List Paragraph"/>
    <w:basedOn w:val="791"/>
    <w:uiPriority w:val="34"/>
    <w:qFormat/>
    <w:pPr>
      <w:contextualSpacing/>
      <w:ind w:left="720"/>
    </w:pPr>
  </w:style>
  <w:style w:type="paragraph" w:styleId="1101" w:customStyle="1">
    <w:name w:val="Default"/>
    <w:basedOn w:val="791"/>
    <w:rPr>
      <w:rFonts w:eastAsiaTheme="minorHAnsi"/>
      <w:color w:val="000000"/>
    </w:rPr>
  </w:style>
  <w:style w:type="table" w:styleId="1102">
    <w:name w:val="Table Grid"/>
    <w:basedOn w:val="80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03" w:customStyle="1">
    <w:name w:val="Heading 9 Char1"/>
    <w:basedOn w:val="801"/>
    <w:link w:val="800"/>
    <w:uiPriority w:val="9"/>
    <w:semiHidden/>
    <w:rPr>
      <w:rFonts w:ascii="Cambria" w:hAnsi="Cambria" w:eastAsia="Times New Roman" w:cs="Times New Roman"/>
      <w:sz w:val="20"/>
      <w:szCs w:val="20"/>
    </w:rPr>
  </w:style>
  <w:style w:type="paragraph" w:styleId="1104" w:customStyle="1">
    <w:name w:val="Заголовок 1 ДИТ"/>
    <w:basedOn w:val="791"/>
    <w:link w:val="1106"/>
    <w:qFormat/>
    <w:pPr>
      <w:numPr>
        <w:ilvl w:val="0"/>
        <w:numId w:val="1"/>
      </w:numPr>
      <w:jc w:val="center"/>
    </w:pPr>
    <w:rPr>
      <w:b/>
      <w:sz w:val="28"/>
      <w:szCs w:val="28"/>
    </w:rPr>
  </w:style>
  <w:style w:type="paragraph" w:styleId="1105" w:customStyle="1">
    <w:name w:val="Заголовок 2 ДИТ"/>
    <w:basedOn w:val="791"/>
    <w:link w:val="1107"/>
    <w:qFormat/>
    <w:pPr>
      <w:numPr>
        <w:ilvl w:val="1"/>
        <w:numId w:val="1"/>
      </w:numPr>
    </w:pPr>
    <w:rPr>
      <w:b/>
    </w:rPr>
  </w:style>
  <w:style w:type="character" w:styleId="1106" w:customStyle="1">
    <w:name w:val="Заголовок 1 ДИТ Знак"/>
    <w:link w:val="1104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1107" w:customStyle="1">
    <w:name w:val="Заголовок 2 ДИТ Знак"/>
    <w:link w:val="1105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1108" w:customStyle="1">
    <w:name w:val="Заголовок 3 ДИТ"/>
    <w:basedOn w:val="1105"/>
    <w:link w:val="1109"/>
    <w:qFormat/>
    <w:pPr>
      <w:numPr>
        <w:ilvl w:val="2"/>
      </w:numPr>
    </w:pPr>
    <w:rPr>
      <w:b w:val="0"/>
    </w:rPr>
  </w:style>
  <w:style w:type="character" w:styleId="1109" w:customStyle="1">
    <w:name w:val="Заголовок 3 ДИТ Знак"/>
    <w:link w:val="110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10" w:customStyle="1">
    <w:name w:val="Стиль вставки"/>
    <w:uiPriority w:val="1"/>
    <w:qFormat/>
    <w:rPr>
      <w:rFonts w:ascii="Tahoma" w:hAnsi="Tahoma"/>
      <w:color w:val="000000"/>
      <w:sz w:val="20"/>
    </w:rPr>
  </w:style>
  <w:style w:type="character" w:styleId="1111" w:customStyle="1">
    <w:name w:val="Heading 2 Char1"/>
    <w:basedOn w:val="801"/>
    <w:link w:val="793"/>
    <w:uiPriority w:val="9"/>
    <w:semiHidden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ru-RU"/>
    </w:rPr>
  </w:style>
  <w:style w:type="character" w:styleId="1112" w:customStyle="1">
    <w:name w:val="Основной текст (2)_"/>
    <w:basedOn w:val="801"/>
    <w:link w:val="1113"/>
    <w:rPr>
      <w:rFonts w:ascii="Times New Roman" w:hAnsi="Times New Roman" w:eastAsia="Times New Roman" w:cs="Times New Roman"/>
      <w:shd w:val="clear" w:color="auto" w:fill="ffffff"/>
    </w:rPr>
  </w:style>
  <w:style w:type="paragraph" w:styleId="1113" w:customStyle="1">
    <w:name w:val="Основной текст (2)"/>
    <w:basedOn w:val="791"/>
    <w:link w:val="1112"/>
    <w:pPr>
      <w:jc w:val="both"/>
      <w:spacing w:before="300" w:line="274" w:lineRule="exact"/>
      <w:shd w:val="clear" w:color="auto" w:fill="ffffff"/>
      <w:widowControl w:val="off"/>
    </w:pPr>
    <w:rPr>
      <w:sz w:val="22"/>
      <w:szCs w:val="22"/>
      <w:lang w:eastAsia="en-US"/>
    </w:rPr>
  </w:style>
  <w:style w:type="character" w:styleId="1114" w:customStyle="1">
    <w:name w:val="blk"/>
  </w:style>
  <w:style w:type="paragraph" w:styleId="1115" w:customStyle="1">
    <w:name w:val="msolistparagraph"/>
    <w:basedOn w:val="791"/>
    <w:pPr>
      <w:contextualSpacing/>
      <w:ind w:left="720"/>
    </w:pPr>
  </w:style>
  <w:style w:type="paragraph" w:styleId="1116">
    <w:name w:val="annotation subject"/>
    <w:basedOn w:val="1088"/>
    <w:next w:val="1088"/>
    <w:link w:val="1117"/>
    <w:uiPriority w:val="99"/>
    <w:semiHidden/>
    <w:unhideWhenUsed/>
    <w:rPr>
      <w:b/>
      <w:bCs/>
    </w:rPr>
  </w:style>
  <w:style w:type="character" w:styleId="1117" w:customStyle="1">
    <w:name w:val="Comment Subject Char"/>
    <w:basedOn w:val="1089"/>
    <w:link w:val="111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118" w:customStyle="1">
    <w:name w:val="Таблица шапка"/>
    <w:pPr>
      <w:ind w:left="57" w:right="57"/>
      <w:keepNext/>
      <w:spacing w:before="40" w:after="4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Cs w:val="26"/>
      <w:lang w:eastAsia="ru-RU"/>
    </w:rPr>
  </w:style>
  <w:style w:type="paragraph" w:styleId="1119">
    <w:name w:val="Normal (Web)"/>
    <w:basedOn w:val="1078"/>
    <w:uiPriority w:val="99"/>
    <w:unhideWhenUsed/>
    <w:pPr>
      <w:ind w:left="0"/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</w:style>
  <w:style w:type="character" w:styleId="1120" w:customStyle="1">
    <w:name w:val="комментарий"/>
    <w:rPr>
      <w:b/>
      <w:i/>
      <w:shd w:val="clear" w:color="auto" w:fill="ffff99"/>
    </w:rPr>
  </w:style>
  <w:style w:type="paragraph" w:styleId="1121" w:customStyle="1">
    <w:name w:val="Таблица"/>
    <w:qFormat/>
    <w:pPr>
      <w:jc w:val="center"/>
      <w:keepNext/>
      <w:spacing w:before="60" w:after="6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Calibri" w:cs="Times New Roman"/>
      <w:b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reestr.digital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RusHydro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 Андрей</dc:creator>
  <cp:lastModifiedBy>kuzeevanv</cp:lastModifiedBy>
  <cp:revision>17</cp:revision>
  <dcterms:created xsi:type="dcterms:W3CDTF">2024-02-28T13:50:00Z</dcterms:created>
  <dcterms:modified xsi:type="dcterms:W3CDTF">2026-07-29T07:16:54Z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0x010100E86E64457F725B47A95CB13A6CABBE66</vt:lpwstr>
  </property>
  <property fmtid="{D5CDD505-2E9C-101B-9397-08002B2CF9AE}" pid="3" name="_dlc_DocIdItemGuid">
    <vt:lpwstr>6843b005-34af-4d5b-bbe8-d9513e10cefc</vt:lpwstr>
  </property>
</Properties>
</file>