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/>
      </w:pPr>
      <w:r>
        <w:rPr/>
        <w:t>Приложение №1.2 к Техническому заданию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800"/>
        <w:jc w:val="center"/>
        <w:rPr/>
      </w:pPr>
      <w:r>
        <w:rPr>
          <w:b/>
          <w:bCs/>
          <w:sz w:val="32"/>
          <w:szCs w:val="32"/>
        </w:rPr>
        <w:t xml:space="preserve">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 </w:t>
      </w:r>
    </w:p>
    <w:p>
      <w:pPr>
        <w:pStyle w:val="Normal"/>
        <w:spacing w:before="0" w:after="100"/>
        <w:jc w:val="center"/>
        <w:rPr/>
      </w:pPr>
      <w:r>
        <w:rPr>
          <w:b/>
          <w:bCs/>
          <w:sz w:val="36"/>
          <w:szCs w:val="36"/>
        </w:rPr>
        <w:t>ТОМ 01</w:t>
      </w:r>
    </w:p>
    <w:p>
      <w:pPr>
        <w:pStyle w:val="Normal"/>
        <w:spacing w:before="0" w:after="800"/>
        <w:jc w:val="center"/>
        <w:rPr/>
      </w:pPr>
      <w:r>
        <w:rPr>
          <w:b/>
          <w:bCs/>
          <w:sz w:val="30"/>
          <w:szCs w:val="30"/>
        </w:rPr>
        <w:t>ПРОЕКТ ОРГАНИЗАЦИИ РАБОТ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2026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/>
      </w:pPr>
      <w:r>
        <w:rPr/>
        <w:t>1.1 Назначение и область применения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 xml:space="preserve">В томе приведены типовые принципиальные решения по организации производства работ: схема временного размещения сооружений, оборудования и материалов, схема организации дорожного движения на период производства работ, технологические карты на основные виды работ, типовой календарный график, расчёт временных инвентарных зданий и сооружений, охранные зоны воздушных линий и сезонные ограничения. </w:t>
      </w:r>
    </w:p>
    <w:p>
      <w:pPr>
        <w:pStyle w:val="Heading1"/>
        <w:rPr/>
      </w:pPr>
      <w:r>
        <w:rPr/>
        <w:t>1.2 Состав основных видов работ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360" w:before="0" w:after="80"/>
        <w:ind w:hanging="0" w:start="0" w:end="0"/>
        <w:jc w:val="both"/>
        <w:rPr/>
      </w:pPr>
      <w:r>
        <w:rPr/>
        <w:t xml:space="preserve">        </w:t>
      </w:r>
      <w:r>
        <w:rPr/>
        <w:t>Монтажные и пуско-наладочные работы: организация электроснабжения,  пуско-наладочные работы, приёмочные и аттестационные испытания.</w:t>
      </w:r>
    </w:p>
    <w:p>
      <w:pPr>
        <w:pStyle w:val="Heading1"/>
        <w:rPr>
          <w:highlight w:val="green"/>
        </w:rPr>
      </w:pPr>
      <w:r>
        <w:rPr/>
        <w:t>1.3 Схема временного размещения сооружений, оборудования и материалов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Схема временного размещения сооружений, оборудования и материалов определяет принципиальное размещение временных зданий и сооружений, путей подъезда строительной техники, площадок складирования материалов и зон производства основных работ в границах полосы отвода автомобильной дороги вблизи ОТИ.</w:t>
      </w:r>
    </w:p>
    <w:p>
      <w:pPr>
        <w:pStyle w:val="Normal"/>
        <w:spacing w:before="200" w:after="80"/>
        <w:jc w:val="center"/>
        <w:rPr/>
      </w:pPr>
      <w:r>
        <w:rPr/>
        <w:drawing>
          <wp:inline distT="0" distB="0" distL="0" distR="0">
            <wp:extent cx="5715000" cy="2524125"/>
            <wp:effectExtent l="0" t="0" r="0" b="0"/>
            <wp:docPr id="1" name="fig_10_strgen.png" descr="Принципиальная схема. Рисунок 10.1 — Типовой стройгенплан производства работ на ОТИ" title="Принципиальная схема. Рисунок 10.1 — Типовой стройгенплан производства работ на О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_10_strgen.png" descr="Принципиальная схема. Рисунок 10.1 — Типовой стройгенплан производства работ на ОТИ" title="Принципиальная схема. Рисунок 10.1 — Типовой стройгенплан производства работ на ОТИ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60" w:after="200"/>
        <w:jc w:val="center"/>
        <w:rPr/>
      </w:pPr>
      <w:r>
        <w:rPr>
          <w:i/>
          <w:iCs/>
          <w:sz w:val="22"/>
          <w:szCs w:val="22"/>
        </w:rPr>
        <w:t>Принципиальная схема. Рисунок 10.1</w:t>
      </w:r>
    </w:p>
    <w:p>
      <w:pPr>
        <w:pStyle w:val="Heading1"/>
        <w:rPr/>
      </w:pPr>
      <w:r>
        <w:rPr/>
        <w:t>1.4 Схема организации дорожного движения на период производства работ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Схема организации дорожного движения (ОДД) на период производства работ разрабатывается с учётом необходимости сохранения движения транспорта по автомобильной дороге. Принимаемые типовые решения: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реверсивное (поочерёдное) движение по одной полосе с регулированием движения временными светофорами или регулировщиками;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временные дорожные знаки в соответствии с ГОСТ Р 52289-2019;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временные барьерные заграждения зоны производства работ;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временное освещение зоны производства работ в тёмное время суток;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для краткосрочных подвижных работ при потоке транспорта со скоростями не менее 60 км/ч — применение автомобиля прикрытия в соответствии с ГОСТ Р 58350-2019.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Схема ОДД согласовывается с балансодержателем автомобильной дороги и подразделениями ГИБДД УМВД России по ХМАО-Югре.</w:t>
      </w:r>
    </w:p>
    <w:p>
      <w:pPr>
        <w:pStyle w:val="Normal"/>
        <w:spacing w:before="200" w:after="80"/>
        <w:jc w:val="center"/>
        <w:rPr/>
      </w:pPr>
      <w:r>
        <w:rPr/>
        <w:drawing>
          <wp:inline distT="0" distB="0" distL="0" distR="0">
            <wp:extent cx="5715000" cy="2990850"/>
            <wp:effectExtent l="0" t="0" r="0" b="0"/>
            <wp:docPr id="2" name="fig_10_odd.png" descr="Принципиальная схема. Рисунок 10.2 — Схема ОДД на период производства работ" title="Принципиальная схема. Рисунок 10.2 — Схема ОДД на период производства раб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10_odd.png" descr="Принципиальная схема. Рисунок 10.2 — Схема ОДД на период производства работ" title="Принципиальная схема. Рисунок 10.2 — Схема ОДД на период производства работ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60" w:after="200"/>
        <w:jc w:val="center"/>
        <w:rPr/>
      </w:pPr>
      <w:r>
        <w:rPr>
          <w:i/>
          <w:iCs/>
          <w:sz w:val="22"/>
          <w:szCs w:val="22"/>
        </w:rPr>
        <w:t>Принципиальная схема. Рисунок 10.2 — Схема ОДД на период производства работ</w:t>
      </w:r>
    </w:p>
    <w:p>
      <w:pPr>
        <w:pStyle w:val="Heading1"/>
        <w:rPr/>
      </w:pPr>
      <w:r>
        <w:rPr/>
        <w:t>1.5 Технологические карты на основные виды работ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В составе ПОР предусматриваются технологические карты на следующие основные виды работ:</w:t>
      </w:r>
    </w:p>
    <w:tbl>
      <w:tblPr>
        <w:tblStyle w:val="653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8"/>
        <w:gridCol w:w="8702"/>
      </w:tblGrid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№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Технологическая карта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Применение автокрана для погрузо-разгрузочных работ и установки модульных блоков и оборудования (с учётом охранных зон ВЛ).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Применение автовышки для монтажа технических средств охраны, оповещателей и кабельных трасс на опорах и ригелях моста.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Прокладка кабельных линий в траншее с устройством защитной плитки и сигнальной ленты.</w:t>
            </w:r>
          </w:p>
        </w:tc>
      </w:tr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8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Прокладка кабельных линий по мостовому сооружению в защитных трубах на кабельных полках.</w:t>
            </w:r>
          </w:p>
        </w:tc>
      </w:tr>
    </w:tbl>
    <w:p>
      <w:pPr>
        <w:pStyle w:val="Heading1"/>
        <w:rPr/>
      </w:pPr>
      <w:r>
        <w:rPr/>
        <w:t>1.6 Типовой календарный график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Производство работ планируется с учётом климатических условий ХМАО-Югры — короткого летне-осеннего сезона (ориентировочно июнь–октябрь) для земляных работ, установки опор и прокладки подземных кабелей, и необходимости выполнения основной части электромонтажных и пуско-наладочных работ до устойчивых отрицательных температур (ноябрь). Полный цикл выполнения работ — в рамках срока, установленного договором.</w:t>
      </w:r>
    </w:p>
    <w:p>
      <w:pPr>
        <w:pStyle w:val="Heading1"/>
        <w:rPr/>
      </w:pPr>
      <w:r>
        <w:rPr/>
        <w:t>1.7 Временные инвентарные здания и сооружения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Расчёт временных инвентарных зданий и сооружений выполняется по МДС 12-46.2008. Состав: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гардеробная;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умывальник;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сушилка для рабочей одежды;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помещение для обогрева рабочих;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помещение прорабской;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утеплённая туалетная кабина;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пожарный щит.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Конкретный набор и численность определяются в зависимости от количества рабочих в смене и продолжительности этапа работ.</w:t>
      </w:r>
    </w:p>
    <w:p>
      <w:pPr>
        <w:pStyle w:val="Heading1"/>
        <w:rPr/>
      </w:pPr>
      <w:r>
        <w:rPr/>
        <w:t>1.8 Охранные зоны воздушных линий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При работе автокранов и автовышек в зоне действия существующих воздушных линий электропередачи соблюдаются минимальные допустимые расстояния от подъёмных механизмов до токоведущих частей в соответствии с ПУЭ. Перед началом работ выполняется получение допусков и инструктаж персонала.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 xml:space="preserve">Принципиальная таблица минимальных расстояний приведена в качестве справочной информации; </w:t>
      </w:r>
      <w:bookmarkStart w:id="0" w:name="_GoBack"/>
      <w:bookmarkEnd w:id="0"/>
    </w:p>
    <w:tbl>
      <w:tblPr>
        <w:tblStyle w:val="653"/>
        <w:tblW w:w="9500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4500"/>
        <w:gridCol w:w="5000"/>
      </w:tblGrid>
      <w:tr>
        <w:trPr/>
        <w:tc>
          <w:tcPr>
            <w:tcW w:w="4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Класс напряжения существующей ВЛ, кВ</w:t>
            </w:r>
          </w:p>
        </w:tc>
        <w:tc>
          <w:tcPr>
            <w:tcW w:w="5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Минимальное расстояние, м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до 1</w:t>
            </w:r>
          </w:p>
        </w:tc>
        <w:tc>
          <w:tcPr>
            <w:tcW w:w="5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1,5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от 1 до 20</w:t>
            </w:r>
          </w:p>
        </w:tc>
        <w:tc>
          <w:tcPr>
            <w:tcW w:w="5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2,0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от 35 до 110</w:t>
            </w:r>
          </w:p>
        </w:tc>
        <w:tc>
          <w:tcPr>
            <w:tcW w:w="5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4,0</w:t>
            </w:r>
          </w:p>
        </w:tc>
      </w:tr>
    </w:tbl>
    <w:p>
      <w:pPr>
        <w:pStyle w:val="Heading1"/>
        <w:rPr/>
      </w:pPr>
      <w:r>
        <w:rPr/>
        <w:t>1.9 Сезонность работ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При планировании работ учитываются: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короткий летне-осенний сезон (ориентировочно июнь–октябрь) для земляных работ, работ по установке опор и прокладке подземных кабелей;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ограниченные возможности транспорта и подвоза материалов в межсезонье (распутица);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необходимость выполнения основной части электромонтажных и пуско-наладочных работ до устойчивых отрицательных температур (ноябрь);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необходимость организации временного обеспечения мобильной связи, бытовых помещений и медицинского обслуживания работников.</w:t>
      </w:r>
    </w:p>
    <w:p>
      <w:pPr>
        <w:pStyle w:val="Heading1"/>
        <w:rPr/>
      </w:pPr>
      <w:r>
        <w:rPr/>
        <w:t>1.10 Охрана труда, пожарной и экологической безопасности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При производстве работ обеспечивается: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организация охраны труда, пожарной и экологической безопасности на строительной площадке;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ведение журнала производства работ, актирование скрытых работ с участием представителя заказчика, фотофиксация скрытых работ;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страхование работ и ответственности в соответствии с требованиями действующего законодательства.</w:t>
      </w:r>
    </w:p>
    <w:p>
      <w:pPr>
        <w:pStyle w:val="Heading1"/>
        <w:spacing w:before="360" w:after="200"/>
        <w:rPr/>
      </w:pPr>
      <w:r>
        <w:rPr/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700" w:right="850" w:gutter="0" w:header="708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sz w:val="20"/>
        <w:szCs w:val="20"/>
      </w:rPr>
      <w:t xml:space="preserve">Лист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5</w:t>
    </w:r>
    <w:r>
      <w:rPr>
        <w:sz w:val="20"/>
        <w:szCs w:val="2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sz w:val="20"/>
        <w:szCs w:val="20"/>
      </w:rPr>
      <w:t xml:space="preserve">Лист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5</w:t>
    </w:r>
    <w:r>
      <w:rPr>
        <w:sz w:val="20"/>
        <w:szCs w:val="2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color w:val="555555"/>
        <w:sz w:val="18"/>
        <w:szCs w:val="18"/>
      </w:rPr>
    </w:pPr>
    <w:r>
      <w:rPr>
        <w:i/>
        <w:iCs/>
        <w:color w:val="555555"/>
        <w:sz w:val="18"/>
        <w:szCs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color w:val="555555"/>
        <w:sz w:val="18"/>
        <w:szCs w:val="18"/>
      </w:rPr>
    </w:pPr>
    <w:r>
      <w:rPr>
        <w:i/>
        <w:iCs/>
        <w:color w:val="555555"/>
        <w:sz w:val="18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isLgl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uiPriority w:val="0"/>
    <w:qFormat/>
    <w:pPr>
      <w:widowControl/>
      <w:suppressAutoHyphens w:val="true"/>
      <w:bidi w:val="0"/>
      <w:spacing w:lineRule="auto" w:line="360" w:before="360" w:after="200"/>
      <w:jc w:val="start"/>
      <w:outlineLvl w:val="0"/>
    </w:pPr>
    <w:rPr>
      <w:rFonts w:ascii="Times New Roman" w:hAnsi="Times New Roman" w:eastAsia="Times New Roman" w:cs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Heading2">
    <w:name w:val="heading 2"/>
    <w:uiPriority w:val="0"/>
    <w:qFormat/>
    <w:pPr>
      <w:widowControl/>
      <w:suppressAutoHyphens w:val="true"/>
      <w:bidi w:val="0"/>
      <w:spacing w:lineRule="auto" w:line="360" w:before="240" w:after="160"/>
      <w:jc w:val="start"/>
      <w:outlineLvl w:val="1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Heading3">
    <w:name w:val="heading 3"/>
    <w:uiPriority w:val="0"/>
    <w:qFormat/>
    <w:pPr>
      <w:widowControl/>
      <w:suppressAutoHyphens w:val="true"/>
      <w:bidi w:val="0"/>
      <w:spacing w:lineRule="auto" w:line="360" w:before="200" w:after="140"/>
      <w:jc w:val="start"/>
      <w:outlineLvl w:val="2"/>
    </w:pPr>
    <w:rPr>
      <w:rFonts w:ascii="Times New Roman" w:hAnsi="Times New Roman" w:eastAsia="Times New Roman" w:cs="Times New Roman"/>
      <w:b/>
      <w:bCs/>
      <w:color w:val="auto"/>
      <w:kern w:val="0"/>
      <w:sz w:val="26"/>
      <w:szCs w:val="26"/>
      <w:lang w:val="ru-RU" w:eastAsia="ru-RU" w:bidi="ar-SA"/>
    </w:rPr>
  </w:style>
  <w:style w:type="paragraph" w:styleId="Heading4">
    <w:name w:val="heading 4"/>
    <w:uiPriority w:val="0"/>
    <w:qFormat/>
    <w:pPr>
      <w:widowControl/>
      <w:suppressAutoHyphens w:val="true"/>
      <w:bidi w:val="0"/>
      <w:spacing w:before="0" w:after="0"/>
      <w:jc w:val="start"/>
      <w:outlineLvl w:val="3"/>
    </w:pPr>
    <w:rPr>
      <w:rFonts w:ascii="Times New Roman" w:hAnsi="Times New Roman" w:eastAsia="Times New Roman" w:cs="Times New Roman"/>
      <w:i/>
      <w:iCs/>
      <w:color w:val="2E74B5"/>
      <w:kern w:val="0"/>
      <w:sz w:val="24"/>
      <w:szCs w:val="24"/>
      <w:lang w:val="ru-RU" w:eastAsia="ru-RU" w:bidi="ar-SA"/>
    </w:rPr>
  </w:style>
  <w:style w:type="paragraph" w:styleId="Heading5">
    <w:name w:val="heading 5"/>
    <w:uiPriority w:val="0"/>
    <w:qFormat/>
    <w:pPr>
      <w:widowControl/>
      <w:suppressAutoHyphens w:val="true"/>
      <w:bidi w:val="0"/>
      <w:spacing w:before="0" w:after="0"/>
      <w:jc w:val="start"/>
      <w:outlineLvl w:val="4"/>
    </w:pPr>
    <w:rPr>
      <w:rFonts w:ascii="Times New Roman" w:hAnsi="Times New Roman" w:eastAsia="Times New Roman" w:cs="Times New Roman"/>
      <w:color w:val="2E74B5"/>
      <w:kern w:val="0"/>
      <w:sz w:val="24"/>
      <w:szCs w:val="24"/>
      <w:lang w:val="ru-RU" w:eastAsia="ru-RU" w:bidi="ar-SA"/>
    </w:rPr>
  </w:style>
  <w:style w:type="paragraph" w:styleId="Heading6">
    <w:name w:val="heading 6"/>
    <w:uiPriority w:val="0"/>
    <w:qFormat/>
    <w:pPr>
      <w:widowControl/>
      <w:suppressAutoHyphens w:val="true"/>
      <w:bidi w:val="0"/>
      <w:spacing w:before="0" w:after="0"/>
      <w:jc w:val="start"/>
      <w:outlineLvl w:val="5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ru-RU" w:eastAsia="ru-RU" w:bidi="ar-S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user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6">
    <w:name w:val="Символ сноски"/>
    <w:uiPriority w:val="99"/>
    <w:semiHidden/>
    <w:unhideWhenUsed/>
    <w:qFormat/>
    <w:rPr>
      <w:vertAlign w:val="superscript"/>
    </w:rPr>
  </w:style>
  <w:style w:type="character" w:styleId="user1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Style7" w:customStyle="1">
    <w:name w:val="Текст сноски Знак"/>
    <w:uiPriority w:val="99"/>
    <w:semiHidden/>
    <w:unhideWhenUsed/>
    <w:qFormat/>
    <w:rPr>
      <w:sz w:val="20"/>
      <w:szCs w:val="20"/>
    </w:rPr>
  </w:style>
  <w:style w:type="character" w:styleId="Style8" w:customStyle="1">
    <w:name w:val="Текст концевой сноски Знак"/>
    <w:uiPriority w:val="99"/>
    <w:semiHidden/>
    <w:unhideWhenUsed/>
    <w:qFormat/>
    <w:rPr>
      <w:sz w:val="20"/>
      <w:szCs w:val="20"/>
    </w:rPr>
  </w:style>
  <w:style w:type="character" w:styleId="Style9" w:customStyle="1">
    <w:name w:val="Верхний колонтитул Знак"/>
    <w:basedOn w:val="DefaultParagraphFont"/>
    <w:uiPriority w:val="99"/>
    <w:qFormat/>
    <w:rPr/>
  </w:style>
  <w:style w:type="character" w:styleId="Style10" w:customStyle="1">
    <w:name w:val="Нижний колонтитул Знак"/>
    <w:basedOn w:val="DefaultParagraphFont"/>
    <w:uiPriority w:val="99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2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ahoma" w:cs="Noto Sans"/>
      <w:color w:val="auto"/>
      <w:kern w:val="0"/>
      <w:sz w:val="20"/>
      <w:szCs w:val="20"/>
      <w:lang w:val="ru-RU" w:eastAsia="zh-C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start="720" w:end="720"/>
    </w:pPr>
    <w:rPr>
      <w:i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start="0" w:end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start="283" w:end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start="567" w:end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start="850" w:end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start="1134" w:end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start="1417" w:end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start="1701" w:end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start="1984" w:end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start="2268" w:end="0"/>
    </w:pPr>
    <w:rPr/>
  </w:style>
  <w:style w:type="paragraph" w:styleId="IndexHeading">
    <w:name w:val="index heading"/>
    <w:basedOn w:val="Style11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ahoma" w:cs="Noto Sans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EndnoteText">
    <w:name w:val="endnote text"/>
    <w:link w:val="Style8"/>
    <w:uiPriority w:val="99"/>
    <w:semiHidden/>
    <w:unhideWhenUsed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3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Footer">
    <w:name w:val="footer"/>
    <w:basedOn w:val="Normal"/>
    <w:link w:val="Style10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link w:val="Style7"/>
    <w:uiPriority w:val="99"/>
    <w:semiHidden/>
    <w:unhideWhenUsed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9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itle">
    <w:name w:val="Title"/>
    <w:uiPriority w:val="0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56"/>
      <w:szCs w:val="56"/>
      <w:lang w:val="ru-RU" w:eastAsia="ru-RU" w:bidi="ar-SA"/>
    </w:rPr>
  </w:style>
  <w:style w:type="paragraph" w:styleId="1" w:customStyle="1">
    <w:name w:val="Строгий1"/>
    <w:uiPriority w:val="0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uiPriority w:val="0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Style14" w:default="1">
    <w:name w:val="Без списка"/>
    <w:uiPriority w:val="99"/>
    <w:semiHidden/>
    <w:unhideWhenUsed/>
    <w:qFormat/>
  </w:style>
  <w:style w:type="table" w:styleId="48">
    <w:name w:val="Table Grid"/>
    <w:basedOn w:val="65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9">
    <w:name w:val="Table Grid Light"/>
    <w:basedOn w:val="65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0">
    <w:name w:val="Plain Table 1"/>
    <w:basedOn w:val="65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1">
    <w:name w:val="Plain Table 2"/>
    <w:basedOn w:val="65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2">
    <w:name w:val="Plain Table 3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3">
    <w:name w:val="Plain Table 4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4">
    <w:name w:val="Plain Table 5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6">
    <w:name w:val="Grid Table 1 Light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7">
    <w:name w:val="Grid Table 1 Light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6" w:themeFill="accent1" w:themeFillTint="32"/>
      </w:tcPr>
    </w:tblStylePr>
    <w:tblStylePr w:type="band1Vert">
      <w:rPr>
        <w:sz w:val="22"/>
      </w:rPr>
      <w:tblPr/>
      <w:tcPr>
        <w:shd w:val="clear" w:color="FFFFFF" w:fill="DFEBF6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7A4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8">
    <w:name w:val="Grid Table 4 - Accent 2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9">
    <w:name w:val="Grid Table 4 - Accent 3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0">
    <w:name w:val="Grid Table 4 - Accent 4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1">
    <w:name w:val="Grid Table 4 - Accent 5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4">
    <w:name w:val="Grid Table 5 Dark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1" w:themeFillTint="75"/>
      </w:tcPr>
    </w:tblStylePr>
    <w:tblStylePr w:type="band1Vert">
      <w:tblPr/>
      <w:tcPr>
        <w:shd w:val="clear" w:color="FFFFFF" w:fill="B4D2EB" w:themeFill="accent1" w:themeFillTint="75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</w:style>
  <w:style w:type="table" w:styleId="85">
    <w:name w:val="Grid Table 5 Dark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86">
    <w:name w:val="Grid Table 5 Dark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87">
    <w:name w:val="Grid Table 5 Dark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88">
    <w:name w:val="Grid Table 5 Dark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5" w:themeFillTint="75"/>
      </w:tcPr>
    </w:tblStylePr>
    <w:tblStylePr w:type="band1Vert">
      <w:tblPr/>
      <w:tcPr>
        <w:shd w:val="clear" w:color="FFFFFF" w:fill="AABFE3" w:themeFill="accent5" w:themeFillTint="7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</w:style>
  <w:style w:type="table" w:styleId="89">
    <w:name w:val="Grid Table 5 Dark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90">
    <w:name w:val="Grid Table 6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91">
    <w:name w:val="Grid Table 6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17bba" w:themeColor="accent1" w:themeTint="80" w:themeShade="95"/>
      </w:rPr>
      <w:tblPr/>
    </w:tblStylePr>
    <w:tblStylePr w:type="firstRow">
      <w:rPr>
        <w:b/>
        <w:color w:val="317bba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  <w:tblPr/>
    </w:tblStylePr>
    <w:tblStylePr w:type="lastRow">
      <w:rPr>
        <w:b/>
        <w:color w:val="317bba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92">
    <w:name w:val="Grid Table 6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93">
    <w:name w:val="Grid Table 6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94">
    <w:name w:val="Grid Table 6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95">
    <w:name w:val="Grid Table 6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6">
    <w:name w:val="Grid Table 6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7">
    <w:name w:val="Grid Table 7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8">
    <w:name w:val="Grid Table 7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17bba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17bba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17bba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17bba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  <w:tblPr/>
    </w:tblStylePr>
    <w:tblStylePr w:type="firstCol">
      <w:pPr>
        <w:jc w:val="right"/>
      </w:pPr>
      <w:rPr>
        <w:i/>
        <w:color w:val="254374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54374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54374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54374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  <w:tblPr/>
    </w:tblStylePr>
    <w:tblStylePr w:type="firstCol">
      <w:pPr>
        <w:jc w:val="right"/>
      </w:pPr>
      <w:rPr>
        <w:i/>
        <w:color w:val="426429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426429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26429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426429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List Table 1 Light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8">
    <w:name w:val="List Table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9">
    <w:name w:val="List Table 3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0">
    <w:name w:val="List Table 3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B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4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5 Dark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3">
    <w:name w:val="List Table 5 Dark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4">
    <w:name w:val="List Table 5 Dark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5">
    <w:name w:val="List Table 5 Dark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6">
    <w:name w:val="List Table 5 Dark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7">
    <w:name w:val="List Table 5 Dark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B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B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8">
    <w:name w:val="List Table 5 Dark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9">
    <w:name w:val="List Table 6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0">
    <w:name w:val="List Table 6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45d8d" w:themeColor="accent1" w:themeShade="95"/>
      </w:rPr>
      <w:tblPr/>
    </w:tblStylePr>
    <w:tblStylePr w:type="firstRow">
      <w:rPr>
        <w:b/>
        <w:color w:val="245d8d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tblPr/>
    </w:tblStylePr>
    <w:tblStylePr w:type="lastRow">
      <w:rPr>
        <w:b/>
        <w:color w:val="245d8d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2">
    <w:name w:val="List Table 6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3">
    <w:name w:val="List Table 6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4">
    <w:name w:val="List Table 6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5e9e" w:themeColor="accent5" w:themeTint="9a" w:themeShade="95"/>
      </w:rPr>
      <w:tblPr/>
    </w:tblStylePr>
    <w:tblStylePr w:type="firstRow">
      <w:rPr>
        <w:b/>
        <w:color w:val="335e9e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  <w:tblPr/>
    </w:tblStylePr>
    <w:tblStylePr w:type="lastRow">
      <w:rPr>
        <w:b/>
        <w:color w:val="335e9e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5">
    <w:name w:val="List Table 6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5f8f3c" w:themeColor="accent6" w:themeTint="98" w:themeShade="95"/>
      </w:rPr>
      <w:tblPr/>
    </w:tblStylePr>
    <w:tblStylePr w:type="firstRow">
      <w:rPr>
        <w:b/>
        <w:color w:val="5f8f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  <w:tblPr/>
    </w:tblStylePr>
    <w:tblStylePr w:type="lastRow">
      <w:rPr>
        <w:b/>
        <w:color w:val="5f8f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6">
    <w:name w:val="List Table 7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47">
    <w:name w:val="List Table 7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  <w:tblPr/>
    </w:tblStylePr>
    <w:tblStylePr w:type="firstCol">
      <w:pPr>
        <w:jc w:val="right"/>
      </w:pPr>
      <w:rPr>
        <w:i/>
        <w:color w:val="245d8d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45d8d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45d8d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45d8d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245d8d" w:themeColor="accent1" w:themeShade="95"/>
        <w:sz w:val="22"/>
      </w:rPr>
      <w:tblPr/>
    </w:tblStylePr>
  </w:style>
  <w:style w:type="table" w:styleId="148">
    <w:name w:val="List Table 7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95712" w:themeColor="accent2" w:themeTint="97" w:themeShade="95"/>
        <w:sz w:val="22"/>
      </w:rPr>
      <w:tblPr/>
    </w:tblStylePr>
  </w:style>
  <w:style w:type="table" w:styleId="149">
    <w:name w:val="List Table 7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150">
    <w:name w:val="List Table 7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d9600" w:themeColor="accent4" w:themeTint="9a" w:themeShade="95"/>
        <w:sz w:val="22"/>
      </w:rPr>
      <w:tblPr/>
    </w:tblStylePr>
  </w:style>
  <w:style w:type="table" w:styleId="151">
    <w:name w:val="List Table 7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5e9e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5e9e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5e9e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5e9e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335e9e" w:themeColor="accent5" w:themeTint="9a" w:themeShade="95"/>
        <w:sz w:val="22"/>
      </w:rPr>
      <w:tblPr/>
    </w:tblStylePr>
  </w:style>
  <w:style w:type="table" w:styleId="152">
    <w:name w:val="List Table 7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5f8f3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5f8f3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f8f3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5f8f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5f8f3c" w:themeColor="accent6" w:themeTint="98" w:themeShade="95"/>
        <w:sz w:val="22"/>
      </w:rPr>
      <w:tblPr/>
    </w:tblStylePr>
  </w:style>
  <w:style w:type="table" w:styleId="153">
    <w:name w:val="Lined - Accent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4">
    <w:name w:val="Lined - Accent 1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55">
    <w:name w:val="Lined - Accent 2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56">
    <w:name w:val="Lined - Accent 3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57">
    <w:name w:val="Lined - Accent 4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58">
    <w:name w:val="Lined - Accent 5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59">
    <w:name w:val="Lined - Accent 6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0">
    <w:name w:val="Bordered &amp; Lined - Accent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1">
    <w:name w:val="Bordered &amp; Lined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62">
    <w:name w:val="Bordered &amp; Lined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63">
    <w:name w:val="Bordered &amp; Lined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64">
    <w:name w:val="Bordered &amp; Lined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65">
    <w:name w:val="Bordered &amp; Lined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66">
    <w:name w:val="Bordered &amp; Lined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7">
    <w:name w:val="Bordered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8">
    <w:name w:val="Bordered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0">
    <w:name w:val="Bordered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1">
    <w:name w:val="Bordered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2">
    <w:name w:val="Bordered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3">
    <w:name w:val="Bordered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65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LibreOffice/25.8.7.3$Linux_X86_64 LibreOffice_project/30742500f2d3eb4366ac312fa33d3dcabdb3eba5</Application>
  <AppVersion>15.0000</AppVersion>
  <Pages>5</Pages>
  <Words>631</Words>
  <Characters>4455</Characters>
  <CharactersWithSpaces>5012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2026-05-06T11:04:00Z</dcterms:created>
  <dc:creator/>
  <dc:description/>
  <dc:language>ru-RU</dc:language>
  <cp:lastModifiedBy/>
  <dcterms:modified xsi:type="dcterms:W3CDTF">2026-07-28T13:29:00Z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7988324DA29E2F464A0A1D6AABB15557_42</vt:lpwstr>
  </property>
  <property fmtid="{D5CDD505-2E9C-101B-9397-08002B2CF9AE}" pid="3" name="KSOProductBuildVer">
    <vt:lpwstr>1033-12.1.25897.25897</vt:lpwstr>
  </property>
</Properties>
</file>