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  <w:t>Приложение №1.3 к Техническому заданию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>ТОМ 02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УКРУПНЁННЫЙ ПЕРЕЧЕНЬ ВИДОВ РАБОТ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>
          <w:sz w:val="26"/>
          <w:szCs w:val="26"/>
        </w:rPr>
      </w:pPr>
      <w:r>
        <w:rPr>
          <w:sz w:val="26"/>
          <w:szCs w:val="26"/>
        </w:rPr>
        <w:t>0. Подготовительные работы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Получение и согласование технических условий на технологическое присоединение к электрическим сетям сетевой организации.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Разработка проекта производства работ.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Разметка трасс кабельных и инфраструктурных решений на местности.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0.4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временных подвесных подмостей для монтажа на мостах.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0.5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временной технологической площадки для грузоподъёмных сооружений.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0.6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временных инвентарных зданий и сооружений.</w:t>
            </w:r>
          </w:p>
        </w:tc>
      </w:tr>
    </w:tbl>
    <w:p>
      <w:pPr>
        <w:pStyle w:val="Heading1"/>
        <w:rPr>
          <w:sz w:val="26"/>
          <w:szCs w:val="26"/>
        </w:rPr>
      </w:pPr>
      <w:r>
        <w:rPr>
          <w:sz w:val="26"/>
          <w:szCs w:val="26"/>
        </w:rPr>
        <w:t>1. Организация электроснабжения ОТИ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Работы по технологическому присоединению к существующим электрическим сетям сетевой организации (по ТУ).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1.2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ответвлений в точках присоединения, определяемых ТУ сетевой организации (включая концевые муфты, разъединитель, ОПН, переход с воздушной части существующей сети на проектируемую кабельную в защитной трубе).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Установка ТП  на свайном основании.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Установка силового трансформатора 10/0,4 кВ в составе ТП.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Установка ВРУ-0,4 кВ в составе ТП.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Подземная прокладка магистральной кабельной линии 10 кВ в траншее (ширина 300 мм, глубина 1250 мм) с устройством песчаной подсыпки, защитной плитки типа ПЗК и сигнальной ленты «Не копать, ниже кабель!»;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Переход магистральной кабельной линии 10 кВ через водоток методом ГНП/ГНБ.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Переход магистральной кабельной линии 10 кВ через автомобильную дорогу методом ГНП.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</w:t>
            </w:r>
            <w:r>
              <w:rPr>
                <w:kern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магистральной кабельной линии 10 кВ по мостовому сооружению (при необходимости).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1.1</w:t>
            </w:r>
            <w:r>
              <w:rPr>
                <w:kern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Организация контура заземления и молниезащиты ТП.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1.1</w:t>
            </w:r>
            <w:r>
              <w:rPr>
                <w:kern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системы учёта электроэнергии (АИИС КУЭ) на ТП.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1.1</w:t>
            </w:r>
            <w:r>
              <w:rPr>
                <w:kern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Установка УКРМ-0,4 кВ (при необходимости по расчёту коэффициента мощности).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lang w:val="ru-RU"/>
              </w:rPr>
            </w:pPr>
            <w:r>
              <w:rPr>
                <w:kern w:val="0"/>
                <w:sz w:val="22"/>
                <w:szCs w:val="22"/>
              </w:rPr>
              <w:t>1.1</w:t>
            </w:r>
            <w:r>
              <w:rPr>
                <w:kern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Пуско-наладочные работы по организации электроснабжения.</w:t>
            </w:r>
          </w:p>
        </w:tc>
      </w:tr>
    </w:tbl>
    <w:p>
      <w:pPr>
        <w:pStyle w:val="Heading1"/>
        <w:rPr>
          <w:sz w:val="26"/>
          <w:szCs w:val="26"/>
        </w:rPr>
      </w:pPr>
      <w:r>
        <w:rPr>
          <w:sz w:val="26"/>
          <w:szCs w:val="26"/>
        </w:rPr>
        <w:t>2. Электроснабжение внутреннее ОТИ (ЭС)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2.1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кабельной линии 0,4 кВ от ТП до ВРУ ОТИ в траншее (на участках вне моста).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2.2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кабельной линии 0,4 кВ по мостовому сооружению в защитной полиэтиленовой трубе на кабельных полках.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2.3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Ввод кабельной линии 0,4 кВ в шкаф ОТБ через гермоввод с пожарной герметизацией пересечений.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2.4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главной заземляющей шины и уравнивание потенциалов оборудования ОТИ.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2.5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Пуско-наладочные работы по внутренним электрическим сетям ОТИ.</w:t>
            </w:r>
          </w:p>
        </w:tc>
      </w:tr>
    </w:tbl>
    <w:p>
      <w:pPr>
        <w:pStyle w:val="Heading1"/>
        <w:rPr>
          <w:sz w:val="26"/>
          <w:szCs w:val="26"/>
        </w:rPr>
      </w:pPr>
      <w:r>
        <w:rPr>
          <w:sz w:val="26"/>
          <w:szCs w:val="26"/>
        </w:rPr>
        <w:t>3. Организация дорожного движения и временные сооружения на период производства работ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и обслуживание схемы организации дорожного движения на период производства работ.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Размещение временных дорожных знаков и барьерных заграждений зоны производства работ.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временного освещения зоны производства работ в тёмное время суток.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3.4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Применение автомобиля прикрытия при краткосрочных подвижных работах.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3.5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временных инвентарных зданий и сооружений.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3.6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технологических площадок и стройгенплана.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3.7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Демонтаж временных сооружений по завершении работ.</w:t>
            </w:r>
          </w:p>
        </w:tc>
      </w:tr>
    </w:tbl>
    <w:p>
      <w:pPr>
        <w:pStyle w:val="Heading1"/>
        <w:rPr>
          <w:sz w:val="26"/>
          <w:szCs w:val="26"/>
        </w:rPr>
      </w:pPr>
      <w:r>
        <w:rPr>
          <w:sz w:val="26"/>
          <w:szCs w:val="26"/>
        </w:rPr>
        <w:t>4. Приёмочные и аттестационные испытания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4.1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Пуско-наладочные испытания организации электроснабжения по нормам РД 34.45-51.300-97.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4.2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Инструктаж эксплуатационного персонала.</w:t>
            </w:r>
          </w:p>
        </w:tc>
      </w:tr>
    </w:tbl>
    <w:p>
      <w:pPr>
        <w:pStyle w:val="Heading1"/>
        <w:rPr>
          <w:sz w:val="26"/>
          <w:szCs w:val="26"/>
        </w:rPr>
      </w:pPr>
      <w:r>
        <w:rPr>
          <w:sz w:val="26"/>
          <w:szCs w:val="26"/>
        </w:rPr>
        <w:t>5. Исполнительная и эксплуатационная документация</w:t>
      </w:r>
    </w:p>
    <w:tbl>
      <w:tblPr>
        <w:tblStyle w:val="651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вида работ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5.1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Ведение журнала производства работ и специальных журналов работ.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5.2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Актирование скрытых работ и промежуточная приёмка ответственных конструкций.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5.3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Передача эксплуатационной документации заказчику (руководства, инструкции, регламенты).</w:t>
            </w:r>
          </w:p>
        </w:tc>
      </w:tr>
    </w:tbl>
    <w:p>
      <w:pPr>
        <w:pStyle w:val="Normal"/>
        <w:spacing w:lineRule="auto" w:line="360" w:before="0" w:after="120"/>
        <w:ind w:firstLine="72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0"/>
    <w:qFormat/>
    <w:pPr>
      <w:widowControl/>
      <w:suppressAutoHyphens w:val="true"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0"/>
    <w:qFormat/>
    <w:pPr>
      <w:widowControl/>
      <w:suppressAutoHyphens w:val="true"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uiPriority w:val="0"/>
    <w:qFormat/>
    <w:pPr>
      <w:widowControl/>
      <w:suppressAutoHyphens w:val="true"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uiPriority w:val="0"/>
    <w:qFormat/>
    <w:pPr>
      <w:widowControl/>
      <w:suppressAutoHyphens w:val="true"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0"/>
    <w:qFormat/>
    <w:pPr>
      <w:widowControl/>
      <w:suppressAutoHyphens w:val="true"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0"/>
    <w:qFormat/>
    <w:pPr>
      <w:widowControl/>
      <w:suppressAutoHyphens w:val="true"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>
    <w:name w:val="Символ сноски"/>
    <w:uiPriority w:val="99"/>
    <w:semiHidden/>
    <w:unhideWhenUsed/>
    <w:qFormat/>
    <w:rPr>
      <w:vertAlign w:val="superscript"/>
    </w:rPr>
  </w:style>
  <w:style w:type="character" w:styleId="user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7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8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EndnoteText">
    <w:name w:val="endnote text"/>
    <w:link w:val="Style8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3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7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" w:customStyle="1">
    <w:name w:val="Строгий1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styleId="48">
    <w:name w:val="Table Grid"/>
    <w:basedOn w:val="6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9">
    <w:name w:val="Table Grid Light"/>
    <w:basedOn w:val="65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Plain Table 1"/>
    <w:basedOn w:val="65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5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1">
    <w:name w:val="Grid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2">
    <w:name w:val="Grid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3">
    <w:name w:val="Grid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4">
    <w:name w:val="Grid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5">
    <w:name w:val="Grid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6">
    <w:name w:val="Grid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7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6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7">
    <w:name w:val="List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8">
    <w:name w:val="List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9">
    <w:name w:val="List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0">
    <w:name w:val="List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1">
    <w:name w:val="List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2">
    <w:name w:val="List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3">
    <w:name w:val="Lined - Accent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5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LibreOffice/25.8.7.3$Linux_X86_64 LibreOffice_project/30742500f2d3eb4366ac312fa33d3dcabdb3eba5</Application>
  <AppVersion>15.0000</AppVersion>
  <Pages>3</Pages>
  <Words>466</Words>
  <Characters>3203</Characters>
  <CharactersWithSpaces>3574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2026-05-06T14:19:00Z</dcterms:created>
  <dc:creator/>
  <dc:description/>
  <dc:language>ru-RU</dc:language>
  <cp:lastModifiedBy/>
  <dcterms:modified xsi:type="dcterms:W3CDTF">2026-07-28T13:30:26Z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A1705CD966864EC2740A1D6A5279E83F_42</vt:lpwstr>
  </property>
  <property fmtid="{D5CDD505-2E9C-101B-9397-08002B2CF9AE}" pid="3" name="KSOProductBuildVer">
    <vt:lpwstr>1033-12.1.25897.25897</vt:lpwstr>
  </property>
</Properties>
</file>