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9.xml" ContentType="application/vnd.openxmlformats-officedocument.wordprocessingml.header+xml"/>
  <Override PartName="/word/header11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left="5664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ОКПД2: 62.02.20.190 Оказание услуг по 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сопровождению комплексной системы документооборота на ПО «LanDocs»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(Лот №)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"/>
      <w:bookmarkStart w:id="1" w:name="_Toc139856287"/>
      <w:bookmarkStart w:id="2" w:name="_Toc137554584"/>
      <w:bookmarkStart w:id="3" w:name="_Toc141696704"/>
      <w:bookmarkStart w:id="4" w:name="_Toc139856287"/>
      <w:bookmarkStart w:id="5" w:name="_Toc137554584"/>
      <w:bookmarkEnd w:id="3"/>
      <w:bookmarkEnd w:id="4"/>
      <w:bookmarkEnd w:id="5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3353_53797102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3355_53797102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3357_53797102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3359_53797102">
            <w:r>
              <w:rPr>
                <w:webHidden/>
                <w:rStyle w:val="Style14"/>
                <w:vanish w:val="false"/>
              </w:rPr>
              <w:t>1.3. Цель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3361_53797102">
            <w:r>
              <w:rPr>
                <w:webHidden/>
                <w:rStyle w:val="Style14"/>
                <w:vanish w:val="false"/>
              </w:rPr>
              <w:t>1.4.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3363_53797102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3365_53797102">
            <w:r>
              <w:rPr>
                <w:webHidden/>
                <w:rStyle w:val="Style14"/>
                <w:vanish w:val="false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3367_53797102">
            <w:r>
              <w:rPr>
                <w:webHidden/>
                <w:rStyle w:val="Style14"/>
                <w:vanish w:val="false"/>
              </w:rPr>
              <w:t>1.6. Иные сведения общего характера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3369_53797102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услугам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3371_53797102">
            <w:r>
              <w:rPr>
                <w:webHidden/>
                <w:rStyle w:val="Style14"/>
                <w:vanish w:val="false"/>
              </w:rPr>
              <w:t>2.1. Требования к объемам и срокам оказания услуг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3373_53797102">
            <w:r>
              <w:rPr>
                <w:webHidden/>
                <w:rStyle w:val="Style14"/>
                <w:vanish w:val="false"/>
              </w:rPr>
              <w:t>2.1.1. Требования к перечню и объему услуг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3375_53797102"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3377_53797102">
            <w:r>
              <w:rPr>
                <w:webHidden/>
                <w:rStyle w:val="Style14"/>
                <w:vanish w:val="false"/>
              </w:rPr>
              <w:t>2.1.2. Требования к срокам оказания услуг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3379_53797102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3381_53797102">
            <w:r>
              <w:rPr>
                <w:webHidden/>
                <w:rStyle w:val="Style14"/>
                <w:vanish w:val="false"/>
              </w:rPr>
              <w:t>2.2. Требования к качеству услуг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3383_53797102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3385_53797102">
            <w:r>
              <w:rPr>
                <w:webHidden/>
                <w:rStyle w:val="Style14"/>
                <w:vanish w:val="false"/>
              </w:rPr>
              <w:t>Требования к оказанию услуг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3387_53797102">
            <w:r>
              <w:rPr>
                <w:webHidden/>
                <w:rStyle w:val="Style14"/>
                <w:vanish w:val="false"/>
              </w:rPr>
              <w:t>Требования к результатам услуг</w:t>
              <w:tab/>
              <w:t>9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3389_53797102">
            <w:r>
              <w:rPr>
                <w:webHidden/>
                <w:rStyle w:val="Style14"/>
                <w:vanish w:val="false"/>
              </w:rPr>
              <w:t xml:space="preserve">3. </w:t>
            </w:r>
            <w:r>
              <w:rPr>
                <w:rStyle w:val="Style14"/>
                <w:iCs/>
              </w:rPr>
              <w:t>Приложения</w:t>
            </w:r>
            <w:r>
              <w:rPr>
                <w:rStyle w:val="Style14"/>
              </w:rPr>
              <w:tab/>
              <w:t>11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3392_53797102">
            <w:r>
              <w:rPr>
                <w:webHidden/>
                <w:rStyle w:val="Style14"/>
                <w:vanish w:val="false"/>
              </w:rPr>
              <w:t>Приложение №1 к Техническим требованиям</w:t>
              <w:tab/>
              <w:t>12</w:t>
            </w:r>
          </w:hyperlink>
          <w:r>
            <w:rPr>
              <w:rStyle w:val="Style14"/>
              <w:vanish w:val="false"/>
            </w:rPr>
            <w:fldChar w:fldCharType="end"/>
          </w:r>
        </w:p>
        <w:p>
          <w:pPr>
            <w:sectPr>
              <w:headerReference w:type="default" r:id="rId2"/>
              <w:type w:val="nextPage"/>
              <w:pgSz w:w="11906" w:h="16838"/>
              <w:pgMar w:left="1134" w:right="851" w:gutter="0" w:header="680" w:top="1134" w:footer="0" w:bottom="992"/>
              <w:pgNumType w:fmt="decimal"/>
              <w:formProt w:val="false"/>
              <w:textDirection w:val="lrTb"/>
              <w:docGrid w:type="default" w:linePitch="360" w:charSpace="0"/>
            </w:sectPr>
          </w:pPr>
        </w:p>
      </w:sdtContent>
    </w:sdt>
    <w:p>
      <w:pPr>
        <w:pStyle w:val="Heading1"/>
        <w:keepLines/>
        <w:numPr>
          <w:ilvl w:val="0"/>
          <w:numId w:val="3"/>
        </w:numPr>
        <w:ind w:hanging="357" w:left="357"/>
        <w:rPr>
          <w:caps/>
          <w:lang w:val="ru-RU"/>
        </w:rPr>
      </w:pPr>
      <w:bookmarkStart w:id="6" w:name="__RefHeading___Toc3353_53797102"/>
      <w:bookmarkStart w:id="7" w:name="_Toc138154605"/>
      <w:bookmarkEnd w:id="6"/>
      <w:r>
        <w:rPr>
          <w:lang w:val="ru-RU"/>
        </w:rPr>
        <w:t>Общие сведения</w:t>
      </w:r>
      <w:bookmarkEnd w:id="7"/>
    </w:p>
    <w:p>
      <w:pPr>
        <w:pStyle w:val="Heading4"/>
        <w:numPr>
          <w:ilvl w:val="1"/>
          <w:numId w:val="3"/>
        </w:numPr>
        <w:jc w:val="both"/>
        <w:rPr>
          <w:i/>
          <w:i/>
        </w:rPr>
      </w:pPr>
      <w:bookmarkStart w:id="8" w:name="__RefHeading___Toc3355_53797102"/>
      <w:bookmarkStart w:id="9" w:name="_Toc46743505"/>
      <w:bookmarkStart w:id="10" w:name="_Toc138154606"/>
      <w:bookmarkEnd w:id="8"/>
      <w:r>
        <w:rPr/>
        <w:t>Обозначения и сокращения</w:t>
      </w:r>
      <w:bookmarkEnd w:id="9"/>
      <w:bookmarkEnd w:id="10"/>
    </w:p>
    <w:tbl>
      <w:tblPr>
        <w:tblW w:w="940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89"/>
        <w:gridCol w:w="6819"/>
      </w:tblGrid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Термин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Определение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Общество 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«Гидроремонт ВКК»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Система, КСД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Комплексная система документооборота (КСД)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Информационная система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Консолидированный набор технологических компонентов, сервисов и ресурсов, реализующих функции, необходимые для предоставления бизнес–услуг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Информационный ресурс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Компоненты информационной инфраструктуры, являющиеся частью информационных систем или обеспечивающие их функционирование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Инфраструктурный сервис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Технологический сервис в информационной инфраструктуре, необходимый для функционирования других технологических элементов и систем (служба каталогов (AD), сеть, DNS и т.д.)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Обходное решение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Процедура, позволяющая пользователю продолжить получение информационных услуг в случае возникновения инцидентов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СПП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Служба поддержки пользователей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КСА СПП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Комплекс средств автоматизации службы поддержки пользователей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Программное обеспечение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ИР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Информационное решение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ТЗ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Техническое задание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ТП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Технический проект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ПНР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Пусконаладочные работы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Исполнитель 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 закупочной процедуры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«Гидроремонт ВКК»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SLA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Service Level Agreement. Соглашение об уровне сервиса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ЦК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 Компетенций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ПМИ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и методика испытаний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Landocs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Платформа Landocs, на которой развернуто решение КСД  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СУБД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Система управления базами данных 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НСИ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Нормативная справочная информация в КСД</w:t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АРМ 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Автоматизированное рабочее место 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Информационная система</w:t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w="11906" w:h="16838"/>
          <w:pgMar w:left="992" w:right="1134" w:gutter="0" w:header="680" w:top="1134" w:footer="0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jc w:val="both"/>
        <w:rPr/>
      </w:pPr>
      <w:bookmarkStart w:id="11" w:name="__RefHeading___Toc3357_53797102"/>
      <w:bookmarkStart w:id="12" w:name="_Toc46743506"/>
      <w:bookmarkStart w:id="13" w:name="_Toc138154607"/>
      <w:bookmarkEnd w:id="11"/>
      <w:r>
        <w:rPr/>
        <w:t>Наименование закупаемой продукции</w:t>
      </w:r>
      <w:bookmarkEnd w:id="12"/>
      <w:bookmarkEnd w:id="1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Fonts w:eastAsia="Calibri"/>
          <w:sz w:val="24"/>
          <w:szCs w:val="24"/>
          <w:lang w:eastAsia="x-none"/>
        </w:rPr>
        <w:t>ОКПД2: 62.02.20.190 Оказание услуг по сопровождению комплексной системы документооборота на ПО «LanDocs»</w:t>
      </w:r>
    </w:p>
    <w:p>
      <w:pPr>
        <w:pStyle w:val="Heading4"/>
        <w:numPr>
          <w:ilvl w:val="1"/>
          <w:numId w:val="3"/>
        </w:numPr>
        <w:spacing w:before="240" w:after="60"/>
        <w:ind w:hanging="431" w:left="431"/>
        <w:jc w:val="both"/>
        <w:rPr/>
      </w:pPr>
      <w:bookmarkStart w:id="14" w:name="__RefHeading___Toc3359_53797102"/>
      <w:bookmarkStart w:id="15" w:name="_Toc138154608"/>
      <w:bookmarkStart w:id="16" w:name="_Toc46743507"/>
      <w:bookmarkEnd w:id="14"/>
      <w:r>
        <w:rPr/>
        <w:t xml:space="preserve">Цель </w:t>
      </w:r>
      <w:bookmarkEnd w:id="16"/>
      <w:r>
        <w:rPr>
          <w:lang w:val="ru-RU"/>
        </w:rPr>
        <w:t>оказания услуг</w:t>
      </w:r>
      <w:bookmarkEnd w:id="1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Fonts w:eastAsia="Calibri"/>
          <w:sz w:val="24"/>
          <w:szCs w:val="24"/>
          <w:lang w:eastAsia="x-none"/>
        </w:rPr>
        <w:t>Обеспечение функционирования рабочих мест КСД в соответствии с SLA</w:t>
      </w:r>
    </w:p>
    <w:p>
      <w:pPr>
        <w:pStyle w:val="Heading4"/>
        <w:numPr>
          <w:ilvl w:val="1"/>
          <w:numId w:val="3"/>
        </w:numPr>
        <w:jc w:val="both"/>
        <w:rPr/>
      </w:pPr>
      <w:bookmarkStart w:id="17" w:name="__RefHeading___Toc3361_53797102"/>
      <w:bookmarkStart w:id="18" w:name="_Toc138154609"/>
      <w:bookmarkStart w:id="19" w:name="_Toc46743508"/>
      <w:bookmarkEnd w:id="17"/>
      <w:r>
        <w:rPr/>
        <w:t>Существующее положение</w:t>
      </w:r>
      <w:bookmarkEnd w:id="18"/>
      <w:bookmarkEnd w:id="19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Fonts w:eastAsia="Calibri"/>
          <w:sz w:val="24"/>
          <w:szCs w:val="24"/>
          <w:lang w:eastAsia="x-none"/>
        </w:rPr>
        <w:t>Техническое сопровождение осуществляется c 01.09.202</w:t>
      </w:r>
      <w:r>
        <w:rPr>
          <w:rFonts w:eastAsia="Calibri"/>
          <w:sz w:val="24"/>
          <w:szCs w:val="24"/>
          <w:lang w:eastAsia="x-none"/>
        </w:rPr>
        <w:t>7</w:t>
      </w:r>
      <w:r>
        <w:rPr>
          <w:rFonts w:eastAsia="Calibri"/>
          <w:sz w:val="24"/>
          <w:szCs w:val="24"/>
          <w:lang w:eastAsia="x-none"/>
        </w:rPr>
        <w:t>г в течени</w:t>
      </w:r>
      <w:r>
        <w:rPr>
          <w:rFonts w:eastAsia="Calibri"/>
          <w:sz w:val="24"/>
          <w:szCs w:val="24"/>
          <w:lang w:eastAsia="x-none"/>
        </w:rPr>
        <w:t>и 1 календарного года</w:t>
      </w:r>
      <w:r>
        <w:rPr>
          <w:rFonts w:eastAsia="Calibri"/>
          <w:sz w:val="24"/>
          <w:szCs w:val="24"/>
          <w:lang w:eastAsia="x-none"/>
        </w:rPr>
        <w:t>.</w:t>
      </w:r>
    </w:p>
    <w:p>
      <w:pPr>
        <w:pStyle w:val="Heading1"/>
        <w:keepLines/>
        <w:tabs>
          <w:tab w:val="clear" w:pos="0"/>
        </w:tabs>
        <w:spacing w:before="240" w:after="60"/>
        <w:ind w:hanging="0" w:left="0"/>
        <w:jc w:val="both"/>
        <w:rPr>
          <w:sz w:val="24"/>
          <w:szCs w:val="24"/>
          <w:lang w:val="ru-RU"/>
        </w:rPr>
      </w:pPr>
      <w:bookmarkStart w:id="20" w:name="__RefHeading___Toc3363_53797102"/>
      <w:bookmarkStart w:id="21" w:name="_Toc138154610"/>
      <w:bookmarkEnd w:id="20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2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843"/>
        <w:gridCol w:w="2622"/>
        <w:gridCol w:w="1652"/>
        <w:gridCol w:w="19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АО «Гидроремонт-ВКК»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603140, Нижегородская обл., г.о. город Нижний Новгород, г. Нижний Новгород, пер. Мотальный, д.8 помещ. ВП31, офис С1А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КСД </w:t>
            </w:r>
            <w:r>
              <w:rPr>
                <w:sz w:val="24"/>
                <w:szCs w:val="24"/>
              </w:rPr>
              <w:t>LanDocs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jc w:val="both"/>
        <w:rPr>
          <w:lang w:val="ru-RU"/>
        </w:rPr>
      </w:pPr>
      <w:bookmarkStart w:id="22" w:name="__RefHeading___Toc3365_53797102"/>
      <w:bookmarkStart w:id="23" w:name="_Toc138154611"/>
      <w:bookmarkStart w:id="24" w:name="_Hlk49857604"/>
      <w:bookmarkStart w:id="25" w:name="_Toc46743509"/>
      <w:bookmarkEnd w:id="22"/>
      <w:r>
        <w:rPr/>
        <w:t xml:space="preserve">Информация в отношении исполнения договора, </w:t>
      </w:r>
      <w:bookmarkStart w:id="26" w:name="_Hlk46492347"/>
      <w:r>
        <w:rPr/>
        <w:t xml:space="preserve">которая должна быть учтена при подготовке заявки </w:t>
      </w:r>
      <w:bookmarkEnd w:id="26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23"/>
      <w:bookmarkEnd w:id="24"/>
      <w:bookmarkEnd w:id="25"/>
      <w:r>
        <w:rPr>
          <w:lang w:val="ru-RU"/>
        </w:rPr>
        <w:t xml:space="preserve"> </w:t>
      </w:r>
      <w:bookmarkStart w:id="27" w:name="_Hlk48209761"/>
    </w:p>
    <w:p>
      <w:pPr>
        <w:pStyle w:val="ListParagraph"/>
        <w:numPr>
          <w:ilvl w:val="0"/>
          <w:numId w:val="11"/>
        </w:numPr>
        <w:rPr>
          <w:lang w:eastAsia="x-none"/>
        </w:rPr>
      </w:pPr>
      <w:r>
        <w:rPr>
          <w:lang w:eastAsia="x-none"/>
        </w:rPr>
        <w:t>Заказчик предоставляет данные для удаленного подключения.</w:t>
      </w:r>
    </w:p>
    <w:p>
      <w:pPr>
        <w:pStyle w:val="ListParagraph"/>
        <w:numPr>
          <w:ilvl w:val="0"/>
          <w:numId w:val="11"/>
        </w:numPr>
        <w:rPr>
          <w:lang w:eastAsia="x-none"/>
        </w:rPr>
      </w:pPr>
      <w:r>
        <w:rPr>
          <w:lang w:eastAsia="x-none"/>
        </w:rPr>
        <w:t>Работа по обработке инцидентов осуществляется в соответствии с использованием КСА СПП.</w:t>
      </w:r>
    </w:p>
    <w:p>
      <w:pPr>
        <w:pStyle w:val="ListParagraph"/>
        <w:numPr>
          <w:ilvl w:val="0"/>
          <w:numId w:val="11"/>
        </w:numPr>
        <w:rPr>
          <w:lang w:eastAsia="x-none"/>
        </w:rPr>
      </w:pPr>
      <w:r>
        <w:rPr>
          <w:lang w:eastAsia="x-none"/>
        </w:rPr>
        <w:t>Распределение заявок выполняется СПП и/или Руководителем ЦК КСД.</w:t>
      </w:r>
    </w:p>
    <w:p>
      <w:pPr>
        <w:pStyle w:val="ListParagraph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3"/>
        </w:numPr>
        <w:jc w:val="both"/>
        <w:rPr>
          <w:lang w:val="ru-RU"/>
        </w:rPr>
      </w:pPr>
      <w:bookmarkStart w:id="28" w:name="__RefHeading___Toc3367_53797102"/>
      <w:bookmarkStart w:id="29" w:name="_Toc138154612"/>
      <w:bookmarkEnd w:id="27"/>
      <w:bookmarkEnd w:id="28"/>
      <w:r>
        <w:rPr/>
        <w:t>Иные сведения общего характера</w:t>
      </w:r>
      <w:bookmarkEnd w:id="29"/>
      <w:r>
        <w:rPr>
          <w:lang w:val="ru-RU"/>
        </w:rPr>
        <w:t xml:space="preserve"> 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Функции системы:</w:t>
      </w:r>
    </w:p>
    <w:p>
      <w:pPr>
        <w:pStyle w:val="ListParagraph"/>
        <w:numPr>
          <w:ilvl w:val="0"/>
          <w:numId w:val="11"/>
        </w:numPr>
        <w:rPr>
          <w:lang w:eastAsia="x-none"/>
        </w:rPr>
      </w:pPr>
      <w:r>
        <w:rPr>
          <w:lang w:eastAsia="x-none"/>
        </w:rPr>
        <w:t xml:space="preserve">Управление документацией в Обществе, ее маршрутизация и хранение; </w:t>
      </w:r>
    </w:p>
    <w:p>
      <w:pPr>
        <w:pStyle w:val="ListParagraph"/>
        <w:numPr>
          <w:ilvl w:val="0"/>
          <w:numId w:val="11"/>
        </w:numPr>
        <w:rPr>
          <w:lang w:eastAsia="x-none"/>
        </w:rPr>
      </w:pPr>
      <w:r>
        <w:rPr>
          <w:lang w:eastAsia="x-none"/>
        </w:rPr>
        <w:t>Контроль исполнительской дисциплины;</w:t>
      </w:r>
    </w:p>
    <w:p>
      <w:pPr>
        <w:pStyle w:val="ListParagraph"/>
        <w:numPr>
          <w:ilvl w:val="0"/>
          <w:numId w:val="11"/>
        </w:numPr>
        <w:rPr>
          <w:lang w:eastAsia="x-none"/>
        </w:rPr>
      </w:pPr>
      <w:r>
        <w:rPr>
          <w:lang w:eastAsia="x-none"/>
        </w:rPr>
        <w:t xml:space="preserve">Основные бизнес-процессы, автоматизируемые КСД: </w:t>
      </w:r>
    </w:p>
    <w:p>
      <w:pPr>
        <w:pStyle w:val="ListParagraph"/>
        <w:numPr>
          <w:ilvl w:val="1"/>
          <w:numId w:val="11"/>
        </w:numPr>
        <w:rPr>
          <w:lang w:eastAsia="x-none"/>
        </w:rPr>
      </w:pPr>
      <w:r>
        <w:rPr>
          <w:lang w:eastAsia="x-none"/>
        </w:rPr>
        <w:t xml:space="preserve">Делопроизводство, внутренние, входящие/исходящие, </w:t>
      </w:r>
    </w:p>
    <w:p>
      <w:pPr>
        <w:pStyle w:val="ListParagraph"/>
        <w:numPr>
          <w:ilvl w:val="1"/>
          <w:numId w:val="11"/>
        </w:numPr>
        <w:rPr>
          <w:lang w:eastAsia="x-none"/>
        </w:rPr>
      </w:pPr>
      <w:r>
        <w:rPr>
          <w:lang w:eastAsia="x-none"/>
        </w:rPr>
        <w:t xml:space="preserve">Контроль исполнения поручений, </w:t>
      </w:r>
    </w:p>
    <w:p>
      <w:pPr>
        <w:pStyle w:val="ListParagraph"/>
        <w:numPr>
          <w:ilvl w:val="1"/>
          <w:numId w:val="11"/>
        </w:numPr>
        <w:rPr>
          <w:lang w:eastAsia="x-none"/>
        </w:rPr>
      </w:pPr>
      <w:r>
        <w:rPr>
          <w:lang w:eastAsia="x-none"/>
        </w:rPr>
        <w:t xml:space="preserve"> </w:t>
      </w:r>
      <w:r>
        <w:rPr>
          <w:lang w:eastAsia="x-none"/>
        </w:rPr>
        <w:t xml:space="preserve">Распорядительный документооборот, </w:t>
      </w:r>
    </w:p>
    <w:p>
      <w:pPr>
        <w:pStyle w:val="ListParagraph"/>
        <w:numPr>
          <w:ilvl w:val="0"/>
          <w:numId w:val="11"/>
        </w:numPr>
        <w:rPr>
          <w:lang w:eastAsia="x-none"/>
        </w:rPr>
      </w:pPr>
      <w:r>
        <w:rPr>
          <w:lang w:eastAsia="x-none"/>
        </w:rPr>
        <w:t>Организационный охват:</w:t>
      </w:r>
    </w:p>
    <w:p>
      <w:pPr>
        <w:pStyle w:val="ListParagraph"/>
        <w:numPr>
          <w:ilvl w:val="1"/>
          <w:numId w:val="11"/>
        </w:numPr>
        <w:rPr>
          <w:lang w:eastAsia="x-none"/>
        </w:rPr>
      </w:pPr>
      <w:r>
        <w:rPr>
          <w:lang w:eastAsia="x-none"/>
        </w:rPr>
        <w:t xml:space="preserve"> </w:t>
      </w:r>
      <w:r>
        <w:rPr>
          <w:lang w:eastAsia="x-none"/>
        </w:rPr>
        <w:t>Количество пользователей –  7</w:t>
      </w:r>
      <w:r>
        <w:rPr>
          <w:lang w:eastAsia="x-none"/>
        </w:rPr>
        <w:t>6</w:t>
      </w:r>
      <w:r>
        <w:rPr>
          <w:lang w:eastAsia="x-none"/>
        </w:rPr>
        <w:t>1</w:t>
      </w:r>
    </w:p>
    <w:p>
      <w:pPr>
        <w:pStyle w:val="ListParagraph"/>
        <w:numPr>
          <w:ilvl w:val="1"/>
          <w:numId w:val="11"/>
        </w:numPr>
        <w:rPr>
          <w:lang w:eastAsia="x-none"/>
        </w:rPr>
      </w:pPr>
      <w:r>
        <w:rPr>
          <w:lang w:eastAsia="x-none"/>
        </w:rPr>
        <w:t xml:space="preserve"> </w:t>
      </w:r>
      <w:r>
        <w:rPr>
          <w:lang w:eastAsia="x-none"/>
        </w:rPr>
        <w:t>Система должна быть работоспособна и доступна для работников Заказчика с 4-00 до 22.00 по московскому времени.</w:t>
      </w:r>
    </w:p>
    <w:p>
      <w:pPr>
        <w:pStyle w:val="ListParagraph"/>
        <w:numPr>
          <w:ilvl w:val="0"/>
          <w:numId w:val="11"/>
        </w:numPr>
        <w:rPr>
          <w:lang w:eastAsia="x-none"/>
        </w:rPr>
      </w:pPr>
      <w:r>
        <w:rPr>
          <w:lang w:eastAsia="x-none"/>
        </w:rPr>
        <w:t>Ландшафт включает в себя следующие основные серверные площадки: Продуктив, тестовая зона.</w:t>
      </w:r>
    </w:p>
    <w:p>
      <w:pPr>
        <w:pStyle w:val="ListParagraph"/>
        <w:numPr>
          <w:ilvl w:val="0"/>
          <w:numId w:val="11"/>
        </w:numPr>
        <w:rPr>
          <w:lang w:eastAsia="x-none"/>
        </w:rPr>
      </w:pPr>
      <w:r>
        <w:rPr>
          <w:lang w:eastAsia="x-none"/>
        </w:rPr>
        <w:t xml:space="preserve">КСД является частью корпоративной информационной системы (ИС), использует существующие сервисы со стороны других информационных систем, а частности </w:t>
      </w:r>
      <w:r>
        <w:rPr>
          <w:lang w:eastAsia="x-none"/>
        </w:rPr>
        <w:t>службы каталогов</w:t>
      </w:r>
      <w:r>
        <w:rPr>
          <w:lang w:eastAsia="x-none"/>
        </w:rPr>
        <w:t xml:space="preserve">, систему резервного копирования, </w:t>
      </w:r>
      <w:r>
        <w:rPr>
          <w:lang w:eastAsia="x-none"/>
        </w:rPr>
        <w:t>почтовую систему</w:t>
      </w:r>
      <w:r>
        <w:rPr>
          <w:lang w:eastAsia="x-none"/>
        </w:rPr>
        <w:t>и пр.</w:t>
      </w:r>
    </w:p>
    <w:p>
      <w:pPr>
        <w:pStyle w:val="ListParagraph"/>
        <w:numPr>
          <w:ilvl w:val="0"/>
          <w:numId w:val="11"/>
        </w:numPr>
        <w:rPr>
          <w:lang w:eastAsia="x-none"/>
        </w:rPr>
      </w:pPr>
      <w:r>
        <w:rPr>
          <w:lang w:eastAsia="x-none"/>
        </w:rPr>
        <w:t>Сопровождение Системы осуществляется в рамках единой службы поддержки пользователей Заказчика, включая штатное и аварийное обслуживание. Основными чертами СПП являются:</w:t>
      </w:r>
    </w:p>
    <w:p>
      <w:pPr>
        <w:pStyle w:val="ListParagraph"/>
        <w:numPr>
          <w:ilvl w:val="1"/>
          <w:numId w:val="11"/>
        </w:numPr>
        <w:rPr>
          <w:lang w:eastAsia="x-none"/>
        </w:rPr>
      </w:pPr>
      <w:r>
        <w:rPr>
          <w:lang w:eastAsia="x-none"/>
        </w:rPr>
        <w:t>Единая система учета обращений пользователей, управления изменениями;</w:t>
      </w:r>
    </w:p>
    <w:p>
      <w:pPr>
        <w:pStyle w:val="ListParagraph"/>
        <w:numPr>
          <w:ilvl w:val="1"/>
          <w:numId w:val="11"/>
        </w:numPr>
        <w:rPr>
          <w:lang w:eastAsia="x-none"/>
        </w:rPr>
      </w:pPr>
      <w:r>
        <w:rPr>
          <w:lang w:eastAsia="x-none"/>
        </w:rPr>
        <w:t>Центры компетенции по основным инфраструктурным и бизнес системам, выполняющие роль «второй линии поддержки»;</w:t>
      </w:r>
    </w:p>
    <w:p>
      <w:pPr>
        <w:pStyle w:val="ListParagraph"/>
        <w:numPr>
          <w:ilvl w:val="1"/>
          <w:numId w:val="11"/>
        </w:numPr>
        <w:rPr>
          <w:lang w:eastAsia="x-none"/>
        </w:rPr>
      </w:pPr>
      <w:r>
        <w:rPr>
          <w:lang w:eastAsia="x-none"/>
        </w:rPr>
        <w:t>Организация «третьей линии поддержки» с привлечением подрядных организаций</w:t>
      </w:r>
    </w:p>
    <w:p>
      <w:pPr>
        <w:pStyle w:val="Heading1"/>
        <w:keepLines/>
        <w:numPr>
          <w:ilvl w:val="0"/>
          <w:numId w:val="3"/>
        </w:numPr>
        <w:ind w:hanging="357" w:left="357"/>
        <w:rPr>
          <w:iCs/>
          <w:caps/>
          <w:lang w:val="ru-RU"/>
        </w:rPr>
      </w:pPr>
      <w:bookmarkStart w:id="30" w:name="__RefHeading___Toc3369_53797102"/>
      <w:bookmarkStart w:id="31" w:name="_Toc138154613"/>
      <w:bookmarkStart w:id="32" w:name="_Toc51339693"/>
      <w:bookmarkEnd w:id="30"/>
      <w:r>
        <w:rPr>
          <w:iCs/>
          <w:lang w:val="ru-RU"/>
        </w:rPr>
        <w:t>Требования</w:t>
      </w:r>
      <w:r>
        <w:rPr>
          <w:iCs/>
        </w:rPr>
        <w:t xml:space="preserve"> к </w:t>
      </w:r>
      <w:bookmarkEnd w:id="32"/>
      <w:r>
        <w:rPr>
          <w:iCs/>
          <w:lang w:val="ru-RU"/>
        </w:rPr>
        <w:t>услугам</w:t>
      </w:r>
      <w:bookmarkEnd w:id="31"/>
    </w:p>
    <w:p>
      <w:pPr>
        <w:pStyle w:val="Heading4"/>
        <w:numPr>
          <w:ilvl w:val="1"/>
          <w:numId w:val="3"/>
        </w:numPr>
        <w:jc w:val="both"/>
        <w:rPr/>
      </w:pPr>
      <w:bookmarkStart w:id="33" w:name="__RefHeading___Toc3371_53797102"/>
      <w:bookmarkStart w:id="34" w:name="_Toc138154614"/>
      <w:bookmarkEnd w:id="3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34"/>
    </w:p>
    <w:p>
      <w:pPr>
        <w:pStyle w:val="Heading3"/>
        <w:numPr>
          <w:ilvl w:val="2"/>
          <w:numId w:val="3"/>
        </w:numPr>
        <w:jc w:val="both"/>
        <w:rPr/>
      </w:pPr>
      <w:bookmarkStart w:id="35" w:name="__RefHeading___Toc3373_53797102"/>
      <w:bookmarkStart w:id="36" w:name="_Toc138154615"/>
      <w:bookmarkEnd w:id="35"/>
      <w:r>
        <w:rPr>
          <w:lang w:val="ru-RU"/>
        </w:rPr>
        <w:t>Требования к перечню и объему услуг</w:t>
      </w:r>
      <w:bookmarkEnd w:id="36"/>
    </w:p>
    <w:p>
      <w:pPr>
        <w:pStyle w:val="Heading1"/>
        <w:keepLines/>
        <w:tabs>
          <w:tab w:val="clear" w:pos="0"/>
        </w:tabs>
        <w:spacing w:before="240" w:after="60"/>
        <w:ind w:hanging="0" w:left="0"/>
        <w:jc w:val="both"/>
        <w:rPr>
          <w:sz w:val="24"/>
          <w:szCs w:val="24"/>
          <w:lang w:val="ru-RU"/>
        </w:rPr>
      </w:pPr>
      <w:bookmarkStart w:id="37" w:name="__RefHeading___Toc3375_53797102"/>
      <w:bookmarkStart w:id="38" w:name="_Toc138154616"/>
      <w:bookmarkStart w:id="39" w:name="_Toc51339695"/>
      <w:bookmarkEnd w:id="3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9"/>
      <w:r>
        <w:rPr>
          <w:sz w:val="24"/>
          <w:szCs w:val="24"/>
          <w:lang w:val="ru-RU"/>
        </w:rPr>
        <w:t>и объем оказываемых услуг</w:t>
      </w:r>
      <w:bookmarkEnd w:id="3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 xml:space="preserve">ОКПД2: 62.02.20.190 Оказание услуг по 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сопровождению комплексной системы документооборота на ПО «LanDocs»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Усл ед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/>
      </w:pPr>
      <w:bookmarkStart w:id="40" w:name="__RefHeading___Toc3377_53797102"/>
      <w:bookmarkStart w:id="41" w:name="_Toc138154617"/>
      <w:bookmarkStart w:id="42" w:name="_Toc51339696"/>
      <w:bookmarkEnd w:id="40"/>
      <w:r>
        <w:rPr/>
        <w:t xml:space="preserve">Требования </w:t>
      </w:r>
      <w:bookmarkEnd w:id="42"/>
      <w:r>
        <w:rPr/>
        <w:t>к срокам оказания услуг</w:t>
      </w:r>
      <w:bookmarkEnd w:id="41"/>
    </w:p>
    <w:p>
      <w:pPr>
        <w:pStyle w:val="Heading1"/>
        <w:keepLines/>
        <w:tabs>
          <w:tab w:val="clear" w:pos="0"/>
        </w:tabs>
        <w:spacing w:before="240" w:after="60"/>
        <w:ind w:hanging="0" w:left="0"/>
        <w:rPr>
          <w:sz w:val="24"/>
          <w:szCs w:val="24"/>
          <w:lang w:val="ru-RU"/>
        </w:rPr>
      </w:pPr>
      <w:bookmarkStart w:id="43" w:name="__RefHeading___Toc3379_53797102"/>
      <w:bookmarkStart w:id="44" w:name="_Toc51339697"/>
      <w:bookmarkStart w:id="45" w:name="_Toc138154618"/>
      <w:bookmarkStart w:id="46" w:name="_Toc50125126"/>
      <w:bookmarkStart w:id="47" w:name="_Toc50125127"/>
      <w:bookmarkEnd w:id="43"/>
      <w:bookmarkEnd w:id="46"/>
      <w:r>
        <w:rPr>
          <w:sz w:val="24"/>
          <w:szCs w:val="24"/>
        </w:rPr>
        <w:t xml:space="preserve">Таблица 3. </w:t>
      </w:r>
      <w:bookmarkStart w:id="48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44"/>
      <w:bookmarkEnd w:id="47"/>
      <w:bookmarkEnd w:id="48"/>
      <w:r>
        <w:rPr>
          <w:sz w:val="24"/>
          <w:szCs w:val="24"/>
          <w:lang w:val="ru-RU"/>
        </w:rPr>
        <w:t>оказания услуг</w:t>
      </w:r>
      <w:bookmarkEnd w:id="4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2548"/>
        <w:gridCol w:w="2981"/>
        <w:gridCol w:w="3114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179" w:hRule="atLeast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ОКПД2: 62.02.20.190 Оказание услуг по сопровождению комплексной системы документооборота на ПО «LanDocs»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 </w:t>
            </w:r>
            <w:r>
              <w:rPr>
                <w:rFonts w:eastAsia="Calibri"/>
                <w:sz w:val="24"/>
                <w:szCs w:val="24"/>
                <w:lang w:eastAsia="x-none"/>
              </w:rPr>
              <w:t>01.09.202</w:t>
            </w:r>
            <w:r>
              <w:rPr>
                <w:rFonts w:eastAsia="Calibri"/>
                <w:sz w:val="24"/>
                <w:szCs w:val="24"/>
                <w:lang w:eastAsia="x-none"/>
              </w:rPr>
              <w:t>7</w:t>
            </w:r>
            <w:r>
              <w:rPr>
                <w:rFonts w:eastAsia="Calibri"/>
                <w:sz w:val="24"/>
                <w:szCs w:val="24"/>
                <w:lang w:eastAsia="x-none"/>
              </w:rPr>
              <w:t>г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По 31.08.2027г</w:t>
            </w:r>
          </w:p>
        </w:tc>
      </w:tr>
    </w:tbl>
    <w:p>
      <w:pPr>
        <w:sectPr>
          <w:headerReference w:type="even" r:id="rId5"/>
          <w:headerReference w:type="default" r:id="rId6"/>
          <w:headerReference w:type="first" r:id="rId7"/>
          <w:type w:val="nextPage"/>
          <w:pgSz w:orient="landscape"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49" w:name="__RefHeading___Toc3381_53797102"/>
      <w:bookmarkStart w:id="50" w:name="_Toc51339698"/>
      <w:bookmarkStart w:id="51" w:name="_Toc138154619"/>
      <w:bookmarkStart w:id="52" w:name="_Toc46743511"/>
      <w:bookmarkEnd w:id="49"/>
      <w:r>
        <w:rPr/>
        <w:t xml:space="preserve">Требования к </w:t>
      </w:r>
      <w:bookmarkEnd w:id="52"/>
      <w:r>
        <w:rPr>
          <w:lang w:val="ru-RU"/>
        </w:rPr>
        <w:t>качеству услуг</w:t>
      </w:r>
      <w:bookmarkEnd w:id="51"/>
    </w:p>
    <w:p>
      <w:pPr>
        <w:pStyle w:val="Heading1"/>
        <w:keepLines/>
        <w:tabs>
          <w:tab w:val="clear" w:pos="0"/>
        </w:tabs>
        <w:spacing w:before="240" w:after="60"/>
        <w:ind w:hanging="0" w:left="0"/>
        <w:rPr>
          <w:sz w:val="24"/>
          <w:szCs w:val="24"/>
        </w:rPr>
      </w:pPr>
      <w:bookmarkStart w:id="53" w:name="__RefHeading___Toc3383_53797102"/>
      <w:bookmarkStart w:id="54" w:name="_Toc138154620"/>
      <w:bookmarkEnd w:id="5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50"/>
      <w:r>
        <w:rPr>
          <w:sz w:val="24"/>
          <w:szCs w:val="24"/>
          <w:lang w:val="ru-RU"/>
        </w:rPr>
        <w:t>качеству услуг</w:t>
      </w:r>
      <w:bookmarkEnd w:id="54"/>
      <w:r>
        <w:rPr>
          <w:sz w:val="24"/>
          <w:szCs w:val="24"/>
        </w:rPr>
        <w:t xml:space="preserve"> </w:t>
      </w:r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>Наименование услуг/этапа услуг (позиция №1 Таблицы 2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): ОКПД2: 62.02.20.190 Оказание услуг по сопровождению комплексной системы документооборота на ПО «LanDocs»</w:t>
      </w:r>
    </w:p>
    <w:tbl>
      <w:tblPr>
        <w:tblStyle w:val="affffa"/>
        <w:tblW w:w="991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4"/>
        <w:gridCol w:w="5099"/>
        <w:gridCol w:w="3791"/>
      </w:tblGrid>
      <w:tr>
        <w:trPr>
          <w:trHeight w:val="276" w:hRule="atLeast"/>
        </w:trPr>
        <w:tc>
          <w:tcPr>
            <w:tcW w:w="102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509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79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76" w:hRule="atLeast"/>
        </w:trPr>
        <w:tc>
          <w:tcPr>
            <w:tcW w:w="102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09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7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55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55"/>
          </w:p>
        </w:tc>
        <w:tc>
          <w:tcPr>
            <w:tcW w:w="50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890" w:type="dxa"/>
            <w:gridSpan w:val="2"/>
            <w:tcBorders/>
            <w:vAlign w:val="center"/>
          </w:tcPr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before="120" w:after="60"/>
              <w:ind w:hanging="5002" w:left="5038"/>
              <w:jc w:val="left"/>
              <w:rPr>
                <w:sz w:val="24"/>
                <w:szCs w:val="24"/>
              </w:rPr>
            </w:pPr>
            <w:bookmarkStart w:id="56" w:name="__RefHeading___Toc3385_53797102"/>
            <w:bookmarkStart w:id="57" w:name="_Toc138154621"/>
            <w:bookmarkEnd w:id="56"/>
            <w:r>
              <w:rPr>
                <w:rFonts w:cs="Times New Roman"/>
                <w:kern w:val="0"/>
                <w:sz w:val="24"/>
                <w:szCs w:val="24"/>
                <w:lang w:bidi="ar-SA"/>
              </w:rPr>
              <w:t>Требования к оказанию услуг</w:t>
            </w:r>
            <w:bookmarkEnd w:id="57"/>
            <w:r>
              <w:rPr>
                <w:rFonts w:cs="Times New Roman"/>
                <w:kern w:val="0"/>
                <w:sz w:val="24"/>
                <w:szCs w:val="24"/>
                <w:lang w:bidi="ar-SA"/>
              </w:rPr>
              <w:t xml:space="preserve"> 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89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Мониторинг состояния Системы, выявление рисков и предотвращение проблем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Проведение работ по штатному обслуживанию компонентов Системы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Обработка обращений, оказание консультационной поддержки пользователей Системы в СПП, созданных в результате эскалации инцидента инженером СПП или ЦК КСД по незадокументированному функционалу Системы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Прикладное администрирование Системы (включая конфигурирование серверов в части модулей Системы.);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Внесение изменений в Общую НСИ Системы.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Заведение/удаление пользователей Системы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Восстановление Системы в случае аварии или сбоя, в случаях, не связанных с:</w:t>
            </w:r>
          </w:p>
          <w:p>
            <w:pPr>
              <w:pStyle w:val="Normal"/>
              <w:widowControl w:val="false"/>
              <w:numPr>
                <w:ilvl w:val="2"/>
                <w:numId w:val="86"/>
              </w:numPr>
              <w:suppressAutoHyphens w:val="true"/>
              <w:spacing w:before="0" w:after="0"/>
              <w:ind w:firstLine="567" w:left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проблемами, относящимися к другому оборудованию, программному обеспечению или услугам, с которыми используется Система, и/или заключенных в таком оборудовании, программном обеспечении или услугах;</w:t>
            </w:r>
          </w:p>
          <w:p>
            <w:pPr>
              <w:pStyle w:val="Normal"/>
              <w:widowControl w:val="false"/>
              <w:numPr>
                <w:ilvl w:val="2"/>
                <w:numId w:val="87"/>
              </w:numPr>
              <w:suppressAutoHyphens w:val="true"/>
              <w:spacing w:before="0" w:after="0"/>
              <w:ind w:firstLine="567" w:left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проведением работ, связанных с восстановлением, дополнительной настройкой, установкой нештатных компонент Системы не в соответствии с указаниями Исполнителя или техническими условиями на Систему (эксплуатационной документацией на Систему);</w:t>
            </w:r>
          </w:p>
          <w:p>
            <w:pPr>
              <w:pStyle w:val="Normal"/>
              <w:widowControl w:val="false"/>
              <w:numPr>
                <w:ilvl w:val="2"/>
                <w:numId w:val="88"/>
              </w:numPr>
              <w:suppressAutoHyphens w:val="true"/>
              <w:spacing w:before="0" w:after="0"/>
              <w:ind w:firstLine="567" w:left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 xml:space="preserve">использованием Системы в среде, способом или в целях, для которых она не была предназначена;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установкой, модификацией, изменениями или ремонтом Системы иным лицом, помимо Исполнителя или его уполномоченных представителей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Выявление ошибок в результате мониторинга Системы, анализа обращений пользователей, проблем и нештатных ситуаций, связанных с КСД, зафиксированных в КСА СПП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07" w:leader="none"/>
              </w:tabs>
              <w:suppressAutoHyphens w:val="true"/>
              <w:spacing w:before="0" w:after="0"/>
              <w:ind w:hanging="0" w:left="11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 xml:space="preserve">Доведение информации по ошибкам до Заказчика для принятия последующего решения и постановку задачи для изменения настроек.  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89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x-none" w:bidi="ar-SA"/>
              </w:rPr>
              <w:t>Требования к доработке Системы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 xml:space="preserve">Выполнение доработок в Системе 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в объеме не менее 20 человеко-дней за весь период действия Договора, заключенного с Исполнителем, не затрагивающих основные технические решения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Реализация доработок Системы, включая доработки рабочих карточек, отчетов и фильтров, не затрагивающих основные технические решения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89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x-none" w:bidi="ar-SA"/>
              </w:rPr>
              <w:t>Требования к установке обновлений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224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установке обновлений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 установкой обновления на промышленные сервера Заказчика Исполнитель проводит установку и проверку основного функционала КСД согласно эксплуатационной документации КСД на тестовых стендах Заказчика. Результаты тестирования Исполнитель доводит до Заказчика. Заказчик на основании полученной информации принимает решение об установке обновления и назначает дату обновления КСД.</w:t>
            </w:r>
          </w:p>
        </w:tc>
      </w:tr>
      <w:tr>
        <w:trPr/>
        <w:tc>
          <w:tcPr>
            <w:tcW w:w="1024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224" w:left="1224"/>
              <w:contextualSpacing/>
              <w:jc w:val="left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Обновление эксплуатационной документации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Исполнитель обязан производить обновление руководства пользователя</w:t>
            </w:r>
          </w:p>
        </w:tc>
      </w:tr>
      <w:tr>
        <w:trPr/>
        <w:tc>
          <w:tcPr>
            <w:tcW w:w="1024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Исполнитель обязан производить обновление руководства администратора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89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отчетности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0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Отчет по услугам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окончании оказания  услуг Исполнитель ежеквартально составляет Акт сдачи-приемки оказанных услуг, а также представляет Заказчику следующие отчетные документы: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x-none" w:bidi="ar-SA"/>
              </w:rPr>
              <w:t>Отчет о состоянии сервиса по поддержке КСД. Отчет должен содержать следующие данн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ые о состоянии сервиса: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both"/>
              <w:rPr/>
            </w:pPr>
            <w:r>
              <w:rPr>
                <w:lang w:eastAsia="x-none"/>
              </w:rPr>
              <w:t>Статистика по обращениям (количество обработанных /просроченных /повторных за период);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hanging="0" w:left="0"/>
              <w:jc w:val="both"/>
              <w:rPr/>
            </w:pPr>
            <w:r>
              <w:rPr/>
              <w:t>Количество отработанных человеко-часов на доработку;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 xml:space="preserve">Статистика собранная средствами КСА СПП. 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Отчет о состоянии сервиса по поддержке КСД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Статистика по обращениям (количество обработанных /просроченных /повторных за период)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89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услуг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0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Время приема заявок по инцидентам, зарегистрированным в КСА СПП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круглосуточно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Устранение зарегистрированных инцидентов должно осуществляться Исполнителем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рабочим дням с 9-00 до 18-00 (в предвыходные и предпраздничные дни с 9-00 до 16.45) по московскому времени.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время простоя и период снижения объёма и качества предоставления услуг должно составлять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более 8 часов в нерабочее время Заказчика.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Регламентные работы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должны проводиться во время технологического окна.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Период времени для восстановления работоспособности Системы и её компонентов после аварийного состояния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должен превышать 4 часов при обеспечении работоспособности аппаратной части, сетевой инфраструктуры и системного программного обеспечения и восстановлении данных в соответствии с «Регламентом резервного копирования»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89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уровню предоставления услуг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 xml:space="preserve">Базовый 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24 часа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 xml:space="preserve">Серьезный инцидент, ведущий к невозможности выполнения операций в системе без видимого временного решения: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x-none" w:bidi="ar-SA"/>
              </w:rPr>
              <w:t>Высокий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Устранение не более 8 рабочих часов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 xml:space="preserve">Проблема не останавливает работу системы в целом, но часть функций работает некорректно: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x-none" w:bidi="ar-SA"/>
              </w:rPr>
              <w:t>Средний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Устранение не более 16 рабочих часов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 xml:space="preserve">Проблема, влияющая на удобство работы с системой, снижающая эффективность ее использования: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x-none" w:bidi="ar-SA"/>
              </w:rPr>
              <w:t>Низкий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Устранение не более 5 рабочих дней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1"/>
              <w:jc w:val="left"/>
              <w:rPr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 xml:space="preserve">Проблема, не влияющая на удобство работы с системой, не снижающая эффективность ее использования, либо консультация: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x-none" w:bidi="ar-SA"/>
              </w:rPr>
              <w:t>Нет влияния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Устранение не более 10 рабочих дней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89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по поддержке сервиса оказываются Исполнителем удаленно с использованием телефона, электронной почты и сети Интернет.</w:t>
            </w:r>
          </w:p>
        </w:tc>
        <w:tc>
          <w:tcPr>
            <w:tcW w:w="379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89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Сервис предоставляется с использованием приложения, устанавливаемого на рабочих местах Заказчика с использованием внутренней сети или вне указанных помещений с использованием VPN туннеля.</w:t>
            </w:r>
          </w:p>
        </w:tc>
        <w:tc>
          <w:tcPr>
            <w:tcW w:w="379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согласие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89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времени доступности сервиса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0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Сервис предоставляется</w:t>
            </w:r>
          </w:p>
        </w:tc>
        <w:tc>
          <w:tcPr>
            <w:tcW w:w="379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24 часа в сутки 7 дней в неделю, за исключением периодов планового простоя Системы, периодов проведения регламентных работ и технологических окон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0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Время технологического окна</w:t>
            </w:r>
          </w:p>
        </w:tc>
        <w:tc>
          <w:tcPr>
            <w:tcW w:w="379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с 22:00 до 2:00 по московскому времени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в будние дни, а также выходные и праздничные дни.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89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379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 начала оказания услуг в рамках исполнения договора после его заключения исполнитель предоставляет список персонала с указанием сведений о квалификации персонала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890" w:type="dxa"/>
            <w:gridSpan w:val="2"/>
            <w:tcBorders/>
            <w:vAlign w:val="center"/>
          </w:tcPr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before="120" w:after="60"/>
              <w:ind w:hanging="5002" w:left="5038"/>
              <w:jc w:val="left"/>
              <w:rPr>
                <w:sz w:val="24"/>
                <w:szCs w:val="24"/>
              </w:rPr>
            </w:pPr>
            <w:bookmarkStart w:id="58" w:name="__RefHeading___Toc3387_53797102"/>
            <w:bookmarkStart w:id="59" w:name="_Toc138154622"/>
            <w:bookmarkEnd w:id="58"/>
            <w:r>
              <w:rPr>
                <w:rFonts w:cs="Times New Roman"/>
                <w:kern w:val="0"/>
                <w:sz w:val="24"/>
                <w:szCs w:val="24"/>
                <w:lang w:bidi="ar-SA"/>
              </w:rPr>
              <w:t>Требования к результатам услуг</w:t>
            </w:r>
            <w:bookmarkEnd w:id="59"/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89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Согласованная доступность услуги.</w:t>
            </w:r>
          </w:p>
          <w:p>
            <w:pPr>
              <w:pStyle w:val="Normal"/>
              <w:widowControl w:val="false"/>
              <w:textAlignment w:val="baseline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Доступность услуги рассчитывается по формуле:</w:t>
            </w:r>
          </w:p>
          <w:p>
            <w:pPr>
              <w:pStyle w:val="Normal"/>
              <w:widowControl w:val="false"/>
              <w:textAlignment w:val="baseline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Доступность = ((7 * 24 – СЕРВИСНЫЙ ИНТЕРВАЛ) – ОБЩЕЕ ВРЕМЯ НЕДОСТУПНОСТИ) / (7 * 24 – СЕРВИСНЫЙ ИНТЕРВАЛ)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СЕРВИСНЫЙ ИНТЕРВАЛ – </w:t>
            </w:r>
            <w:r>
              <w:rPr>
                <w:sz w:val="24"/>
                <w:szCs w:val="24"/>
              </w:rPr>
              <w:t xml:space="preserve">Ежеквартально проводится плановое технологическое обслуживание. </w:t>
            </w:r>
          </w:p>
          <w:p>
            <w:pPr>
              <w:pStyle w:val="Normal"/>
              <w:widowControl w:val="false"/>
              <w:textAlignment w:val="baseline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и продолжительность проведения планового технологического обслуживания согласовывается с ответственным представителем Заказчика за 2 недели до планируемого начала работ.</w:t>
            </w:r>
          </w:p>
        </w:tc>
        <w:tc>
          <w:tcPr>
            <w:tcW w:w="37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90%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Время восстановления услуги</w:t>
            </w:r>
          </w:p>
        </w:tc>
        <w:tc>
          <w:tcPr>
            <w:tcW w:w="37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более 4 часов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расписанию обслуживания</w:t>
            </w:r>
          </w:p>
        </w:tc>
        <w:tc>
          <w:tcPr>
            <w:tcW w:w="3791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hanging="294" w:left="294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с понедельника по воскресение и праздничные дни с 00:00 –09:00 (время московское) </w:t>
            </w:r>
            <w:r>
              <w:rPr>
                <w:rFonts w:cs="Times New Roman"/>
                <w:b/>
                <w:kern w:val="0"/>
                <w:lang w:val="ru-RU" w:eastAsia="ru-RU" w:bidi="ar-SA"/>
              </w:rPr>
              <w:t>Период функционирования приложения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hanging="294" w:left="294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в рабочие дни с понедельника по пятницу с 09:00 – 18:00 (в предвыходные и предпраздничные дни с 9-00 до 16.45) </w:t>
            </w:r>
            <w:r>
              <w:rPr>
                <w:rFonts w:cs="Times New Roman"/>
                <w:b/>
                <w:kern w:val="0"/>
                <w:lang w:val="ru-RU" w:eastAsia="ru-RU" w:bidi="ar-SA"/>
              </w:rPr>
              <w:t>основной период поддержки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89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информационной безопасности 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Информационная безопасность</w:t>
            </w:r>
          </w:p>
        </w:tc>
        <w:tc>
          <w:tcPr>
            <w:tcW w:w="37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Должна обеспечиваться на всех стадиях жизненного цикла Системы, с учетом всех сторон, вовлеченных в процессы жизненного цикла, поставщиков продуктов и услуг</w:t>
            </w:r>
          </w:p>
        </w:tc>
      </w:tr>
      <w:tr>
        <w:trPr/>
        <w:tc>
          <w:tcPr>
            <w:tcW w:w="10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Сервис предоставляется с использованием приложения, устанавливаемого на рабочих местах Заказчика с использованием внутренней сети или вне указанных помещений с использованием VPN туннеля. Услуги по поддержке сервиса оказываются Исполнителем удаленно с использованием телефона или электронной почты.</w:t>
            </w:r>
          </w:p>
        </w:tc>
        <w:tc>
          <w:tcPr>
            <w:tcW w:w="37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70" w:left="-113" w:right="-113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  <w:tc>
          <w:tcPr>
            <w:tcW w:w="3791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hanging="1199" w:left="1224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09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Техническое задание в Приложении№1</w:t>
            </w:r>
          </w:p>
        </w:tc>
        <w:tc>
          <w:tcPr>
            <w:tcW w:w="37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ТЗ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60" w:name="_Toc546434691"/>
      <w:bookmarkStart w:id="61" w:name="_Toc542798441"/>
      <w:bookmarkStart w:id="62" w:name="_Toc546434691"/>
      <w:bookmarkStart w:id="63" w:name="_Toc542798441"/>
      <w:bookmarkEnd w:id="62"/>
      <w:bookmarkEnd w:id="63"/>
    </w:p>
    <w:p>
      <w:pPr>
        <w:pStyle w:val="Normal"/>
        <w:rPr>
          <w:iCs/>
        </w:rPr>
      </w:pPr>
      <w:r>
        <w:rPr>
          <w:iCs/>
        </w:rPr>
      </w:r>
      <w:bookmarkStart w:id="64" w:name="__RefHeading___Toc28935_2947717425"/>
      <w:bookmarkStart w:id="65" w:name="__RefHeading___Toc28935_2947717425"/>
      <w:bookmarkEnd w:id="65"/>
    </w:p>
    <w:p>
      <w:pPr>
        <w:pStyle w:val="Normal"/>
        <w:ind w:hanging="357" w:left="357"/>
        <w:rPr>
          <w:iCs/>
        </w:rPr>
      </w:pPr>
      <w:r>
        <w:rPr>
          <w:iCs/>
        </w:rPr>
      </w:r>
    </w:p>
    <w:p>
      <w:pPr>
        <w:pStyle w:val="Heading1"/>
        <w:numPr>
          <w:ilvl w:val="0"/>
          <w:numId w:val="3"/>
        </w:numPr>
        <w:ind w:hanging="357" w:left="357"/>
        <w:rPr>
          <w:iCs/>
          <w:caps/>
          <w:lang w:val="ru-RU"/>
        </w:rPr>
      </w:pPr>
      <w:bookmarkStart w:id="66" w:name="__RefHeading___Toc3389_53797102"/>
      <w:bookmarkStart w:id="67" w:name="_Toc1381546131"/>
      <w:bookmarkStart w:id="68" w:name="_Toc513396931"/>
      <w:bookmarkStart w:id="69" w:name="_Toc546434692"/>
      <w:bookmarkStart w:id="70" w:name="_Toc542798442"/>
      <w:bookmarkStart w:id="71" w:name="_Toc54643469"/>
      <w:bookmarkStart w:id="72" w:name="_Toc54279844"/>
      <w:bookmarkEnd w:id="66"/>
      <w:r>
        <w:rPr>
          <w:iCs/>
          <w:lang w:val="ru-RU"/>
        </w:rPr>
        <w:t>П</w:t>
      </w:r>
      <w:bookmarkEnd w:id="67"/>
      <w:bookmarkEnd w:id="68"/>
      <w:bookmarkEnd w:id="69"/>
      <w:bookmarkEnd w:id="70"/>
      <w:bookmarkEnd w:id="71"/>
      <w:bookmarkEnd w:id="72"/>
      <w:r>
        <w:rPr>
          <w:iCs/>
          <w:lang w:val="ru-RU"/>
        </w:rPr>
        <w:t>риложения</w:t>
      </w: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sz w:val="24"/>
          <w:szCs w:val="24"/>
        </w:rPr>
      </w:pPr>
      <w:r>
        <w:rPr/>
        <w:t>1. Приложение №1. Техническое задание</w:t>
      </w:r>
    </w:p>
    <w:p>
      <w:pPr>
        <w:pStyle w:val="Heading3"/>
        <w:rPr>
          <w:lang w:val="ru-RU"/>
        </w:rPr>
      </w:pPr>
      <w:bookmarkStart w:id="73" w:name="__RefHeading___Toc3392_53797102"/>
      <w:bookmarkEnd w:id="73"/>
      <w:r>
        <w:rPr/>
        <w:t>Приложение №1 к Т</w:t>
      </w:r>
      <w:r>
        <w:rPr>
          <w:lang w:val="ru-RU"/>
        </w:rPr>
        <w:t>ехническим требованиям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8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ЦЕЛИ. </w:t>
      </w:r>
    </w:p>
    <w:p>
      <w:pPr>
        <w:pStyle w:val="Normal"/>
        <w:numPr>
          <w:ilvl w:val="1"/>
          <w:numId w:val="90"/>
        </w:numPr>
        <w:rPr>
          <w:b/>
          <w:sz w:val="24"/>
          <w:szCs w:val="24"/>
        </w:rPr>
      </w:pPr>
      <w:r>
        <w:rPr>
          <w:b/>
          <w:sz w:val="24"/>
          <w:szCs w:val="24"/>
          <w:lang w:val="x-none" w:eastAsia="x-none"/>
        </w:rPr>
        <w:t xml:space="preserve">Цели </w:t>
      </w:r>
      <w:r>
        <w:rPr>
          <w:b/>
          <w:sz w:val="24"/>
          <w:szCs w:val="24"/>
          <w:lang w:eastAsia="x-none"/>
        </w:rPr>
        <w:t>(назначение услуги)</w:t>
      </w:r>
    </w:p>
    <w:p>
      <w:pPr>
        <w:pStyle w:val="Normal"/>
        <w:ind w:hanging="0" w:left="1080"/>
        <w:rPr>
          <w:b/>
          <w:sz w:val="24"/>
          <w:szCs w:val="24"/>
        </w:rPr>
      </w:pPr>
      <w:r>
        <w:rPr>
          <w:sz w:val="24"/>
          <w:szCs w:val="24"/>
        </w:rPr>
        <w:t xml:space="preserve">Обеспечение функционирования рабочих мест КСД в соответствии с </w:t>
      </w:r>
      <w:r>
        <w:rPr>
          <w:sz w:val="24"/>
          <w:szCs w:val="24"/>
          <w:lang w:val="en-US"/>
        </w:rPr>
        <w:t>SLA</w:t>
      </w:r>
      <w:r>
        <w:rPr>
          <w:sz w:val="24"/>
          <w:szCs w:val="24"/>
        </w:rPr>
        <w:t>.</w:t>
      </w:r>
    </w:p>
    <w:p>
      <w:pPr>
        <w:pStyle w:val="Normal"/>
        <w:numPr>
          <w:ilvl w:val="0"/>
          <w:numId w:val="9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ЗАКУПАЕМОЙ УСЛУГЕ (ТЕХНИЧЕСКИЕ И ИНЫЕ ХАРАКТЕРИСТИКИ)</w:t>
      </w:r>
    </w:p>
    <w:p>
      <w:pPr>
        <w:pStyle w:val="Normal"/>
        <w:numPr>
          <w:ilvl w:val="1"/>
          <w:numId w:val="92"/>
        </w:numPr>
        <w:rPr>
          <w:b/>
          <w:sz w:val="24"/>
          <w:szCs w:val="24"/>
        </w:rPr>
      </w:pPr>
      <w:r>
        <w:rPr>
          <w:b/>
          <w:sz w:val="24"/>
          <w:szCs w:val="24"/>
          <w:lang w:eastAsia="x-none"/>
        </w:rPr>
        <w:t>Перечень услуг:</w:t>
      </w:r>
    </w:p>
    <w:p>
      <w:pPr>
        <w:pStyle w:val="Normal"/>
        <w:numPr>
          <w:ilvl w:val="2"/>
          <w:numId w:val="93"/>
        </w:num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Мониторинг состояния Системы, выявление рисков и предотвращение проблем;</w:t>
      </w:r>
    </w:p>
    <w:p>
      <w:pPr>
        <w:pStyle w:val="Normal"/>
        <w:numPr>
          <w:ilvl w:val="2"/>
          <w:numId w:val="94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Проведение работ по штатному обслуживанию компонентов Системы;</w:t>
      </w:r>
    </w:p>
    <w:p>
      <w:pPr>
        <w:pStyle w:val="Normal"/>
        <w:numPr>
          <w:ilvl w:val="2"/>
          <w:numId w:val="95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Восстановление Системы в случае аварии или сбоя, в случаях, не связанных с:</w:t>
      </w:r>
    </w:p>
    <w:p>
      <w:pPr>
        <w:pStyle w:val="Normal"/>
        <w:numPr>
          <w:ilvl w:val="2"/>
          <w:numId w:val="96"/>
        </w:numPr>
        <w:ind w:firstLine="567" w:left="0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проблемами, относящимися к другому оборудованию, программному обеспечению или услугам, с которыми используется Система, и/или заключенных в таком оборудовании, </w:t>
      </w:r>
      <w:r>
        <w:rPr>
          <w:rFonts w:eastAsia="Times New Roman" w:cs="Times New Roman"/>
          <w:color w:val="auto"/>
          <w:sz w:val="24"/>
          <w:szCs w:val="24"/>
          <w:lang w:val="ru-RU" w:eastAsia="x-none" w:bidi="ar-SA"/>
        </w:rPr>
        <w:t>программном обеспечении или услугах;</w:t>
      </w:r>
    </w:p>
    <w:p>
      <w:pPr>
        <w:pStyle w:val="Normal"/>
        <w:widowControl/>
        <w:numPr>
          <w:ilvl w:val="2"/>
          <w:numId w:val="97"/>
        </w:numPr>
        <w:suppressAutoHyphens w:val="true"/>
        <w:bidi w:val="0"/>
        <w:spacing w:before="0" w:after="0"/>
        <w:ind w:firstLine="567" w:lef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проведением работ, связанных с восстановлением, дополнительной настройкой, установкой нештатных компонент Системы не в соответствии с указаниями Исполнителя или техническими условиями на Систему (эксплуатационной документацией на Систему);</w:t>
      </w:r>
    </w:p>
    <w:p>
      <w:pPr>
        <w:pStyle w:val="Normal"/>
        <w:widowControl/>
        <w:numPr>
          <w:ilvl w:val="2"/>
          <w:numId w:val="98"/>
        </w:numPr>
        <w:suppressAutoHyphens w:val="true"/>
        <w:bidi w:val="0"/>
        <w:spacing w:before="0" w:after="0"/>
        <w:ind w:firstLine="567" w:lef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использованием Системы в среде, способом или в целях, для которых она не была предназначена; </w:t>
      </w:r>
    </w:p>
    <w:p>
      <w:pPr>
        <w:pStyle w:val="Normal"/>
        <w:widowControl/>
        <w:numPr>
          <w:ilvl w:val="2"/>
          <w:numId w:val="99"/>
        </w:numPr>
        <w:suppressAutoHyphens w:val="true"/>
        <w:bidi w:val="0"/>
        <w:spacing w:before="0" w:after="0"/>
        <w:ind w:firstLine="567" w:left="0"/>
        <w:jc w:val="both"/>
        <w:rPr>
          <w:sz w:val="28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установкой, модификацией, изменениями или ремонтом Системы иным лицом, помимо И</w:t>
      </w:r>
      <w:r>
        <w:rPr>
          <w:rFonts w:eastAsia="Times New Roman" w:cs="Times New Roman"/>
          <w:color w:val="auto"/>
          <w:sz w:val="24"/>
          <w:szCs w:val="24"/>
          <w:lang w:val="ru-RU" w:eastAsia="x-none" w:bidi="ar-SA"/>
        </w:rPr>
        <w:t xml:space="preserve">сполнителя или его уполномоченных представителей. </w:t>
      </w:r>
    </w:p>
    <w:p>
      <w:pPr>
        <w:pStyle w:val="Normal"/>
        <w:numPr>
          <w:ilvl w:val="2"/>
          <w:numId w:val="100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Обработка обращений, оказание консультационной поддержки пользователей Системы в СПП, созданных в результате эскалации инцидента инженером СПП или ЦК КСД по незадокументированному функционалу Системы;</w:t>
      </w:r>
    </w:p>
    <w:p>
      <w:pPr>
        <w:pStyle w:val="Normal"/>
        <w:numPr>
          <w:ilvl w:val="2"/>
          <w:numId w:val="101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Прикладное администрирование Системы (включая конфигурирование серверов в части модулей Системы.);</w:t>
      </w:r>
    </w:p>
    <w:p>
      <w:pPr>
        <w:pStyle w:val="Normal"/>
        <w:numPr>
          <w:ilvl w:val="2"/>
          <w:numId w:val="102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Выполнение доработок в Системе в объеме не менее 20 человеко-дней за весь период действия Договора, заключенного с Исполнителем, не затрагивающих основные технические решения. </w:t>
      </w:r>
    </w:p>
    <w:p>
      <w:pPr>
        <w:pStyle w:val="Normal"/>
        <w:numPr>
          <w:ilvl w:val="2"/>
          <w:numId w:val="103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Заведение/удаление пользователей Системы.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numPr>
          <w:ilvl w:val="1"/>
          <w:numId w:val="104"/>
        </w:num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Характеристика Системы</w:t>
      </w:r>
    </w:p>
    <w:p>
      <w:pPr>
        <w:pStyle w:val="Normal"/>
        <w:numPr>
          <w:ilvl w:val="2"/>
          <w:numId w:val="105"/>
        </w:num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Цели Системы: </w:t>
      </w:r>
    </w:p>
    <w:p>
      <w:pPr>
        <w:pStyle w:val="Normal"/>
        <w:numPr>
          <w:ilvl w:val="3"/>
          <w:numId w:val="106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eastAsia="x-none"/>
        </w:rPr>
        <w:t xml:space="preserve">Управление документацией в Обществе, ее маршрутизация и хранение; </w:t>
      </w:r>
    </w:p>
    <w:p>
      <w:pPr>
        <w:pStyle w:val="Normal"/>
        <w:numPr>
          <w:ilvl w:val="3"/>
          <w:numId w:val="107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eastAsia="x-none"/>
        </w:rPr>
        <w:t>Контроль исполнительской дисциплины;</w:t>
      </w:r>
    </w:p>
    <w:p>
      <w:pPr>
        <w:pStyle w:val="Normal"/>
        <w:numPr>
          <w:ilvl w:val="2"/>
          <w:numId w:val="108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Основные бизнес-процессы, автоматизируемые КСД: </w:t>
      </w:r>
    </w:p>
    <w:p>
      <w:pPr>
        <w:pStyle w:val="Normal"/>
        <w:numPr>
          <w:ilvl w:val="3"/>
          <w:numId w:val="109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Делопроизводство, внутренние, входящие/исходящие, </w:t>
      </w:r>
    </w:p>
    <w:p>
      <w:pPr>
        <w:pStyle w:val="Normal"/>
        <w:numPr>
          <w:ilvl w:val="3"/>
          <w:numId w:val="110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Контроль исполнения поручений, </w:t>
      </w:r>
    </w:p>
    <w:p>
      <w:pPr>
        <w:pStyle w:val="Normal"/>
        <w:numPr>
          <w:ilvl w:val="3"/>
          <w:numId w:val="111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Распорядительный документооборот, </w:t>
      </w:r>
    </w:p>
    <w:p>
      <w:pPr>
        <w:pStyle w:val="Normal"/>
        <w:numPr>
          <w:ilvl w:val="2"/>
          <w:numId w:val="112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Организационный охват:</w:t>
      </w:r>
    </w:p>
    <w:p>
      <w:pPr>
        <w:pStyle w:val="Normal"/>
        <w:numPr>
          <w:ilvl w:val="3"/>
          <w:numId w:val="113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Количество пользователей –  7</w:t>
      </w:r>
      <w:r>
        <w:rPr>
          <w:sz w:val="24"/>
          <w:szCs w:val="24"/>
          <w:lang w:eastAsia="x-none"/>
        </w:rPr>
        <w:t>6</w:t>
      </w:r>
      <w:r>
        <w:rPr>
          <w:sz w:val="24"/>
          <w:szCs w:val="24"/>
          <w:lang w:eastAsia="x-none"/>
        </w:rPr>
        <w:t>1</w:t>
      </w:r>
    </w:p>
    <w:p>
      <w:pPr>
        <w:pStyle w:val="Normal"/>
        <w:numPr>
          <w:ilvl w:val="3"/>
          <w:numId w:val="114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Система должна быть работоспособна и доступна для работников Заказчика с 4-00 до 22.00 по московскому времени.</w:t>
      </w:r>
    </w:p>
    <w:p>
      <w:pPr>
        <w:pStyle w:val="Normal"/>
        <w:numPr>
          <w:ilvl w:val="2"/>
          <w:numId w:val="115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Ландшафт включает в себя следующие основные серверные площадки: Продуктив, тестовая зона.</w:t>
      </w:r>
    </w:p>
    <w:p>
      <w:pPr>
        <w:pStyle w:val="Normal"/>
        <w:numPr>
          <w:ilvl w:val="2"/>
          <w:numId w:val="116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КСД является частью корпоративной информационной системы (ИС), использует существующие сервисы со стороны других информационных систем, а частности Active Directory, систему резервного копирования, MS Exchange и пр.</w:t>
      </w:r>
    </w:p>
    <w:p>
      <w:pPr>
        <w:pStyle w:val="Normal"/>
        <w:numPr>
          <w:ilvl w:val="2"/>
          <w:numId w:val="117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Сопровождение Системы осуществляется в рамках единой службы поддержки пользователей Заказчика, включая штатное и аварийное обслуживание. Основными чертами СПП являются:</w:t>
      </w:r>
    </w:p>
    <w:p>
      <w:pPr>
        <w:pStyle w:val="Normal"/>
        <w:numPr>
          <w:ilvl w:val="3"/>
          <w:numId w:val="118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Единая система учета обращений пользователей, управления изменениями;</w:t>
      </w:r>
    </w:p>
    <w:p>
      <w:pPr>
        <w:pStyle w:val="Normal"/>
        <w:numPr>
          <w:ilvl w:val="3"/>
          <w:numId w:val="119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Центры компетенции по основным инфраструктурным и бизнес системам, выполняющие роль «второй линии поддержки»;</w:t>
      </w:r>
    </w:p>
    <w:p>
      <w:pPr>
        <w:pStyle w:val="Normal"/>
        <w:numPr>
          <w:ilvl w:val="3"/>
          <w:numId w:val="120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Организация «третьей линии поддержки» с привлечением подрядных организаций.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numPr>
          <w:ilvl w:val="1"/>
          <w:numId w:val="121"/>
        </w:numPr>
        <w:rPr>
          <w:b/>
          <w:sz w:val="24"/>
          <w:szCs w:val="24"/>
          <w:lang w:val="x-none" w:eastAsia="x-none"/>
        </w:rPr>
      </w:pPr>
      <w:r>
        <w:rPr>
          <w:b/>
          <w:sz w:val="24"/>
          <w:szCs w:val="24"/>
          <w:lang w:eastAsia="x-none"/>
        </w:rPr>
        <w:t>Пользовательские</w:t>
      </w:r>
      <w:r>
        <w:rPr>
          <w:b/>
          <w:sz w:val="24"/>
          <w:szCs w:val="24"/>
          <w:lang w:val="x-none" w:eastAsia="x-none"/>
        </w:rPr>
        <w:t xml:space="preserve"> требования</w:t>
      </w:r>
    </w:p>
    <w:p>
      <w:pPr>
        <w:pStyle w:val="Normal"/>
        <w:numPr>
          <w:ilvl w:val="2"/>
          <w:numId w:val="122"/>
        </w:numPr>
        <w:rPr>
          <w:b/>
          <w:sz w:val="24"/>
          <w:szCs w:val="24"/>
          <w:lang w:val="x-none" w:eastAsia="x-none"/>
        </w:rPr>
      </w:pPr>
      <w:r>
        <w:rPr>
          <w:b/>
          <w:sz w:val="24"/>
          <w:szCs w:val="24"/>
          <w:lang w:eastAsia="x-none"/>
        </w:rPr>
        <w:t>Требования и мероприятия по обработке обращений СПП.</w:t>
      </w:r>
    </w:p>
    <w:p>
      <w:pPr>
        <w:pStyle w:val="Normal"/>
        <w:numPr>
          <w:ilvl w:val="3"/>
          <w:numId w:val="123"/>
        </w:num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Работа по обработке инцидентов осуществляется в соответствии с</w:t>
      </w:r>
      <w:r>
        <w:rPr>
          <w:sz w:val="24"/>
          <w:szCs w:val="24"/>
          <w:highlight w:val="yellow"/>
          <w:lang w:eastAsia="x-none"/>
        </w:rPr>
        <w:t xml:space="preserve"> </w:t>
      </w:r>
      <w:r>
        <w:rPr>
          <w:sz w:val="24"/>
          <w:szCs w:val="24"/>
          <w:lang w:eastAsia="x-none"/>
        </w:rPr>
        <w:t>использованием КСА СПП.</w:t>
      </w:r>
    </w:p>
    <w:p>
      <w:pPr>
        <w:pStyle w:val="Normal"/>
        <w:numPr>
          <w:ilvl w:val="3"/>
          <w:numId w:val="124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Распределение заявок выполняется СПП и/или Руководителем ЦК КСД.</w:t>
      </w:r>
    </w:p>
    <w:p>
      <w:pPr>
        <w:pStyle w:val="Normal"/>
        <w:numPr>
          <w:ilvl w:val="3"/>
          <w:numId w:val="125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При необходимости получить дополнительную информацию могут использоваться наиболее удобные средств коммуникации, например, телефон, электронная почта.</w:t>
      </w:r>
    </w:p>
    <w:p>
      <w:pPr>
        <w:pStyle w:val="Normal"/>
        <w:numPr>
          <w:ilvl w:val="3"/>
          <w:numId w:val="126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Обработка заявок по инцидентам, поступающих в систему КСА СПП, связанных с ошибками и сбоями прикладного программного обеспечения Системы, приводящими к невозможности выполнения системой ее основных функций. Исправление ошибок и сбоев производится Исполнителем в соответствии с приоритетом инцидента, указанным в параметрах SLA:</w:t>
      </w:r>
    </w:p>
    <w:p>
      <w:pPr>
        <w:pStyle w:val="ListParagraph"/>
        <w:numPr>
          <w:ilvl w:val="0"/>
          <w:numId w:val="13"/>
        </w:numPr>
        <w:jc w:val="both"/>
        <w:rPr/>
      </w:pPr>
      <w:r>
        <w:rPr>
          <w:lang w:eastAsia="x-none"/>
        </w:rPr>
        <w:t xml:space="preserve">В случае инцидентов, не повлекших необходимость внесения изменений в прикладное ПО Системы и изменения компонентов ландшафта Системы, должна производиться оперативная ликвидация сбоя. </w:t>
      </w:r>
    </w:p>
    <w:p>
      <w:pPr>
        <w:pStyle w:val="ListParagraph"/>
        <w:numPr>
          <w:ilvl w:val="0"/>
          <w:numId w:val="13"/>
        </w:numPr>
        <w:jc w:val="both"/>
        <w:rPr>
          <w:lang w:eastAsia="x-none"/>
        </w:rPr>
      </w:pPr>
      <w:r>
        <w:rPr>
          <w:lang w:eastAsia="x-none"/>
        </w:rPr>
        <w:t>В случае инцидентов, повлекших необходимость внесения изменений в прикладное ПО — подготовка Исполнителем новой версии ППО и передача Заказчику для последующего обновления системы с целью устранения выявленных инцидентов.</w:t>
      </w:r>
    </w:p>
    <w:p>
      <w:pPr>
        <w:pStyle w:val="Normal"/>
        <w:ind w:hanging="0" w:left="1224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Normal"/>
        <w:numPr>
          <w:ilvl w:val="2"/>
          <w:numId w:val="127"/>
        </w:num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Требования и мероприятия по исправлению ошибок</w:t>
      </w:r>
    </w:p>
    <w:p>
      <w:pPr>
        <w:pStyle w:val="Normal"/>
        <w:numPr>
          <w:ilvl w:val="3"/>
          <w:numId w:val="128"/>
        </w:num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Ошибки могут быть выявлены в результате мониторинга Системы, анализа обращений пользователей, проблем и нештатных ситуаций, связанных с КСД, зафиксированных в КСА СПП.</w:t>
      </w:r>
    </w:p>
    <w:p>
      <w:pPr>
        <w:pStyle w:val="Normal"/>
        <w:numPr>
          <w:ilvl w:val="3"/>
          <w:numId w:val="129"/>
        </w:num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По итогам выявления причин ошибки функциональности Системы Исполнитель доводит информацию до Заказчика для принятия последующего решения по исправлению. Для обсуждения Исполнитель выполняет постановку изменений настроек.  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numPr>
          <w:ilvl w:val="2"/>
          <w:numId w:val="130"/>
        </w:num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Требования и мероприятия по прикладному администрированию Системы</w:t>
      </w:r>
    </w:p>
    <w:p>
      <w:pPr>
        <w:pStyle w:val="Normal"/>
        <w:numPr>
          <w:ilvl w:val="3"/>
          <w:numId w:val="131"/>
        </w:num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Внесение изменений в Общую НСИ Системы.</w:t>
      </w:r>
    </w:p>
    <w:p>
      <w:pPr>
        <w:pStyle w:val="Normal"/>
        <w:numPr>
          <w:ilvl w:val="2"/>
          <w:numId w:val="132"/>
        </w:num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Требования и мероприятия по выполнению доработок Системы</w:t>
      </w:r>
    </w:p>
    <w:p>
      <w:pPr>
        <w:pStyle w:val="Normal"/>
        <w:numPr>
          <w:ilvl w:val="3"/>
          <w:numId w:val="133"/>
        </w:num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Реализация доработок Системы, включая доработки ГРК, отчетов и фильтров, не затрагивающих основные технические решения.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firstLine="709" w:left="0"/>
        <w:jc w:val="left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numPr>
          <w:ilvl w:val="1"/>
          <w:numId w:val="134"/>
        </w:numPr>
        <w:rPr>
          <w:b/>
          <w:sz w:val="24"/>
          <w:szCs w:val="24"/>
          <w:lang w:val="x-none" w:eastAsia="x-none"/>
        </w:rPr>
      </w:pPr>
      <w:r>
        <w:rPr>
          <w:b/>
          <w:sz w:val="24"/>
          <w:szCs w:val="24"/>
          <w:lang w:eastAsia="x-none"/>
        </w:rPr>
        <w:t>Требования к обновлению документации</w:t>
      </w:r>
    </w:p>
    <w:p>
      <w:pPr>
        <w:pStyle w:val="ListParagraph"/>
        <w:numPr>
          <w:ilvl w:val="2"/>
          <w:numId w:val="9"/>
        </w:numPr>
        <w:jc w:val="both"/>
        <w:rPr>
          <w:lang w:eastAsia="x-none"/>
        </w:rPr>
      </w:pPr>
      <w:r>
        <w:rPr>
          <w:lang w:eastAsia="x-none"/>
        </w:rPr>
        <w:t>В рамках поддержки Системы должно производиться обновление эксплуатационной документации.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К эксплуатационной документации относится: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– </w:t>
      </w:r>
      <w:r>
        <w:rPr>
          <w:sz w:val="24"/>
          <w:szCs w:val="24"/>
          <w:lang w:eastAsia="x-none"/>
        </w:rPr>
        <w:t>Руководство пользователя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– </w:t>
      </w:r>
      <w:r>
        <w:rPr>
          <w:sz w:val="24"/>
          <w:szCs w:val="24"/>
          <w:lang w:eastAsia="x-none"/>
        </w:rPr>
        <w:t>Руководство администратора</w:t>
      </w:r>
    </w:p>
    <w:p>
      <w:pPr>
        <w:pStyle w:val="Normal"/>
        <w:ind w:hanging="0" w:left="426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numPr>
          <w:ilvl w:val="1"/>
          <w:numId w:val="135"/>
        </w:num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Требования к отчетности</w:t>
      </w:r>
    </w:p>
    <w:p>
      <w:pPr>
        <w:pStyle w:val="Normal"/>
        <w:numPr>
          <w:ilvl w:val="2"/>
          <w:numId w:val="136"/>
        </w:numPr>
        <w:jc w:val="both"/>
        <w:rPr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  <w:lang w:val="ru-RU" w:eastAsia="x-none" w:bidi="ar-SA"/>
        </w:rPr>
        <w:t xml:space="preserve">По окончании оказания </w:t>
      </w:r>
      <w:r>
        <w:rPr>
          <w:sz w:val="24"/>
          <w:szCs w:val="24"/>
          <w:lang w:eastAsia="x-none"/>
        </w:rPr>
        <w:t>услуг Исполнитель ежеквартально составляет Акт сдачи-приемки оказанных услуг, а также представляет Заказчику следующие отчетные документы:</w:t>
      </w:r>
    </w:p>
    <w:p>
      <w:pPr>
        <w:pStyle w:val="ListParagraph"/>
        <w:numPr>
          <w:ilvl w:val="1"/>
          <w:numId w:val="14"/>
        </w:numPr>
        <w:jc w:val="both"/>
        <w:rPr/>
      </w:pPr>
      <w:r>
        <w:rPr>
          <w:rFonts w:eastAsia="Calibri" w:cs="Times New Roman"/>
          <w:color w:val="auto"/>
          <w:sz w:val="24"/>
          <w:szCs w:val="24"/>
          <w:lang w:val="ru-RU" w:eastAsia="x-none" w:bidi="ar-SA"/>
        </w:rPr>
        <w:t>Отчет о состоянии сервиса по поддержке КСД. Отчет должен содержать следующие данн</w:t>
      </w:r>
      <w:r>
        <w:rPr>
          <w:lang w:eastAsia="x-none"/>
        </w:rPr>
        <w:t>ые о состоянии сервиса:</w:t>
      </w:r>
    </w:p>
    <w:p>
      <w:pPr>
        <w:pStyle w:val="ListParagraph"/>
        <w:numPr>
          <w:ilvl w:val="1"/>
          <w:numId w:val="14"/>
        </w:numPr>
        <w:jc w:val="both"/>
        <w:rPr/>
      </w:pPr>
      <w:r>
        <w:rPr>
          <w:lang w:eastAsia="x-none"/>
        </w:rPr>
        <w:t>Статистика по обращениям (количество обработанных /просроченных /повторных за период);</w:t>
      </w:r>
    </w:p>
    <w:p>
      <w:pPr>
        <w:pStyle w:val="ListParagraph"/>
        <w:numPr>
          <w:ilvl w:val="1"/>
          <w:numId w:val="14"/>
        </w:numPr>
        <w:jc w:val="both"/>
        <w:rPr/>
      </w:pPr>
      <w:r>
        <w:rPr/>
        <w:t>Количество отработанных человеко-часов на доработку;</w:t>
      </w:r>
    </w:p>
    <w:p>
      <w:pPr>
        <w:pStyle w:val="ListParagraph"/>
        <w:numPr>
          <w:ilvl w:val="1"/>
          <w:numId w:val="14"/>
        </w:numPr>
        <w:jc w:val="both"/>
        <w:rPr>
          <w:lang w:eastAsia="x-none"/>
        </w:rPr>
      </w:pPr>
      <w:r>
        <w:rPr>
          <w:lang w:eastAsia="x-none"/>
        </w:rPr>
        <w:t xml:space="preserve">Статистика собранная средствами КСА СПП. </w:t>
      </w:r>
    </w:p>
    <w:p>
      <w:pPr>
        <w:pStyle w:val="ListParagraph"/>
        <w:rPr>
          <w:lang w:eastAsia="x-none"/>
        </w:rPr>
      </w:pPr>
      <w:r>
        <w:rPr>
          <w:lang w:eastAsia="x-none"/>
        </w:rPr>
      </w:r>
    </w:p>
    <w:p>
      <w:pPr>
        <w:pStyle w:val="Normal"/>
        <w:numPr>
          <w:ilvl w:val="1"/>
          <w:numId w:val="137"/>
        </w:num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Требования к контролю качества услуг</w:t>
      </w:r>
    </w:p>
    <w:p>
      <w:pPr>
        <w:pStyle w:val="Normal"/>
        <w:numPr>
          <w:ilvl w:val="2"/>
          <w:numId w:val="138"/>
        </w:num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Требования к параметрам обеспечения качества технической поддержки Системы:</w:t>
      </w:r>
    </w:p>
    <w:p>
      <w:pPr>
        <w:pStyle w:val="Normal"/>
        <w:spacing w:before="60" w:after="60"/>
        <w:ind w:hanging="360"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Заявки по инцидентам, зарегистрированным в КСА СПП, должны приниматься Исполнителем круглосуточно.</w:t>
      </w:r>
    </w:p>
    <w:p>
      <w:pPr>
        <w:pStyle w:val="Normal"/>
        <w:spacing w:before="60" w:after="60"/>
        <w:ind w:hanging="360"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зарегистрированных инцидентов должно осуществляться Исполнителем по рабочим дням с 9-00 до 18-00 (в предвыходные и предпраздничные дни с 9-00 до 16.45) по московскому времени.</w:t>
      </w:r>
    </w:p>
    <w:p>
      <w:pPr>
        <w:pStyle w:val="Normal"/>
        <w:spacing w:before="60" w:after="60"/>
        <w:ind w:hanging="360"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 проведении регламентных и профилактических работ максимальное время простоя и период снижения объёма и качества предоставления услуг должно составлять не более 8 часов в нерабочее время Заказчика. Регламентные работы должны проводиться во время технологического окна.</w:t>
      </w:r>
    </w:p>
    <w:p>
      <w:pPr>
        <w:pStyle w:val="Normal"/>
        <w:spacing w:before="60" w:after="60"/>
        <w:ind w:hanging="66" w:lef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Период времени для восстановления работоспособности Системы и её компонентов после аварийного состояния не должен превышать 4 часов при обеспечении работоспособности аппаратной части, сетевой инфраструктуры и системного программного обеспечения и восстановлении данных в соответствии с «Регламентом резервного копирования»</w:t>
      </w:r>
      <w:r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>.</w:t>
      </w:r>
    </w:p>
    <w:p>
      <w:pPr>
        <w:pStyle w:val="Normal"/>
        <w:numPr>
          <w:ilvl w:val="2"/>
          <w:numId w:val="139"/>
        </w:num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Услуги по поддержке КСД должны оказываться в соответствии со Спецификацией сервиса КСД (п. 2.7 настоящих Технических требований).</w:t>
      </w:r>
    </w:p>
    <w:p>
      <w:pPr>
        <w:pStyle w:val="Normal"/>
        <w:spacing w:before="60" w:after="6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1"/>
          <w:numId w:val="140"/>
        </w:numPr>
        <w:rPr>
          <w:b/>
          <w:sz w:val="24"/>
          <w:szCs w:val="24"/>
          <w:lang w:val="x-none" w:eastAsia="x-none"/>
        </w:rPr>
      </w:pPr>
      <w:r>
        <w:rPr>
          <w:b/>
          <w:sz w:val="24"/>
          <w:szCs w:val="24"/>
          <w:lang w:eastAsia="x-none"/>
        </w:rPr>
        <w:t>Спецификация сервиса КСД</w:t>
      </w:r>
    </w:p>
    <w:p>
      <w:pPr>
        <w:pStyle w:val="Normal"/>
        <w:numPr>
          <w:ilvl w:val="2"/>
          <w:numId w:val="141"/>
        </w:num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Имя сервиса: Комплексная система документооборота на платформе LanDocs</w:t>
      </w:r>
    </w:p>
    <w:p>
      <w:pPr>
        <w:pStyle w:val="Normal"/>
        <w:numPr>
          <w:ilvl w:val="2"/>
          <w:numId w:val="142"/>
        </w:num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Тип сервиса: бизнес-сервис</w:t>
      </w:r>
    </w:p>
    <w:p>
      <w:pPr>
        <w:pStyle w:val="Normal"/>
        <w:numPr>
          <w:ilvl w:val="2"/>
          <w:numId w:val="143"/>
        </w:num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 xml:space="preserve">Место предоставления </w:t>
      </w:r>
    </w:p>
    <w:p>
      <w:pPr>
        <w:pStyle w:val="Normal"/>
        <w:spacing w:before="60" w:after="60"/>
        <w:ind w:hanging="66" w:lef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Сервис предоставляется с использованием приложения, устанавливаемого на рабочих местах Заказчика с использованием внутренней сети или вне указанных помещений с использованием VPN туннеля. Услуги по поддержке сервиса оказываются Исполнителем удаленно с использованием телефона или электронной почты.</w:t>
      </w:r>
    </w:p>
    <w:p>
      <w:pPr>
        <w:pStyle w:val="Normal"/>
        <w:keepNext w:val="true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numPr>
          <w:ilvl w:val="2"/>
          <w:numId w:val="144"/>
        </w:numPr>
        <w:rPr>
          <w:b/>
          <w:sz w:val="24"/>
          <w:szCs w:val="24"/>
          <w:lang w:val="x-none" w:eastAsia="x-none"/>
        </w:rPr>
      </w:pPr>
      <w:r>
        <w:rPr>
          <w:b/>
          <w:sz w:val="24"/>
          <w:szCs w:val="24"/>
          <w:lang w:eastAsia="x-none"/>
        </w:rPr>
        <w:t xml:space="preserve">Время доступности сервиса </w:t>
      </w:r>
    </w:p>
    <w:p>
      <w:pPr>
        <w:pStyle w:val="Normal"/>
        <w:spacing w:before="60" w:after="60"/>
        <w:ind w:hanging="66" w:lef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Сервис предоставляется 24 часа в сутки 7 дней в неделю, за исключением периодов планового простоя Системы, периодов проведения регламентных работ и технологических окон. </w:t>
      </w:r>
    </w:p>
    <w:p>
      <w:pPr>
        <w:pStyle w:val="Normal"/>
        <w:spacing w:before="60" w:after="60"/>
        <w:ind w:hanging="66" w:lef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Обработка обращений Исполнителем осуществляется с 9:00 до 18-00 по московскому времени в будние дни (в предвыходные и предпраздничные дни с 9-00 до 16.45 по московскому времени). В случае аварии восстановление сервиса проводится Исполнителем сразу по обнаружению факта аварии независимо от времени и дня. </w:t>
      </w:r>
    </w:p>
    <w:p>
      <w:pPr>
        <w:pStyle w:val="Normal"/>
        <w:spacing w:before="60" w:after="60"/>
        <w:ind w:hanging="66" w:lef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Сервис при необходимости может останавливаться для проведения регламентных работ таких как резервное копирование данных Системы во время технологического окна. Время технологического окна: с 22:00 до 2:00 по московскому времени в будние дни, а также выходные и праздничные дни. Все остановки сервиса должны быть согласованы с Заказчиком. Обо всех остановках сервиса вне технологического окна пользователи Системы должны быть уведомлены не менее чем за сутки.</w:t>
      </w:r>
    </w:p>
    <w:p>
      <w:pPr>
        <w:pStyle w:val="Normal"/>
        <w:keepNext w:val="true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numPr>
          <w:ilvl w:val="2"/>
          <w:numId w:val="145"/>
        </w:num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Уровни предоставления услуги</w:t>
      </w:r>
    </w:p>
    <w:p>
      <w:pPr>
        <w:pStyle w:val="Normal"/>
        <w:keepNext w:val="true"/>
        <w:spacing w:before="60" w:after="60"/>
        <w:ind w:firstLine="567" w:left="360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Определены следующие уровни поддержки услуги:</w:t>
      </w:r>
    </w:p>
    <w:p>
      <w:pPr>
        <w:pStyle w:val="Normal"/>
        <w:keepNext w:val="true"/>
        <w:spacing w:before="60" w:after="60"/>
        <w:ind w:firstLine="567" w:left="360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- Базовый.</w:t>
      </w:r>
    </w:p>
    <w:p>
      <w:pPr>
        <w:pStyle w:val="Normal"/>
        <w:numPr>
          <w:ilvl w:val="2"/>
          <w:numId w:val="146"/>
        </w:num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 xml:space="preserve">Приоритеты обращений </w:t>
      </w:r>
    </w:p>
    <w:tbl>
      <w:tblPr>
        <w:tblW w:w="9889" w:type="dxa"/>
        <w:jc w:val="left"/>
        <w:tblInd w:w="-9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7624"/>
        <w:gridCol w:w="2264"/>
      </w:tblGrid>
      <w:tr>
        <w:trPr>
          <w:tblHeader w:val="true"/>
        </w:trPr>
        <w:tc>
          <w:tcPr>
            <w:tcW w:w="7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exact" w:line="280"/>
              <w:ind w:hanging="240" w:left="6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 классификации приоритетов обращения пользователя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exact" w:line="28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Кодовое название</w:t>
            </w:r>
          </w:p>
        </w:tc>
      </w:tr>
      <w:tr>
        <w:trPr>
          <w:tblHeader w:val="true"/>
        </w:trPr>
        <w:tc>
          <w:tcPr>
            <w:tcW w:w="7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exact" w:line="280"/>
              <w:ind w:hanging="22"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Серьезный инцидент, ведущий к невозможности выполнения операций в системе без видимого временного решения.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exact" w:line="280"/>
              <w:ind w:hanging="22"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</w:p>
        </w:tc>
      </w:tr>
      <w:tr>
        <w:trPr/>
        <w:tc>
          <w:tcPr>
            <w:tcW w:w="7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exact" w:line="280"/>
              <w:ind w:hanging="22"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Проблема не останавливает работу системы в целом, но часть функций работает некорректно.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exact" w:line="280"/>
              <w:ind w:hanging="22"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</w:p>
        </w:tc>
      </w:tr>
      <w:tr>
        <w:trPr/>
        <w:tc>
          <w:tcPr>
            <w:tcW w:w="7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exact" w:line="280"/>
              <w:ind w:hanging="22"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Проблема, влияющая на удобство работы с системой, снижающая эффективность ее использования.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exact" w:line="280"/>
              <w:ind w:hanging="22"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</w:tr>
      <w:tr>
        <w:trPr/>
        <w:tc>
          <w:tcPr>
            <w:tcW w:w="7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exact" w:line="280"/>
              <w:ind w:hanging="22"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Проблема, не влияющая на удобство работы с системой, не снижающая эффективность ее использования, либо консультация.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exact" w:line="280"/>
              <w:ind w:hanging="22"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влияния</w:t>
            </w:r>
          </w:p>
        </w:tc>
      </w:tr>
    </w:tbl>
    <w:p>
      <w:pPr>
        <w:pStyle w:val="Normal"/>
        <w:keepNext w:val="true"/>
        <w:spacing w:before="60" w:after="60"/>
        <w:ind w:firstLine="567" w:left="360"/>
        <w:rPr>
          <w:sz w:val="24"/>
          <w:szCs w:val="24"/>
          <w:lang w:val="x-none" w:eastAsia="x-none"/>
        </w:rPr>
      </w:pPr>
      <w:r>
        <w:rPr>
          <w:sz w:val="24"/>
          <w:szCs w:val="24"/>
          <w:lang w:eastAsia="x-none"/>
        </w:rPr>
        <w:t xml:space="preserve"> </w:t>
      </w:r>
    </w:p>
    <w:p>
      <w:pPr>
        <w:pStyle w:val="Normal"/>
        <w:numPr>
          <w:ilvl w:val="2"/>
          <w:numId w:val="147"/>
        </w:num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Параметры сервиса</w:t>
      </w:r>
    </w:p>
    <w:p>
      <w:pPr>
        <w:pStyle w:val="Normal"/>
        <w:ind w:firstLine="697" w:left="11"/>
        <w:rPr>
          <w:b/>
          <w:sz w:val="24"/>
          <w:szCs w:val="24"/>
          <w:lang w:val="x-none" w:eastAsia="x-none"/>
        </w:rPr>
      </w:pPr>
      <w:r>
        <w:rPr>
          <w:sz w:val="24"/>
          <w:szCs w:val="24"/>
          <w:lang w:eastAsia="x-none"/>
        </w:rPr>
        <w:t>Исполнитель должен обеспечивать выполнение следующих параметров уровня сервиса: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11"/>
        <w:gridCol w:w="7409"/>
      </w:tblGrid>
      <w:tr>
        <w:trPr>
          <w:tblHeader w:val="true"/>
          <w:trHeight w:val="509" w:hRule="atLeast"/>
        </w:trPr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Определение параметров уровня сервиса</w:t>
            </w:r>
          </w:p>
        </w:tc>
        <w:tc>
          <w:tcPr>
            <w:tcW w:w="7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Значение параметров уровня сервиса</w:t>
            </w:r>
          </w:p>
        </w:tc>
      </w:tr>
      <w:tr>
        <w:trPr>
          <w:trHeight w:val="431" w:hRule="atLeast"/>
          <w:cantSplit w:val="true"/>
        </w:trPr>
        <w:tc>
          <w:tcPr>
            <w:tcW w:w="25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График обслуживания </w:t>
            </w:r>
          </w:p>
        </w:tc>
        <w:tc>
          <w:tcPr>
            <w:tcW w:w="7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Стандартный период -  </w:t>
            </w:r>
            <w:r>
              <w:rPr>
                <w:sz w:val="24"/>
                <w:szCs w:val="24"/>
              </w:rPr>
              <w:t xml:space="preserve">соответствует Стандартному расписанию  обслуживания </w:t>
            </w:r>
          </w:p>
        </w:tc>
      </w:tr>
      <w:tr>
        <w:trPr>
          <w:trHeight w:val="620" w:hRule="atLeast"/>
          <w:cantSplit w:val="true"/>
        </w:trPr>
        <w:tc>
          <w:tcPr>
            <w:tcW w:w="25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Доступность команд поддержки</w:t>
            </w:r>
          </w:p>
        </w:tc>
        <w:tc>
          <w:tcPr>
            <w:tcW w:w="7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Стандартный период: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09:00 до 18:00 понедельник – пятница, в предпраздничные дни с 9-00 до 16.45 (суббота, воскресенье и праздничные дни – по запросу) </w:t>
            </w:r>
          </w:p>
        </w:tc>
      </w:tr>
      <w:tr>
        <w:trPr>
          <w:trHeight w:val="620" w:hRule="atLeast"/>
          <w:cantSplit w:val="true"/>
        </w:trPr>
        <w:tc>
          <w:tcPr>
            <w:tcW w:w="25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плановых технологических работ</w:t>
            </w:r>
          </w:p>
        </w:tc>
        <w:tc>
          <w:tcPr>
            <w:tcW w:w="7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 проводится плановое технологическое обслуживание Системы.</w:t>
            </w:r>
          </w:p>
          <w:p>
            <w:pPr>
              <w:pStyle w:val="Normal"/>
              <w:widowControl w:val="false"/>
              <w:spacing w:lineRule="exact" w: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проведения планового технологического обслуживания согласовывается с ответственным представителем Заказчика за 2 недели до планируемого начала работ.</w:t>
            </w:r>
          </w:p>
        </w:tc>
      </w:tr>
      <w:tr>
        <w:trPr>
          <w:trHeight w:val="504" w:hRule="atLeast"/>
          <w:cantSplit w:val="true"/>
        </w:trPr>
        <w:tc>
          <w:tcPr>
            <w:tcW w:w="25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 службы поддержки</w:t>
            </w:r>
          </w:p>
        </w:tc>
        <w:tc>
          <w:tcPr>
            <w:tcW w:w="7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</w:p>
        </w:tc>
      </w:tr>
    </w:tbl>
    <w:p>
      <w:pPr>
        <w:pStyle w:val="Normal"/>
        <w:spacing w:before="120" w:after="0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Normal"/>
        <w:numPr>
          <w:ilvl w:val="1"/>
          <w:numId w:val="148"/>
        </w:num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Устранение инцидентов</w:t>
      </w:r>
    </w:p>
    <w:p>
      <w:pPr>
        <w:pStyle w:val="Normal"/>
        <w:widowControl w:val="false"/>
        <w:textAlignment w:val="baseline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Время устранения инцидентов, препятствующих использованию КСД, определено в следующей таблице:</w:t>
      </w:r>
    </w:p>
    <w:tbl>
      <w:tblPr>
        <w:tblW w:w="99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951"/>
        <w:gridCol w:w="1842"/>
        <w:gridCol w:w="6127"/>
      </w:tblGrid>
      <w:tr>
        <w:trPr>
          <w:tblHeader w:val="true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Срочность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Срок*</w:t>
            </w:r>
          </w:p>
        </w:tc>
      </w:tr>
      <w:tr>
        <w:trPr>
          <w:trHeight w:val="60" w:hRule="atLeast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рабочих дней или другой согласованный между сторонами срок</w:t>
            </w:r>
          </w:p>
        </w:tc>
      </w:tr>
      <w:tr>
        <w:trPr>
          <w:trHeight w:val="60" w:hRule="atLeast"/>
        </w:trPr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рабочих дней или другой согласованный между сторонами срок</w:t>
            </w:r>
          </w:p>
        </w:tc>
      </w:tr>
      <w:tr>
        <w:trPr>
          <w:trHeight w:val="60" w:hRule="atLeast"/>
        </w:trPr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рабочих часов</w:t>
            </w:r>
          </w:p>
        </w:tc>
      </w:tr>
      <w:tr>
        <w:trPr>
          <w:trHeight w:val="60" w:hRule="atLeast"/>
        </w:trPr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рабочих часа</w:t>
            </w:r>
          </w:p>
        </w:tc>
      </w:tr>
    </w:tbl>
    <w:p>
      <w:pPr>
        <w:pStyle w:val="Normal"/>
        <w:widowControl w:val="false"/>
        <w:textAlignment w:val="baseline"/>
        <w:rPr>
          <w:sz w:val="24"/>
          <w:szCs w:val="24"/>
          <w:lang w:eastAsia="ar-SA"/>
        </w:rPr>
      </w:pPr>
      <w:r>
        <w:rPr>
          <w:sz w:val="24"/>
          <w:szCs w:val="24"/>
        </w:rPr>
        <w:t>В рамках решения инцидентов с Высокой и Средней срочностью, Исполнитель в праве предоставить обходное решение, позволяющее восстановить функционирование системы с ограничениями, не влияющими на бизнес процессы Заказчика. В</w:t>
      </w:r>
      <w:bookmarkStart w:id="74" w:name="_GoBack1"/>
      <w:bookmarkEnd w:id="74"/>
      <w:r>
        <w:rPr>
          <w:sz w:val="24"/>
          <w:szCs w:val="24"/>
        </w:rPr>
        <w:t xml:space="preserve"> данном случае срочность инцидента автоматически понижается в соответствии с таблицей срочности и сроков по устранению инцидентов (п. 2.8.)</w:t>
      </w:r>
    </w:p>
    <w:p>
      <w:pPr>
        <w:pStyle w:val="Normal"/>
        <w:widowControl w:val="false"/>
        <w:textAlignment w:val="baseline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numPr>
          <w:ilvl w:val="1"/>
          <w:numId w:val="149"/>
        </w:num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Запросы на обслуживание</w:t>
      </w:r>
    </w:p>
    <w:tbl>
      <w:tblPr>
        <w:tblW w:w="99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227"/>
        <w:gridCol w:w="6687"/>
      </w:tblGrid>
      <w:tr>
        <w:trPr/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FFFFFF"/>
                <w:sz w:val="24"/>
                <w:szCs w:val="24"/>
                <w:lang w:eastAsia="ar-SA"/>
              </w:rPr>
            </w:pPr>
            <w:r>
              <w:rPr>
                <w:b/>
                <w:color w:val="FFFFFF"/>
                <w:sz w:val="24"/>
                <w:szCs w:val="24"/>
              </w:rPr>
              <w:t>Уровень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FFFFFF"/>
                <w:sz w:val="24"/>
                <w:szCs w:val="24"/>
                <w:lang w:eastAsia="ar-SA"/>
              </w:rPr>
            </w:pPr>
            <w:r>
              <w:rPr>
                <w:b/>
                <w:color w:val="FFFFFF"/>
                <w:sz w:val="24"/>
                <w:szCs w:val="24"/>
              </w:rPr>
              <w:t>Срок</w:t>
            </w:r>
          </w:p>
        </w:tc>
      </w:tr>
      <w:tr>
        <w:trPr>
          <w:trHeight w:val="359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24 часов</w:t>
            </w:r>
          </w:p>
        </w:tc>
      </w:tr>
    </w:tbl>
    <w:p>
      <w:pPr>
        <w:pStyle w:val="Normal"/>
        <w:keepNext w:val="true"/>
        <w:spacing w:before="120" w:after="0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Normal"/>
        <w:numPr>
          <w:ilvl w:val="1"/>
          <w:numId w:val="150"/>
        </w:numPr>
        <w:rPr>
          <w:b/>
          <w:sz w:val="24"/>
          <w:szCs w:val="24"/>
          <w:lang w:val="x-none" w:eastAsia="x-none"/>
        </w:rPr>
      </w:pPr>
      <w:r>
        <w:rPr>
          <w:b/>
          <w:sz w:val="24"/>
          <w:szCs w:val="24"/>
          <w:lang w:val="x-none" w:eastAsia="x-none"/>
        </w:rPr>
        <w:t xml:space="preserve">Запросы на </w:t>
      </w:r>
      <w:r>
        <w:rPr>
          <w:b/>
          <w:sz w:val="24"/>
          <w:szCs w:val="24"/>
          <w:lang w:eastAsia="x-none"/>
        </w:rPr>
        <w:t>информацию</w:t>
      </w:r>
    </w:p>
    <w:tbl>
      <w:tblPr>
        <w:tblW w:w="99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227"/>
        <w:gridCol w:w="6687"/>
      </w:tblGrid>
      <w:tr>
        <w:trPr/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FFFFFF"/>
                <w:sz w:val="24"/>
                <w:szCs w:val="24"/>
                <w:lang w:eastAsia="ar-SA"/>
              </w:rPr>
            </w:pPr>
            <w:r>
              <w:rPr>
                <w:b/>
                <w:color w:val="FFFFFF"/>
                <w:sz w:val="24"/>
                <w:szCs w:val="24"/>
              </w:rPr>
              <w:t>Уровень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FFFFFF"/>
                <w:sz w:val="24"/>
                <w:szCs w:val="24"/>
                <w:lang w:eastAsia="ar-SA"/>
              </w:rPr>
            </w:pPr>
            <w:r>
              <w:rPr>
                <w:b/>
                <w:color w:val="FFFFFF"/>
                <w:sz w:val="24"/>
                <w:szCs w:val="24"/>
              </w:rPr>
              <w:t>Срок</w:t>
            </w:r>
            <w:r>
              <w:rPr>
                <w:b/>
                <w:color w:val="FFFFFF"/>
                <w:sz w:val="24"/>
                <w:szCs w:val="24"/>
                <w:vertAlign w:val="superscript"/>
              </w:rPr>
              <w:t>1</w:t>
            </w:r>
          </w:p>
        </w:tc>
      </w:tr>
      <w:tr>
        <w:trPr>
          <w:trHeight w:val="359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8 часов</w:t>
            </w:r>
          </w:p>
        </w:tc>
      </w:tr>
    </w:tbl>
    <w:p>
      <w:pPr>
        <w:pStyle w:val="Normal"/>
        <w:keepNext w:val="true"/>
        <w:spacing w:before="120" w:after="0"/>
        <w:rPr>
          <w:b/>
          <w:sz w:val="24"/>
          <w:szCs w:val="24"/>
          <w:lang w:val="en-US" w:eastAsia="x-none"/>
        </w:rPr>
      </w:pPr>
      <w:r>
        <w:rPr>
          <w:b/>
          <w:sz w:val="24"/>
          <w:szCs w:val="24"/>
          <w:lang w:val="en-US" w:eastAsia="x-none"/>
        </w:rPr>
      </w:r>
    </w:p>
    <w:p>
      <w:pPr>
        <w:pStyle w:val="Normal"/>
        <w:numPr>
          <w:ilvl w:val="1"/>
          <w:numId w:val="151"/>
        </w:numPr>
        <w:rPr>
          <w:b/>
          <w:sz w:val="24"/>
          <w:szCs w:val="24"/>
          <w:lang w:val="x-none" w:eastAsia="x-none"/>
        </w:rPr>
      </w:pPr>
      <w:r>
        <w:rPr>
          <w:b/>
          <w:sz w:val="24"/>
          <w:szCs w:val="24"/>
          <w:lang w:val="x-none" w:eastAsia="x-none"/>
        </w:rPr>
        <w:t>Доступность услуги по сопровождению рабочих мест КСД в процентах</w:t>
      </w:r>
    </w:p>
    <w:p>
      <w:pPr>
        <w:pStyle w:val="Normal"/>
        <w:widowControl w:val="false"/>
        <w:spacing w:before="0" w:after="120"/>
        <w:textAlignment w:val="baseline"/>
        <w:rPr>
          <w:b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Согласованная доступность услуги: </w:t>
      </w:r>
      <w:r>
        <w:rPr>
          <w:b/>
          <w:sz w:val="24"/>
          <w:szCs w:val="24"/>
          <w:lang w:eastAsia="ar-SA"/>
        </w:rPr>
        <w:t>90%</w:t>
      </w:r>
    </w:p>
    <w:p>
      <w:pPr>
        <w:pStyle w:val="Normal"/>
        <w:widowControl w:val="false"/>
        <w:textAlignment w:val="baseline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Услуга считается доступной, если время восстановления услуги не превышает </w:t>
      </w:r>
      <w:r>
        <w:rPr>
          <w:b/>
          <w:sz w:val="24"/>
          <w:szCs w:val="24"/>
          <w:lang w:eastAsia="ar-SA"/>
        </w:rPr>
        <w:t xml:space="preserve">4 </w:t>
      </w:r>
      <w:r>
        <w:rPr>
          <w:sz w:val="24"/>
          <w:szCs w:val="24"/>
          <w:lang w:eastAsia="ar-SA"/>
        </w:rPr>
        <w:t>часов.</w:t>
      </w:r>
    </w:p>
    <w:p>
      <w:pPr>
        <w:pStyle w:val="Normal"/>
        <w:widowControl w:val="false"/>
        <w:textAlignment w:val="baseline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Доступность услуги рассчитывается по формуле:</w:t>
      </w:r>
    </w:p>
    <w:p>
      <w:pPr>
        <w:pStyle w:val="Normal"/>
        <w:widowControl w:val="false"/>
        <w:textAlignment w:val="baseline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Доступность = ((7 * 24 – СЕРВИСНЫЙ ИНТЕРВАЛ) – ОБЩЕЕ ВРЕМЯ НЕДОСТУПНОСТИ) / (7 * 24 – СЕРВИСНЫЙ ИНТЕРВАЛ)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СЕРВИСНЫЙ ИНТЕРВАЛ – </w:t>
      </w:r>
      <w:r>
        <w:rPr>
          <w:sz w:val="24"/>
          <w:szCs w:val="24"/>
        </w:rPr>
        <w:t xml:space="preserve">Ежеквартально проводится плановое технологическое обслуживание. </w:t>
      </w:r>
    </w:p>
    <w:p>
      <w:pPr>
        <w:pStyle w:val="Normal"/>
        <w:widowControl w:val="false"/>
        <w:textAlignment w:val="baseline"/>
        <w:rPr>
          <w:sz w:val="24"/>
          <w:szCs w:val="24"/>
          <w:lang w:eastAsia="ar-SA"/>
        </w:rPr>
      </w:pPr>
      <w:r>
        <w:rPr>
          <w:sz w:val="24"/>
          <w:szCs w:val="24"/>
        </w:rPr>
        <w:t>Срок и продолжительность проведения планового технологического обслуживания согласовывается с ответственным представителем Заказчика за 2 недели до планируемого начала работ.</w:t>
      </w:r>
    </w:p>
    <w:p>
      <w:pPr>
        <w:pStyle w:val="Normal"/>
        <w:widowControl w:val="false"/>
        <w:textAlignment w:val="baseline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Общее время недоступности рассчитывается на основании данных КСА СПП.</w:t>
      </w:r>
    </w:p>
    <w:p>
      <w:pPr>
        <w:pStyle w:val="Normal"/>
        <w:widowControl w:val="false"/>
        <w:textAlignment w:val="baseline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Ошибки пользователей не являются причиной недоступности услуги.</w:t>
      </w:r>
    </w:p>
    <w:p>
      <w:pPr>
        <w:pStyle w:val="Normal"/>
        <w:widowControl w:val="false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Общее время недоступности услуги не включает в себя простой по причине недоступности других услуг, от которых зависит предоставление данной услуги.</w:t>
      </w:r>
    </w:p>
    <w:p>
      <w:pPr>
        <w:pStyle w:val="Normal"/>
        <w:keepNext w:val="true"/>
        <w:spacing w:before="60" w:after="60"/>
        <w:ind w:firstLine="567" w:left="36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numPr>
          <w:ilvl w:val="2"/>
          <w:numId w:val="152"/>
        </w:numPr>
        <w:rPr>
          <w:b/>
          <w:sz w:val="24"/>
          <w:szCs w:val="24"/>
          <w:lang w:val="x-none" w:eastAsia="x-none"/>
        </w:rPr>
      </w:pPr>
      <w:r>
        <w:rPr>
          <w:b/>
          <w:sz w:val="24"/>
          <w:szCs w:val="24"/>
          <w:lang w:val="x-none" w:eastAsia="x-none"/>
        </w:rPr>
        <w:t>Требования к расписанию обслуживания</w:t>
      </w:r>
    </w:p>
    <w:p>
      <w:pPr>
        <w:pStyle w:val="Normal"/>
        <w:widowControl w:val="false"/>
        <w:spacing w:before="60" w:after="60"/>
        <w:ind w:firstLine="567" w:left="357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Исполнитель должен обеспечивать выполнение следующего расписания обслуживания:</w:t>
      </w:r>
    </w:p>
    <w:tbl>
      <w:tblPr>
        <w:tblpPr w:vertAnchor="text" w:horzAnchor="margin" w:leftFromText="180" w:rightFromText="180" w:tblpX="0" w:tblpY="136"/>
        <w:tblW w:w="964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22"/>
        <w:gridCol w:w="812"/>
        <w:gridCol w:w="911"/>
        <w:gridCol w:w="1022"/>
        <w:gridCol w:w="1024"/>
        <w:gridCol w:w="1260"/>
        <w:gridCol w:w="1138"/>
        <w:gridCol w:w="1451"/>
      </w:tblGrid>
      <w:tr>
        <w:trPr>
          <w:trHeight w:val="408" w:hRule="atLeast"/>
          <w:cantSplit w:val="true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keepNext w:val="true"/>
              <w:widowControl w:val="false"/>
              <w:spacing w:before="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московское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keepNext w:val="true"/>
              <w:widowControl w:val="false"/>
              <w:spacing w:before="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</w:t>
            </w:r>
          </w:p>
          <w:p>
            <w:pPr>
              <w:pStyle w:val="Normal"/>
              <w:widowControl w:val="false"/>
              <w:spacing w:before="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keepNext w:val="true"/>
              <w:widowControl w:val="false"/>
              <w:spacing w:before="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keepNext w:val="true"/>
              <w:widowControl w:val="false"/>
              <w:spacing w:before="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keepNext w:val="true"/>
              <w:widowControl w:val="false"/>
              <w:spacing w:before="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keepNext w:val="true"/>
              <w:widowControl w:val="false"/>
              <w:spacing w:before="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keepNext w:val="true"/>
              <w:widowControl w:val="false"/>
              <w:spacing w:before="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keepNext w:val="true"/>
              <w:widowControl w:val="false"/>
              <w:spacing w:before="0" w:after="40"/>
              <w:ind w:hanging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Воскресные и праздничные дни</w:t>
            </w:r>
          </w:p>
        </w:tc>
      </w:tr>
      <w:tr>
        <w:trPr>
          <w:trHeight w:val="280" w:hRule="atLeast"/>
          <w:cantSplit w:val="true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00:00 –09:00</w:t>
            </w:r>
          </w:p>
        </w:tc>
        <w:tc>
          <w:tcPr>
            <w:tcW w:w="76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00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</w:t>
            </w:r>
          </w:p>
        </w:tc>
      </w:tr>
      <w:tr>
        <w:trPr>
          <w:trHeight w:val="280" w:hRule="atLeast"/>
          <w:cantSplit w:val="true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18:00</w:t>
            </w:r>
          </w:p>
          <w:p>
            <w:pPr>
              <w:pStyle w:val="Normal"/>
              <w:keepNext w:val="true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предвыходные и предпраздничные дни с 9-00 до 16.45)</w:t>
            </w:r>
          </w:p>
        </w:tc>
        <w:tc>
          <w:tcPr>
            <w:tcW w:w="50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  <w:vAlign w:val="center"/>
          </w:tcPr>
          <w:p>
            <w:pPr>
              <w:pStyle w:val="Normal"/>
              <w:keepNext w:val="true"/>
              <w:widowControl w:val="false"/>
              <w:spacing w:before="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00FF" w:val="clear"/>
            <w:vAlign w:val="center"/>
          </w:tcPr>
          <w:p>
            <w:pPr>
              <w:pStyle w:val="Normal"/>
              <w:keepNext w:val="true"/>
              <w:widowControl w:val="false"/>
              <w:spacing w:before="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00FF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</w:t>
            </w:r>
          </w:p>
        </w:tc>
      </w:tr>
      <w:tr>
        <w:trPr>
          <w:trHeight w:val="280" w:hRule="atLeast"/>
          <w:cantSplit w:val="true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4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>:00 – 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:00</w:t>
            </w:r>
          </w:p>
        </w:tc>
        <w:tc>
          <w:tcPr>
            <w:tcW w:w="76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00FF" w:val="clear"/>
          </w:tcPr>
          <w:p>
            <w:pPr>
              <w:pStyle w:val="Normal"/>
              <w:keepNext w:val="true"/>
              <w:widowControl w:val="false"/>
              <w:spacing w:before="0" w:after="40"/>
              <w:jc w:val="center"/>
              <w:rPr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  <w:shd w:fill="FF00FF" w:val="clear"/>
              </w:rPr>
              <w:t>ПФ</w:t>
            </w:r>
          </w:p>
        </w:tc>
      </w:tr>
    </w:tbl>
    <w:p>
      <w:pPr>
        <w:pStyle w:val="Normal"/>
        <w:widowControl w:val="false"/>
        <w:spacing w:before="60" w:after="60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widowControl w:val="false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Где метка означает: </w:t>
      </w:r>
    </w:p>
    <w:p>
      <w:pPr>
        <w:pStyle w:val="Normal"/>
        <w:widowControl w:val="false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tbl>
      <w:tblPr>
        <w:tblpPr w:vertAnchor="text" w:horzAnchor="margin" w:leftFromText="180" w:rightFromText="180" w:tblpX="0" w:tblpY="1"/>
        <w:tblW w:w="965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4"/>
        <w:gridCol w:w="8905"/>
      </w:tblGrid>
      <w:tr>
        <w:trPr/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FF00" w:val="clear"/>
          </w:tcPr>
          <w:p>
            <w:pPr>
              <w:pStyle w:val="Normal"/>
              <w:keepNext w:val="true"/>
              <w:widowControl w:val="false"/>
              <w:ind w:hanging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</w:t>
            </w:r>
          </w:p>
        </w:tc>
        <w:tc>
          <w:tcPr>
            <w:tcW w:w="8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Основной период поддержки</w:t>
            </w:r>
          </w:p>
          <w:p>
            <w:pPr>
              <w:pStyle w:val="Normal"/>
              <w:keepNext w:val="true"/>
              <w:widowControl w:val="false"/>
              <w:ind w:hanging="240" w:left="2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 функционируют, заявки принимаются, все инциденты решаются</w:t>
            </w:r>
          </w:p>
        </w:tc>
      </w:tr>
      <w:tr>
        <w:trPr/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00FF" w:val="clear"/>
          </w:tcPr>
          <w:p>
            <w:pPr>
              <w:pStyle w:val="Normal"/>
              <w:keepNext w:val="true"/>
              <w:widowControl w:val="false"/>
              <w:ind w:hanging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</w:t>
            </w:r>
          </w:p>
        </w:tc>
        <w:tc>
          <w:tcPr>
            <w:tcW w:w="8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ind w:hanging="240" w:left="25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Период функционирования приложения</w:t>
            </w:r>
          </w:p>
          <w:p>
            <w:pPr>
              <w:pStyle w:val="Normal"/>
              <w:keepNext w:val="true"/>
              <w:widowControl w:val="false"/>
              <w:ind w:hanging="240" w:lef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функционируют</w:t>
            </w:r>
          </w:p>
        </w:tc>
      </w:tr>
    </w:tbl>
    <w:p>
      <w:pPr>
        <w:pStyle w:val="Normal"/>
        <w:numPr>
          <w:ilvl w:val="1"/>
          <w:numId w:val="153"/>
        </w:numPr>
        <w:rPr>
          <w:b/>
          <w:sz w:val="24"/>
          <w:szCs w:val="24"/>
          <w:lang w:val="x-none" w:eastAsia="x-none"/>
        </w:rPr>
      </w:pPr>
      <w:r/>
      <w:r>
        <w:rPr>
          <w:b/>
          <w:sz w:val="24"/>
          <w:szCs w:val="24"/>
          <w:lang w:val="x-none" w:eastAsia="x-none"/>
        </w:rPr>
        <w:t xml:space="preserve">Требования информационной безопасности </w:t>
      </w:r>
    </w:p>
    <w:p>
      <w:pPr>
        <w:pStyle w:val="Normal"/>
        <w:numPr>
          <w:ilvl w:val="2"/>
          <w:numId w:val="154"/>
        </w:numPr>
        <w:rPr>
          <w:sz w:val="24"/>
          <w:szCs w:val="24"/>
          <w:lang w:val="x-none" w:eastAsia="x-none"/>
        </w:rPr>
      </w:pPr>
      <w:r>
        <w:rPr>
          <w:b/>
          <w:sz w:val="24"/>
          <w:szCs w:val="24"/>
          <w:lang w:val="x-none" w:eastAsia="x-none"/>
        </w:rPr>
        <w:t>Требования</w:t>
      </w:r>
      <w:r>
        <w:rPr>
          <w:sz w:val="24"/>
          <w:szCs w:val="24"/>
          <w:lang w:val="x-none" w:eastAsia="x-none"/>
        </w:rPr>
        <w:t xml:space="preserve"> информационной безопасности должны обеспечиваться на всех стадиях жизненного цикла Систем</w:t>
      </w:r>
      <w:r>
        <w:rPr>
          <w:sz w:val="24"/>
          <w:szCs w:val="24"/>
          <w:lang w:eastAsia="x-none"/>
        </w:rPr>
        <w:t>ы</w:t>
      </w:r>
      <w:r>
        <w:rPr>
          <w:sz w:val="24"/>
          <w:szCs w:val="24"/>
          <w:lang w:val="x-none" w:eastAsia="x-none"/>
        </w:rPr>
        <w:t>, с учетом всех сторон, вовлеченных в процессы жизненного цикла, поставщиков продуктов и услуг</w:t>
      </w:r>
    </w:p>
    <w:p>
      <w:pPr>
        <w:pStyle w:val="Normal"/>
        <w:keepNext w:val="true"/>
        <w:spacing w:before="60" w:after="60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numPr>
          <w:ilvl w:val="0"/>
          <w:numId w:val="15"/>
        </w:numPr>
        <w:rPr>
          <w:b/>
          <w:i/>
          <w:i/>
          <w:sz w:val="24"/>
          <w:szCs w:val="24"/>
          <w:lang w:eastAsia="x-none"/>
        </w:rPr>
      </w:pPr>
      <w:r>
        <w:rPr>
          <w:b/>
          <w:i/>
          <w:sz w:val="24"/>
          <w:szCs w:val="24"/>
          <w:lang w:val="x-none" w:eastAsia="x-none"/>
        </w:rPr>
        <w:t xml:space="preserve"> </w:t>
      </w:r>
      <w:r>
        <w:rPr>
          <w:b/>
          <w:sz w:val="24"/>
          <w:szCs w:val="24"/>
        </w:rPr>
        <w:t>ИНЫЕ ТРЕБОВАНИЯ И УСЛОВИЯ</w:t>
      </w:r>
    </w:p>
    <w:p>
      <w:pPr>
        <w:pStyle w:val="Normal"/>
        <w:numPr>
          <w:ilvl w:val="1"/>
          <w:numId w:val="15"/>
        </w:numPr>
        <w:spacing w:before="120" w:after="0"/>
        <w:ind w:hanging="357" w:left="714"/>
        <w:rPr>
          <w:b/>
          <w:sz w:val="24"/>
          <w:szCs w:val="24"/>
          <w:lang w:val="x-none"/>
        </w:rPr>
      </w:pPr>
      <w:r>
        <w:rPr>
          <w:b/>
          <w:sz w:val="24"/>
          <w:szCs w:val="24"/>
        </w:rPr>
        <w:t>Источники разработки</w:t>
      </w:r>
    </w:p>
    <w:p>
      <w:pPr>
        <w:pStyle w:val="Normal"/>
        <w:ind w:firstLine="426"/>
        <w:rPr>
          <w:sz w:val="24"/>
          <w:szCs w:val="24"/>
        </w:rPr>
      </w:pPr>
      <w:r>
        <w:rPr>
          <w:sz w:val="24"/>
          <w:szCs w:val="24"/>
        </w:rPr>
        <w:t>Настоящие технические требования разработаны с учетом следующих ГОСТ:</w:t>
      </w:r>
    </w:p>
    <w:p>
      <w:pPr>
        <w:pStyle w:val="Normal"/>
        <w:numPr>
          <w:ilvl w:val="2"/>
          <w:numId w:val="15"/>
        </w:numPr>
        <w:ind w:hanging="0" w:left="0"/>
        <w:jc w:val="both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  <w:t xml:space="preserve">ГОСТ 34.201—2020. «Информационная технология. Комплекс стандартов на автоматизированные системы. Виды, комплектность и обозначения документов при создании автоматизированных систем» </w:t>
      </w:r>
      <w:r>
        <w:rPr>
          <w:sz w:val="24"/>
          <w:szCs w:val="24"/>
          <w:lang w:val="x-none" w:eastAsia="x-none"/>
        </w:rPr>
        <w:t>включая поправки</w:t>
      </w:r>
      <w:r>
        <w:rPr>
          <w:sz w:val="24"/>
          <w:szCs w:val="24"/>
          <w:lang w:val="x-none" w:eastAsia="x-none"/>
        </w:rPr>
        <w:t>;</w:t>
      </w:r>
    </w:p>
    <w:p>
      <w:pPr>
        <w:pStyle w:val="Normal"/>
        <w:numPr>
          <w:ilvl w:val="2"/>
          <w:numId w:val="15"/>
        </w:numPr>
        <w:ind w:hanging="0" w:left="0"/>
        <w:jc w:val="both"/>
        <w:rPr/>
      </w:pPr>
      <w:r>
        <w:rPr>
          <w:sz w:val="24"/>
          <w:szCs w:val="24"/>
          <w:lang w:val="x-none" w:eastAsia="x-none"/>
        </w:rPr>
        <w:t>ГОСТ Р 59793-2021. «Информационная технология. Комплекс стандартов на автоматизированные системы. Автоматизированные системы. Стадии создания»;</w:t>
      </w:r>
    </w:p>
    <w:p>
      <w:pPr>
        <w:pStyle w:val="Normal"/>
        <w:numPr>
          <w:ilvl w:val="2"/>
          <w:numId w:val="15"/>
        </w:numPr>
        <w:ind w:hanging="0" w:left="0"/>
        <w:jc w:val="both"/>
        <w:rPr/>
      </w:pPr>
      <w:r>
        <w:rPr>
          <w:sz w:val="24"/>
          <w:szCs w:val="24"/>
          <w:lang w:val="x-none" w:eastAsia="x-none"/>
        </w:rPr>
        <w:t>ГОСТ 34.602—2020. «Информационная технология. Комплекс стандартов на автоматизированные системы. Техническое задание на создание автоматизированной системы»;</w:t>
      </w:r>
    </w:p>
    <w:p>
      <w:pPr>
        <w:pStyle w:val="Normal"/>
        <w:numPr>
          <w:ilvl w:val="2"/>
          <w:numId w:val="15"/>
        </w:numPr>
        <w:ind w:hanging="0" w:left="0"/>
        <w:jc w:val="both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  <w:t>ГОСТ Р 59792-2021. «Информационная технология. Виды испытаний автоматизированных систем».</w:t>
      </w:r>
    </w:p>
    <w:p>
      <w:pPr>
        <w:pStyle w:val="Normal"/>
        <w:numPr>
          <w:ilvl w:val="2"/>
          <w:numId w:val="15"/>
        </w:numPr>
        <w:spacing w:before="0" w:after="120"/>
        <w:ind w:hanging="0" w:left="0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  <w:t xml:space="preserve"> </w:t>
      </w:r>
      <w:r>
        <w:rPr>
          <w:sz w:val="24"/>
          <w:szCs w:val="24"/>
          <w:lang w:val="x-none" w:eastAsia="x-none"/>
        </w:rPr>
        <w:t>ГОСТ Р 57193-202</w:t>
      </w:r>
      <w:r>
        <w:rPr>
          <w:sz w:val="24"/>
          <w:szCs w:val="24"/>
          <w:lang w:val="x-none" w:eastAsia="x-none"/>
        </w:rPr>
        <w:t>5</w:t>
      </w:r>
      <w:r>
        <w:rPr>
          <w:sz w:val="24"/>
          <w:szCs w:val="24"/>
          <w:lang w:val="x-none" w:eastAsia="x-none"/>
        </w:rPr>
        <w:t xml:space="preserve">. «Системная </w:t>
      </w:r>
      <w:r>
        <w:rPr>
          <w:sz w:val="24"/>
          <w:szCs w:val="24"/>
          <w:lang w:val="x-none" w:eastAsia="x-none"/>
        </w:rPr>
        <w:t>и программная</w:t>
      </w:r>
      <w:r>
        <w:rPr>
          <w:sz w:val="24"/>
          <w:szCs w:val="24"/>
          <w:lang w:val="x-none" w:eastAsia="x-none"/>
        </w:rPr>
        <w:t xml:space="preserve"> инженерия. Процессы жизненного цикла систем».</w:t>
      </w:r>
    </w:p>
    <w:p>
      <w:pPr>
        <w:pStyle w:val="Normal"/>
        <w:widowControl/>
        <w:suppressAutoHyphens w:val="false"/>
        <w:bidi w:val="0"/>
        <w:spacing w:before="280" w:after="0"/>
        <w:ind w:firstLine="567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sectPr>
      <w:headerReference w:type="even" r:id="rId10"/>
      <w:headerReference w:type="default" r:id="rId11"/>
      <w:headerReference w:type="first" r:id="rId12"/>
      <w:footnotePr>
        <w:numFmt w:val="decimal"/>
      </w:footnotePr>
      <w:type w:val="nextPage"/>
      <w:pgSz w:orient="landscape"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"/>
        </w:rPr>
        <w:footnoteRef/>
      </w:r>
      <w:r>
        <w:rPr/>
        <w:t xml:space="preserve">  </w:t>
      </w:r>
      <w:r>
        <w:rPr/>
        <w:t>В течение 10 (десяти) рабочих дней с даты подписания настоящего Договора представляется Исполнителем Заказчику в электронном виде.</w:t>
      </w:r>
    </w:p>
    <w:p>
      <w:pPr>
        <w:pStyle w:val="FootnoteText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47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2204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244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1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8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4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08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  <w:i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47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bullet"/>
      <w:lvlText w:val="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347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bullet"/>
      <w:lvlText w:val="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347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bullet"/>
      <w:lvlText w:val="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bullet"/>
      <w:lvlText w:val=""/>
      <w:lvlJc w:val="right"/>
      <w:pPr>
        <w:tabs>
          <w:tab w:val="num" w:pos="0"/>
        </w:tabs>
        <w:ind w:left="180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bullet"/>
      <w:lvlText w:val=""/>
      <w:lvlJc w:val="right"/>
      <w:pPr>
        <w:tabs>
          <w:tab w:val="num" w:pos="0"/>
        </w:tabs>
        <w:ind w:left="180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bullet"/>
      <w:lvlText w:val=""/>
      <w:lvlJc w:val="right"/>
      <w:pPr>
        <w:tabs>
          <w:tab w:val="num" w:pos="0"/>
        </w:tabs>
        <w:ind w:left="180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bullet"/>
      <w:lvlText w:val=""/>
      <w:lvlJc w:val="right"/>
      <w:pPr>
        <w:tabs>
          <w:tab w:val="num" w:pos="0"/>
        </w:tabs>
        <w:ind w:left="180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87">
    <w:abstractNumId w:val="16"/>
  </w:num>
  <w:num w:numId="88">
    <w:abstractNumId w:val="16"/>
  </w:num>
  <w:num w:numId="89">
    <w:abstractNumId w:val="19"/>
    <w:lvlOverride w:ilvl="0">
      <w:startOverride w:val="1"/>
    </w:lvlOverride>
  </w:num>
  <w:num w:numId="90">
    <w:abstractNumId w:val="19"/>
  </w:num>
  <w:num w:numId="91">
    <w:abstractNumId w:val="19"/>
  </w:num>
  <w:num w:numId="92">
    <w:abstractNumId w:val="19"/>
  </w:num>
  <w:num w:numId="93">
    <w:abstractNumId w:val="19"/>
  </w:num>
  <w:num w:numId="94">
    <w:abstractNumId w:val="19"/>
  </w:num>
  <w:num w:numId="95">
    <w:abstractNumId w:val="19"/>
  </w:num>
  <w:num w:numId="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00">
    <w:abstractNumId w:val="19"/>
  </w:num>
  <w:num w:numId="101">
    <w:abstractNumId w:val="19"/>
  </w:num>
  <w:num w:numId="102">
    <w:abstractNumId w:val="19"/>
  </w:num>
  <w:num w:numId="103">
    <w:abstractNumId w:val="19"/>
  </w:num>
  <w:num w:numId="104">
    <w:abstractNumId w:val="19"/>
  </w:num>
  <w:num w:numId="105">
    <w:abstractNumId w:val="19"/>
  </w:num>
  <w:num w:numId="106">
    <w:abstractNumId w:val="19"/>
  </w:num>
  <w:num w:numId="107">
    <w:abstractNumId w:val="19"/>
  </w:num>
  <w:num w:numId="108">
    <w:abstractNumId w:val="19"/>
  </w:num>
  <w:num w:numId="109">
    <w:abstractNumId w:val="19"/>
  </w:num>
  <w:num w:numId="110">
    <w:abstractNumId w:val="19"/>
  </w:num>
  <w:num w:numId="111">
    <w:abstractNumId w:val="19"/>
  </w:num>
  <w:num w:numId="112">
    <w:abstractNumId w:val="19"/>
  </w:num>
  <w:num w:numId="113">
    <w:abstractNumId w:val="19"/>
  </w:num>
  <w:num w:numId="114">
    <w:abstractNumId w:val="19"/>
  </w:num>
  <w:num w:numId="115">
    <w:abstractNumId w:val="19"/>
  </w:num>
  <w:num w:numId="116">
    <w:abstractNumId w:val="19"/>
  </w:num>
  <w:num w:numId="117">
    <w:abstractNumId w:val="19"/>
  </w:num>
  <w:num w:numId="118">
    <w:abstractNumId w:val="19"/>
  </w:num>
  <w:num w:numId="119">
    <w:abstractNumId w:val="19"/>
  </w:num>
  <w:num w:numId="120">
    <w:abstractNumId w:val="19"/>
  </w:num>
  <w:num w:numId="121">
    <w:abstractNumId w:val="19"/>
  </w:num>
  <w:num w:numId="122">
    <w:abstractNumId w:val="19"/>
  </w:num>
  <w:num w:numId="123">
    <w:abstractNumId w:val="19"/>
  </w:num>
  <w:num w:numId="124">
    <w:abstractNumId w:val="19"/>
  </w:num>
  <w:num w:numId="125">
    <w:abstractNumId w:val="19"/>
  </w:num>
  <w:num w:numId="126">
    <w:abstractNumId w:val="19"/>
  </w:num>
  <w:num w:numId="127">
    <w:abstractNumId w:val="19"/>
  </w:num>
  <w:num w:numId="128">
    <w:abstractNumId w:val="19"/>
  </w:num>
  <w:num w:numId="129">
    <w:abstractNumId w:val="19"/>
  </w:num>
  <w:num w:numId="130">
    <w:abstractNumId w:val="19"/>
  </w:num>
  <w:num w:numId="131">
    <w:abstractNumId w:val="19"/>
  </w:num>
  <w:num w:numId="132">
    <w:abstractNumId w:val="19"/>
  </w:num>
  <w:num w:numId="133">
    <w:abstractNumId w:val="19"/>
  </w:num>
  <w:num w:numId="134">
    <w:abstractNumId w:val="19"/>
  </w:num>
  <w:num w:numId="135">
    <w:abstractNumId w:val="19"/>
  </w:num>
  <w:num w:numId="136">
    <w:abstractNumId w:val="19"/>
  </w:num>
  <w:num w:numId="137">
    <w:abstractNumId w:val="19"/>
  </w:num>
  <w:num w:numId="138">
    <w:abstractNumId w:val="19"/>
  </w:num>
  <w:num w:numId="139">
    <w:abstractNumId w:val="19"/>
  </w:num>
  <w:num w:numId="140">
    <w:abstractNumId w:val="19"/>
  </w:num>
  <w:num w:numId="141">
    <w:abstractNumId w:val="19"/>
  </w:num>
  <w:num w:numId="142">
    <w:abstractNumId w:val="19"/>
  </w:num>
  <w:num w:numId="143">
    <w:abstractNumId w:val="19"/>
  </w:num>
  <w:num w:numId="144">
    <w:abstractNumId w:val="19"/>
  </w:num>
  <w:num w:numId="145">
    <w:abstractNumId w:val="19"/>
  </w:num>
  <w:num w:numId="146">
    <w:abstractNumId w:val="19"/>
  </w:num>
  <w:num w:numId="147">
    <w:abstractNumId w:val="19"/>
  </w:num>
  <w:num w:numId="148">
    <w:abstractNumId w:val="19"/>
  </w:num>
  <w:num w:numId="149">
    <w:abstractNumId w:val="19"/>
  </w:num>
  <w:num w:numId="150">
    <w:abstractNumId w:val="19"/>
  </w:num>
  <w:num w:numId="151">
    <w:abstractNumId w:val="19"/>
  </w:num>
  <w:num w:numId="152">
    <w:abstractNumId w:val="19"/>
  </w:num>
  <w:num w:numId="153">
    <w:abstractNumId w:val="19"/>
  </w:num>
  <w:num w:numId="154">
    <w:abstractNumId w:val="19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402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hanging="504" w:left="1224"/>
      <w:jc w:val="center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 нумерации"/>
    <w:qFormat/>
    <w:rPr>
      <w:b/>
      <w:bCs/>
      <w:i w:val="false"/>
      <w:iCs/>
      <w:sz w:val="24"/>
      <w:szCs w:val="24"/>
    </w:rPr>
  </w:style>
  <w:style w:type="character" w:styleId="Style16" w:customStyle="1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LineNumber">
    <w:name w:val="Line Number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" w:customStyle="1">
    <w:name w:val="index heading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2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hanging="0" w:left="28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29" w:customStyle="1">
    <w:name w:val="Заголовок 2 ДИТ"/>
    <w:basedOn w:val="Normal"/>
    <w:qFormat/>
    <w:rsid w:val="00bd56ce"/>
    <w:pPr>
      <w:numPr>
        <w:ilvl w:val="1"/>
        <w:numId w:val="10"/>
      </w:numPr>
    </w:pPr>
    <w:rPr>
      <w:b/>
      <w:sz w:val="24"/>
      <w:szCs w:val="24"/>
      <w:lang w:val="x-none" w:eastAsia="x-none"/>
    </w:rPr>
  </w:style>
  <w:style w:type="paragraph" w:styleId="36" w:customStyle="1">
    <w:name w:val="Заголовок 3 ДИТ"/>
    <w:basedOn w:val="29"/>
    <w:qFormat/>
    <w:rsid w:val="00bd56ce"/>
    <w:pPr>
      <w:ind w:hanging="0" w:left="4690"/>
    </w:pPr>
    <w:rPr>
      <w:b w:val="false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Style38" w:customStyle="1">
    <w:name w:val="Обычный текст"/>
    <w:basedOn w:val="Normal"/>
    <w:qFormat/>
    <w:pPr>
      <w:spacing w:lineRule="auto" w:line="288"/>
      <w:ind w:firstLine="720"/>
    </w:pPr>
    <w:rPr>
      <w:sz w:val="24"/>
      <w:szCs w:val="20"/>
    </w:rPr>
  </w:style>
  <w:style w:type="paragraph" w:styleId="Western" w:customStyle="1">
    <w:name w:val="western"/>
    <w:basedOn w:val="Normal"/>
    <w:qFormat/>
    <w:rsid w:val="00c041f7"/>
    <w:pPr>
      <w:suppressAutoHyphens w:val="false"/>
      <w:spacing w:lineRule="auto" w:line="360" w:beforeAutospacing="1" w:after="119"/>
      <w:ind w:firstLine="567"/>
      <w:jc w:val="both"/>
    </w:pPr>
    <w:rPr/>
  </w:style>
  <w:style w:type="paragraph" w:styleId="Style39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footnotes" Target="footnotes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B58AB-0810-484F-8A1D-AAEEF495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Application>AlterOffice/2026.2.0.0$Linux_X86_64 LibreOffice_project/bc4ef1adf80b36c7a6365f8ed6cbf29021361edd</Application>
  <AppVersion>15.0000</AppVersion>
  <Pages>16</Pages>
  <Words>3309</Words>
  <Characters>23291</Characters>
  <CharactersWithSpaces>26077</CharactersWithSpaces>
  <Paragraphs>496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fedorovva@corp.gidroogk.com</cp:lastModifiedBy>
  <cp:lastPrinted>2006-07-26T14:04:00Z</cp:lastPrinted>
  <dcterms:modified xsi:type="dcterms:W3CDTF">2026-07-29T13:14:27Z</dcterms:modified>
  <cp:revision>98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