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numPr>
          <w:ilvl w:val="0"/>
          <w:numId w:val="0"/>
        </w:numPr>
        <w:spacing w:before="0" w:after="0"/>
        <w:ind w:left="0" w:firstLine="567"/>
        <w:jc w:val="right"/>
        <w:outlineLvl w:val="0"/>
        <w:rPr>
          <w:sz w:val="24"/>
          <w:szCs w:val="24"/>
          <w:shd w:fill="FFFFFF" w:val="clear"/>
        </w:rPr>
      </w:pPr>
      <w:r>
        <w:rPr>
          <w:sz w:val="24"/>
          <w:szCs w:val="24"/>
          <w:shd w:fill="FFFFFF" w:val="clear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pacing w:lineRule="auto" w:line="3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360"/>
        <w:ind w:left="0" w:hanging="0"/>
        <w:jc w:val="center"/>
        <w:outlineLvl w:val="0"/>
        <w:rPr/>
      </w:pPr>
      <w:bookmarkStart w:id="0" w:name="__RefHeading___Toc7015_899461045"/>
      <w:bookmarkEnd w:id="0"/>
      <w:r>
        <w:rPr>
          <w:b/>
          <w:sz w:val="24"/>
          <w:szCs w:val="24"/>
        </w:rPr>
        <w:t>ТЕХНИЧЕСКИЕ ТРЕБОВАНИЯ</w:t>
      </w:r>
    </w:p>
    <w:p>
      <w:pPr>
        <w:pStyle w:val="Normal"/>
        <w:spacing w:lineRule="auto" w:line="360"/>
        <w:jc w:val="center"/>
        <w:rPr/>
      </w:pPr>
      <w:r>
        <w:rPr>
          <w:b/>
          <w:color w:val="000000"/>
          <w:sz w:val="24"/>
          <w:szCs w:val="24"/>
        </w:rPr>
        <w:t xml:space="preserve">ОКПД2 23.64.10.110 Поставка смесей строительных на Колымскую ГЭС </w:t>
      </w:r>
    </w:p>
    <w:p>
      <w:pPr>
        <w:pStyle w:val="Normal"/>
        <w:spacing w:lineRule="auto" w:line="360"/>
        <w:jc w:val="center"/>
        <w:rPr/>
      </w:pPr>
      <w:r>
        <w:rPr>
          <w:b/>
          <w:color w:val="000000"/>
          <w:sz w:val="24"/>
          <w:szCs w:val="24"/>
        </w:rPr>
        <w:t>для нужд Башкирского филиала</w:t>
      </w:r>
    </w:p>
    <w:p>
      <w:pPr>
        <w:pStyle w:val="Normal"/>
        <w:spacing w:lineRule="auto" w:line="360"/>
        <w:jc w:val="center"/>
        <w:rPr/>
      </w:pPr>
      <w:r>
        <w:rPr>
          <w:b/>
          <w:color w:val="000000"/>
          <w:sz w:val="24"/>
          <w:szCs w:val="24"/>
        </w:rPr>
        <w:t>Лот №0006-ТПиР БЕЗОП ДОХ-2026-ГРВКК-БашФ</w:t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numPr>
          <w:ilvl w:val="0"/>
        </w:numPr>
        <w:spacing w:before="0" w:after="0"/>
        <w:ind w:left="284" w:hanging="0"/>
        <w:jc w:val="center"/>
        <w:rPr>
          <w:b/>
          <w:color w:val="000000"/>
          <w:shd w:fill="FFFFFF" w:val="clear"/>
        </w:rPr>
      </w:pPr>
      <w:r>
        <w:rPr>
          <w:b/>
          <w:color w:val="000000"/>
          <w:shd w:fill="FFFFFF" w:val="clear"/>
        </w:rPr>
      </w:r>
      <w:bookmarkStart w:id="1" w:name="__RefHeading___Toc12781_1771583711"/>
      <w:bookmarkStart w:id="2" w:name="__RefHeading___Toc12781_1771583711"/>
      <w:bookmarkEnd w:id="2"/>
    </w:p>
    <w:p>
      <w:pPr>
        <w:pStyle w:val="Normal"/>
        <w:ind w:left="284" w:hang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numPr>
              <w:ilvl w:val="0"/>
            </w:numPr>
            <w:spacing w:before="0" w:after="0"/>
            <w:ind w:left="284" w:hanging="0"/>
            <w:rPr>
              <w:rFonts w:ascii="Times New Roman" w:hAnsi="Times New Roman"/>
              <w:color w:val="000000"/>
            </w:rPr>
          </w:pPr>
          <w:r>
            <w:rPr>
              <w:rFonts w:ascii="Times New Roman" w:hAnsi="Times New Roman"/>
              <w:color w:val="000000"/>
            </w:rPr>
            <w:t>Содержание</w:t>
          </w:r>
        </w:p>
        <w:p>
          <w:pPr>
            <w:pStyle w:val="TOC1"/>
            <w:tabs>
              <w:tab w:val="clear" w:pos="708"/>
              <w:tab w:val="right" w:pos="9921" w:leader="dot"/>
            </w:tabs>
            <w:spacing w:before="0" w:after="0"/>
            <w:rPr/>
          </w:pPr>
          <w:r>
            <w:fldChar w:fldCharType="begin"/>
          </w:r>
          <w:r>
            <w:rPr>
              <w:rStyle w:val="Style16"/>
            </w:rPr>
            <w:instrText xml:space="preserve"> TOC \f \o "1-9" \h</w:instrText>
          </w:r>
          <w:r>
            <w:rPr>
              <w:rStyle w:val="Style16"/>
            </w:rPr>
            <w:fldChar w:fldCharType="separate"/>
          </w:r>
          <w:hyperlink w:anchor="__RefHeading___Toc7015_899461045">
            <w:r>
              <w:rPr>
                <w:rStyle w:val="Style16"/>
              </w:rPr>
              <w:t>ТЕХНИЧЕСКИЕ ТРЕБОВАНИЯ</w:t>
              <w:tab/>
              <w:t>1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spacing w:before="0" w:after="0"/>
            <w:rPr/>
          </w:pPr>
          <w:hyperlink w:anchor="__RefHeading___Toc7017_899461045">
            <w:r>
              <w:rPr>
                <w:rStyle w:val="Style16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19_899461045">
            <w:r>
              <w:rPr>
                <w:rStyle w:val="Style16"/>
              </w:rPr>
              <w:t>1.1.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21_899461045">
            <w:r>
              <w:rPr>
                <w:rStyle w:val="Style16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8323_2243388018">
            <w:r>
              <w:rPr>
                <w:rStyle w:val="Style16"/>
              </w:rPr>
              <w:t>1.3. 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spacing w:before="0" w:after="0"/>
            <w:rPr/>
          </w:pPr>
          <w:hyperlink w:anchor="__RefHeading___Toc8325_2243388018">
            <w:r>
              <w:rPr>
                <w:rStyle w:val="Style16"/>
              </w:rPr>
              <w:t>2.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23_899461045">
            <w:r>
              <w:rPr>
                <w:rStyle w:val="Style16"/>
              </w:rPr>
              <w:t>2.1.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7025_899461045">
            <w:r>
              <w:rPr>
                <w:rStyle w:val="Style16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spacing w:before="0" w:after="0"/>
            <w:rPr/>
          </w:pPr>
          <w:hyperlink w:anchor="__RefHeading___Toc7027_899461045">
            <w:r>
              <w:rPr>
                <w:rStyle w:val="Style16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7029_899461045">
            <w:r>
              <w:rPr>
                <w:rStyle w:val="Style16"/>
              </w:rPr>
              <w:t>2.1.2. Требования к срокам поставки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spacing w:before="0" w:after="0"/>
            <w:rPr/>
          </w:pPr>
          <w:hyperlink w:anchor="__RefHeading___Toc7031_899461045">
            <w:r>
              <w:rPr>
                <w:rStyle w:val="Style16"/>
              </w:rPr>
              <w:t>Таблица 2.1 Требования по срокам поставки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33_899461045">
            <w:r>
              <w:rPr>
                <w:rStyle w:val="Style16"/>
              </w:rPr>
              <w:t>2.2. Требования к качеству продукции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spacing w:before="0" w:after="0"/>
            <w:rPr/>
          </w:pPr>
          <w:r>
            <w:rPr/>
            <w:t xml:space="preserve">Таблица </w:t>
          </w:r>
          <w:hyperlink w:anchor="__RefHeading___Toc7035_899461045">
            <w:r>
              <w:rPr>
                <w:rStyle w:val="Style16"/>
              </w:rPr>
              <w:t>3. Требования к продукции</w:t>
              <w:tab/>
              <w:t>5</w:t>
            </w:r>
          </w:hyperlink>
          <w:r>
            <w:rPr>
              <w:rStyle w:val="Style16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right" w:pos="9921" w:leader="dot"/>
        </w:tabs>
        <w:spacing w:before="0" w:after="0"/>
        <w:rPr/>
      </w:pPr>
      <w:r>
        <w:rPr>
          <w:rStyle w:val="Style16"/>
        </w:rPr>
        <w:t>3</w:t>
      </w:r>
      <w:hyperlink w:anchor="__RefHeading___Toc7035_899461045">
        <w:r>
          <w:rPr>
            <w:rStyle w:val="Style16"/>
          </w:rPr>
          <w:t>. Приложение</w:t>
          <w:tab/>
        </w:r>
      </w:hyperlink>
      <w:r>
        <w:rPr/>
        <w:t>14</w:t>
      </w:r>
      <w:r>
        <w:br w:type="page"/>
      </w:r>
    </w:p>
    <w:p>
      <w:pPr>
        <w:pStyle w:val="Heading1"/>
        <w:numPr>
          <w:ilvl w:val="0"/>
          <w:numId w:val="3"/>
        </w:numPr>
        <w:spacing w:before="0" w:after="0"/>
        <w:ind w:left="432" w:hanging="432"/>
        <w:rPr>
          <w:b/>
          <w:sz w:val="24"/>
          <w:szCs w:val="24"/>
        </w:rPr>
      </w:pPr>
      <w:bookmarkStart w:id="3" w:name="__RefHeading___Toc7017_899461045"/>
      <w:bookmarkStart w:id="4" w:name="_Toc75446568"/>
      <w:bookmarkStart w:id="5" w:name="_Toc46743506"/>
      <w:bookmarkEnd w:id="3"/>
      <w:r>
        <w:rPr>
          <w:b/>
          <w:sz w:val="24"/>
          <w:szCs w:val="24"/>
        </w:rPr>
        <w:t>Общие сведения</w:t>
      </w:r>
      <w:bookmarkEnd w:id="4"/>
      <w:bookmarkEnd w:id="5"/>
    </w:p>
    <w:p>
      <w:pPr>
        <w:pStyle w:val="Heading4"/>
        <w:numPr>
          <w:ilvl w:val="1"/>
          <w:numId w:val="3"/>
        </w:numPr>
        <w:spacing w:before="0" w:after="0"/>
        <w:rPr>
          <w:b/>
        </w:rPr>
      </w:pPr>
      <w:bookmarkStart w:id="6" w:name="__RefHeading___Toc7019_899461045"/>
      <w:bookmarkEnd w:id="6"/>
      <w:r>
        <w:rPr>
          <w:b/>
        </w:rPr>
        <w:t>Наименование закупаемой продукции</w:t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стандарт организации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технические требования</w:t>
            </w:r>
          </w:p>
        </w:tc>
      </w:tr>
    </w:tbl>
    <w:p>
      <w:pPr>
        <w:pStyle w:val="Heading4"/>
        <w:numPr>
          <w:ilvl w:val="1"/>
          <w:numId w:val="3"/>
        </w:numPr>
        <w:spacing w:before="0" w:after="0"/>
        <w:rPr>
          <w:b/>
        </w:rPr>
      </w:pPr>
      <w:bookmarkStart w:id="7" w:name="__RefHeading___Toc7021_899461045"/>
      <w:bookmarkEnd w:id="7"/>
      <w:r>
        <w:rPr>
          <w:b/>
        </w:rPr>
        <w:t>Наименование закупаемой продукции</w:t>
      </w:r>
    </w:p>
    <w:p>
      <w:pPr>
        <w:pStyle w:val="Normal"/>
        <w:spacing w:lineRule="auto" w:line="360"/>
        <w:rPr/>
      </w:pPr>
      <w:r>
        <w:rPr>
          <w:color w:val="000000"/>
          <w:sz w:val="24"/>
          <w:szCs w:val="24"/>
        </w:rPr>
        <w:t>ОКПД2 23.64.10.110 Поставка смесей строительных на Колымскую ГЭС для нужд Башкирского филиала.</w:t>
      </w:r>
    </w:p>
    <w:p>
      <w:pPr>
        <w:pStyle w:val="Heading4"/>
        <w:numPr>
          <w:ilvl w:val="1"/>
          <w:numId w:val="3"/>
        </w:numPr>
        <w:spacing w:before="0" w:after="0"/>
        <w:rPr>
          <w:b/>
        </w:rPr>
      </w:pPr>
      <w:bookmarkStart w:id="8" w:name="__RefHeading___Toc8323_2243388018"/>
      <w:bookmarkEnd w:id="8"/>
      <w:r>
        <w:rPr>
          <w:b/>
        </w:rPr>
        <w:t>Цель использования закупаемой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360"/>
        <w:jc w:val="both"/>
        <w:rPr/>
      </w:pPr>
      <w:r>
        <w:rPr>
          <w:sz w:val="24"/>
          <w:szCs w:val="24"/>
        </w:rPr>
        <w:t>Закупаемая продукция предназначена для Выполнение монтажных работ в части инженерно-технических средств защиты, включая поставку оборудования и материалов по 3-м системам (системе контроля и управление доступом; системе охранной, телевизионной; инженерно-технических средств защиты) комплексной системы безопасности Колымской ГЭС в рамках инвестиционного проекта у взаимозависимого лица по лоту №0012-ТПиР БЕЗОП-2026-КЭ-КГЭС, подписанного между ПАО «Колымаэнерго» и АО «Гидроремонт-ВКК».</w:t>
      </w:r>
    </w:p>
    <w:p>
      <w:pPr>
        <w:pStyle w:val="Heading1"/>
        <w:numPr>
          <w:ilvl w:val="0"/>
          <w:numId w:val="3"/>
        </w:numPr>
        <w:spacing w:lineRule="auto" w:line="360" w:before="0" w:after="0"/>
        <w:ind w:left="709" w:hanging="709"/>
        <w:rPr/>
      </w:pPr>
      <w:bookmarkStart w:id="9" w:name="__RefHeading___Toc8325_2243388018"/>
      <w:bookmarkStart w:id="10" w:name="_Toc51339693"/>
      <w:bookmarkStart w:id="11" w:name="_Toc75446573"/>
      <w:bookmarkStart w:id="12" w:name="_Toc124846885"/>
      <w:bookmarkStart w:id="13" w:name="_Toc46743510_Копия_1"/>
      <w:bookmarkStart w:id="14" w:name="_Toc50125126"/>
      <w:bookmarkEnd w:id="9"/>
      <w:bookmarkEnd w:id="13"/>
      <w:bookmarkEnd w:id="14"/>
      <w:r>
        <w:rPr>
          <w:b/>
          <w:bCs/>
          <w:sz w:val="24"/>
          <w:szCs w:val="24"/>
        </w:rPr>
        <w:t>Требования к продукции</w:t>
      </w:r>
      <w:bookmarkEnd w:id="10"/>
      <w:bookmarkEnd w:id="11"/>
      <w:bookmarkEnd w:id="12"/>
    </w:p>
    <w:p>
      <w:pPr>
        <w:pStyle w:val="Heading4"/>
        <w:numPr>
          <w:ilvl w:val="1"/>
          <w:numId w:val="3"/>
        </w:numPr>
        <w:spacing w:lineRule="auto" w:line="360" w:before="0" w:after="0"/>
        <w:rPr/>
      </w:pPr>
      <w:bookmarkStart w:id="15" w:name="__RefHeading___Toc7023_899461045"/>
      <w:bookmarkStart w:id="16" w:name="_Toc75446574"/>
      <w:bookmarkEnd w:id="15"/>
      <w:r>
        <w:rPr>
          <w:b/>
        </w:rPr>
        <w:t>Требования к объемам и срокам поставки</w:t>
      </w:r>
      <w:bookmarkEnd w:id="16"/>
    </w:p>
    <w:p>
      <w:pPr>
        <w:pStyle w:val="Heading3"/>
        <w:numPr>
          <w:ilvl w:val="2"/>
          <w:numId w:val="3"/>
        </w:numPr>
        <w:spacing w:lineRule="auto" w:line="360" w:before="0" w:after="0"/>
        <w:ind w:left="1224" w:hanging="504"/>
        <w:rPr/>
      </w:pPr>
      <w:bookmarkStart w:id="17" w:name="__RefHeading___Toc7025_899461045"/>
      <w:bookmarkStart w:id="18" w:name="_Toc75446575"/>
      <w:bookmarkEnd w:id="17"/>
      <w:r>
        <w:rPr>
          <w:b/>
        </w:rPr>
        <w:t>Перечень и объем закупаемой продукции</w:t>
      </w:r>
      <w:bookmarkEnd w:id="18"/>
    </w:p>
    <w:p>
      <w:pPr>
        <w:pStyle w:val="Heading1"/>
        <w:numPr>
          <w:ilvl w:val="0"/>
        </w:numPr>
        <w:spacing w:lineRule="auto" w:line="360" w:before="0" w:after="0"/>
        <w:ind w:left="284" w:hanging="0"/>
        <w:rPr/>
      </w:pPr>
      <w:bookmarkStart w:id="19" w:name="__RefHeading___Toc7027_899461045"/>
      <w:bookmarkStart w:id="20" w:name="_Toc75446576"/>
      <w:bookmarkStart w:id="21" w:name="_Toc51339695"/>
      <w:bookmarkEnd w:id="19"/>
      <w:r>
        <w:rPr>
          <w:b/>
          <w:sz w:val="24"/>
          <w:szCs w:val="24"/>
        </w:rPr>
        <w:t xml:space="preserve">Таблица 1.1 Перечень </w:t>
      </w:r>
      <w:bookmarkEnd w:id="21"/>
      <w:r>
        <w:rPr>
          <w:b/>
          <w:sz w:val="24"/>
          <w:szCs w:val="24"/>
        </w:rPr>
        <w:t>и объем закупаемой продукции</w:t>
      </w:r>
      <w:bookmarkEnd w:id="20"/>
    </w:p>
    <w:p>
      <w:pPr>
        <w:pStyle w:val="Normal"/>
        <w:spacing w:before="0" w:after="0"/>
        <w:ind w:left="284"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065" w:type="dxa"/>
        <w:jc w:val="left"/>
        <w:tblInd w:w="-5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HBand="0" w:noVBand="1" w:firstColumn="1" w:lastRow="0" w:lastColumn="0" w:firstRow="1"/>
      </w:tblPr>
      <w:tblGrid>
        <w:gridCol w:w="818"/>
        <w:gridCol w:w="3998"/>
        <w:gridCol w:w="1276"/>
        <w:gridCol w:w="1988"/>
        <w:gridCol w:w="1985"/>
      </w:tblGrid>
      <w:tr>
        <w:trPr>
          <w:tblHeader w:val="true"/>
          <w:trHeight w:val="454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>
        <w:trPr>
          <w:trHeight w:val="256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>
        <w:trPr>
          <w:trHeight w:val="454" w:hRule="atLeast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hd w:val="clear" w:fill="FFFFFF"/>
              <w:ind w:left="340" w:hanging="0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1</w:t>
            </w:r>
          </w:p>
        </w:tc>
        <w:tc>
          <w:tcPr>
            <w:tcW w:w="3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Смеси сухие (Для бетона В20 F300) (ГОСТ 27006-2019)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 xml:space="preserve">кг 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36"/>
              <w:widowControl w:val="false"/>
              <w:shd w:val="clear" w:fill="FFFFFF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147 896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34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Цемент М500 (ГОСТ 31108-2020)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 xml:space="preserve">кг 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23 700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</w:r>
      <w:bookmarkStart w:id="22" w:name="_GoBack"/>
      <w:bookmarkStart w:id="23" w:name="_GoBack"/>
      <w:bookmarkEnd w:id="23"/>
    </w:p>
    <w:p>
      <w:pPr>
        <w:pStyle w:val="Heading3"/>
        <w:numPr>
          <w:ilvl w:val="2"/>
          <w:numId w:val="3"/>
        </w:numPr>
        <w:spacing w:before="0" w:after="0"/>
        <w:ind w:left="1224" w:hanging="504"/>
        <w:rPr>
          <w:b/>
        </w:rPr>
      </w:pPr>
      <w:bookmarkStart w:id="24" w:name="__RefHeading___Toc7029_899461045"/>
      <w:bookmarkEnd w:id="24"/>
      <w:r>
        <w:rPr>
          <w:b/>
        </w:rPr>
        <w:t xml:space="preserve">Требования к срокам поставки продукции </w:t>
      </w:r>
    </w:p>
    <w:p>
      <w:pPr>
        <w:pStyle w:val="Heading1"/>
        <w:numPr>
          <w:ilvl w:val="0"/>
        </w:numPr>
        <w:spacing w:before="0" w:after="0"/>
        <w:ind w:left="142" w:hanging="0"/>
        <w:rPr>
          <w:b/>
          <w:sz w:val="24"/>
        </w:rPr>
      </w:pPr>
      <w:bookmarkStart w:id="25" w:name="__RefHeading___Toc7031_899461045"/>
      <w:bookmarkStart w:id="26" w:name="_Toc50125127"/>
      <w:bookmarkStart w:id="27" w:name="_Toc75446579"/>
      <w:bookmarkStart w:id="28" w:name="_Toc501251261"/>
      <w:bookmarkStart w:id="29" w:name="_Toc51339697"/>
      <w:bookmarkEnd w:id="25"/>
      <w:bookmarkEnd w:id="28"/>
      <w:r>
        <w:rPr>
          <w:b/>
          <w:sz w:val="24"/>
        </w:rPr>
        <w:t xml:space="preserve">Таблица 2.1 </w:t>
      </w:r>
      <w:bookmarkStart w:id="30" w:name="_Hlk50465284"/>
      <w:r>
        <w:rPr>
          <w:b/>
          <w:sz w:val="24"/>
        </w:rPr>
        <w:t xml:space="preserve">Требования по срокам </w:t>
      </w:r>
      <w:bookmarkEnd w:id="26"/>
      <w:bookmarkEnd w:id="29"/>
      <w:bookmarkEnd w:id="30"/>
      <w:r>
        <w:rPr>
          <w:b/>
          <w:sz w:val="24"/>
        </w:rPr>
        <w:t>поставки продукции</w:t>
      </w:r>
      <w:bookmarkEnd w:id="27"/>
      <w:r>
        <w:rPr>
          <w:b/>
          <w:sz w:val="24"/>
        </w:rPr>
        <w:t xml:space="preserve"> </w:t>
      </w:r>
    </w:p>
    <w:p>
      <w:pPr>
        <w:pStyle w:val="Normal"/>
        <w:spacing w:before="0" w:after="0"/>
        <w:ind w:left="142" w:hanging="0"/>
        <w:rPr>
          <w:b/>
          <w:sz w:val="24"/>
        </w:rPr>
      </w:pPr>
      <w:r>
        <w:rPr>
          <w:b/>
          <w:sz w:val="24"/>
        </w:rPr>
      </w:r>
    </w:p>
    <w:tbl>
      <w:tblPr>
        <w:tblW w:w="9878" w:type="dxa"/>
        <w:jc w:val="left"/>
        <w:tblInd w:w="1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453"/>
        <w:gridCol w:w="3467"/>
        <w:gridCol w:w="3877"/>
        <w:gridCol w:w="2080"/>
      </w:tblGrid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4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0" w:after="0"/>
              <w:jc w:val="center"/>
              <w:rPr>
                <w:szCs w:val="22"/>
              </w:rPr>
            </w:pPr>
            <w:bookmarkStart w:id="31" w:name="_Toc46743510"/>
            <w:r>
              <w:rPr>
                <w:b/>
                <w:szCs w:val="22"/>
              </w:rPr>
              <w:t>6</w:t>
            </w:r>
            <w:bookmarkEnd w:id="31"/>
          </w:p>
        </w:tc>
      </w:tr>
      <w:tr>
        <w:trPr>
          <w:trHeight w:val="919" w:hRule="atLeast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ОКПД2 23.64.10.110 Поставка смесей строительных на Колымскую ГЭС для нужд Башкирского филиала.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 даты з</w:t>
            </w:r>
            <w:r>
              <w:rPr>
                <w:sz w:val="22"/>
                <w:szCs w:val="22"/>
                <w:lang w:val="en-US"/>
              </w:rPr>
              <w:t>аключения договора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До 3</w:t>
            </w: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.0</w:t>
            </w: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.2026</w:t>
            </w:r>
          </w:p>
        </w:tc>
      </w:tr>
      <w:tr>
        <w:trPr>
          <w:trHeight w:val="532" w:hRule="atLeast"/>
        </w:trPr>
        <w:tc>
          <w:tcPr>
            <w:tcW w:w="9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Срок поставки – 10 календарных дней с даты направления Заявки Поставщику. 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1276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spacing w:before="0" w:after="0"/>
        <w:rPr>
          <w:b/>
        </w:rPr>
      </w:pPr>
      <w:bookmarkStart w:id="32" w:name="__RefHeading___Toc7033_899461045"/>
      <w:bookmarkStart w:id="33" w:name="_Toc51339698"/>
      <w:bookmarkStart w:id="34" w:name="_Toc75446581"/>
      <w:bookmarkStart w:id="35" w:name="_Toc46743511"/>
      <w:bookmarkStart w:id="36" w:name="_Toc547856221"/>
      <w:bookmarkEnd w:id="32"/>
      <w:bookmarkEnd w:id="36"/>
      <w:r>
        <w:rPr>
          <w:b/>
        </w:rPr>
        <w:t xml:space="preserve">Требования к </w:t>
      </w:r>
      <w:bookmarkEnd w:id="35"/>
      <w:r>
        <w:rPr>
          <w:b/>
        </w:rPr>
        <w:t>качеству продукции</w:t>
      </w:r>
      <w:bookmarkEnd w:id="34"/>
    </w:p>
    <w:p>
      <w:pPr>
        <w:pStyle w:val="Heading1"/>
        <w:numPr>
          <w:ilvl w:val="0"/>
        </w:numPr>
        <w:spacing w:before="0" w:after="0"/>
        <w:ind w:left="0" w:hanging="0"/>
        <w:rPr>
          <w:b/>
          <w:sz w:val="24"/>
          <w:szCs w:val="24"/>
        </w:rPr>
      </w:pPr>
      <w:bookmarkStart w:id="37" w:name="__RefHeading___Toc7035_899461045"/>
      <w:bookmarkStart w:id="38" w:name="_Toc75446582"/>
      <w:bookmarkEnd w:id="37"/>
      <w:r>
        <w:rPr>
          <w:b/>
          <w:sz w:val="24"/>
          <w:szCs w:val="24"/>
        </w:rPr>
        <w:t>Таблица 3. Требования к продукции</w:t>
      </w:r>
      <w:bookmarkEnd w:id="38"/>
      <w:r>
        <w:rPr>
          <w:b/>
          <w:sz w:val="24"/>
          <w:szCs w:val="24"/>
        </w:rPr>
        <w:t xml:space="preserve"> </w:t>
      </w:r>
      <w:bookmarkEnd w:id="33"/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b/>
          <w:bCs/>
          <w:iCs/>
          <w:sz w:val="24"/>
          <w:szCs w:val="24"/>
        </w:rPr>
        <w:t>Наименование продукции (позиция №1 Таблицы 1.1. «Перечень и объем закупаемой продукции»):</w:t>
      </w:r>
      <w:r>
        <w:rPr>
          <w:iCs/>
          <w:sz w:val="24"/>
          <w:szCs w:val="24"/>
        </w:rPr>
        <w:t xml:space="preserve"> </w:t>
      </w:r>
      <w:r>
        <w:rPr>
          <w:iCs/>
          <w:color w:val="000000"/>
          <w:sz w:val="24"/>
          <w:szCs w:val="24"/>
        </w:rPr>
        <w:t>ОКПД2 23.64.10.110 Поставка смесей строительных на Колымскую ГЭС для нужд Башкирского филиала.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HBand="0" w:noVBand="1" w:firstColumn="1" w:lastRow="0" w:lastColumn="0" w:firstRow="1"/>
      </w:tblPr>
      <w:tblGrid>
        <w:gridCol w:w="869"/>
        <w:gridCol w:w="5630"/>
        <w:gridCol w:w="2726"/>
        <w:gridCol w:w="5486"/>
      </w:tblGrid>
      <w:tr>
        <w:trPr>
          <w:tblHeader w:val="true"/>
          <w:trHeight w:val="20" w:hRule="atLeast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продукции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</w:tr>
      <w:tr>
        <w:trPr>
          <w:tblHeader w:val="true"/>
          <w:trHeight w:val="20" w:hRule="atLeast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1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2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3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4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</w:t>
            </w:r>
          </w:p>
        </w:tc>
        <w:tc>
          <w:tcPr>
            <w:tcW w:w="13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Смеси сухие (Для бетона В20 F300) (ГОСТ 27006-2019)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</w:t>
            </w:r>
          </w:p>
        </w:tc>
        <w:tc>
          <w:tcPr>
            <w:tcW w:w="5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Щебень </w:t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Количество щебня для смеси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83 448 кг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1.1.1.1</w:t>
            </w:r>
          </w:p>
        </w:tc>
        <w:tc>
          <w:tcPr>
            <w:tcW w:w="5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Фракция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5-20 мм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1.1.1.2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Тип щебня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Гранит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1.1.1.3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Соответствие стандарту 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ГОСТ  8267-93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1.1.1.4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Марка по дробимости (прочности)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М800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1.1.1.5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Морозостойкость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F300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1.1.1.6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Содержание зерен слабых пород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5% по массе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1.1.1.7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Содержание зерен пластинчатой (лещадной) и игловатой формы 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 </w:t>
            </w:r>
            <w:r>
              <w:rPr>
                <w:sz w:val="22"/>
                <w:szCs w:val="22"/>
                <w:shd w:fill="FFFFFF" w:val="clear"/>
              </w:rPr>
              <w:t>35% по массе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1.1.1.8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Содержание зерен пылевидных и глинистых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 </w:t>
            </w:r>
            <w:r>
              <w:rPr>
                <w:sz w:val="22"/>
                <w:szCs w:val="22"/>
                <w:shd w:fill="FFFFFF" w:val="clear"/>
              </w:rPr>
              <w:t>1% по массе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1.1.1.9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Насыпная плотность 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1300 кг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/>
              <w:t>1.1.2</w:t>
            </w:r>
          </w:p>
        </w:tc>
        <w:tc>
          <w:tcPr>
            <w:tcW w:w="5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Песок</w:t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Количество песка для смеси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64 448 кг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1.1.2.1</w:t>
            </w:r>
          </w:p>
        </w:tc>
        <w:tc>
          <w:tcPr>
            <w:tcW w:w="5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Содержание зерен крупностью свыше 10 мм 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 по массе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/>
              <w:t>1.1.2.2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Содержание зерен крупностью свыше 5 мм 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2,56 % по массе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/>
              <w:t>1.1.2.3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Содержание зерен крупностью свыше 0,16 мм 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5,68 % по массе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/>
            </w:pPr>
            <w:r>
              <w:rPr/>
              <w:t>1.1.2.4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Модуль крупности 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2,63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/>
            </w:pPr>
            <w:r>
              <w:rPr/>
              <w:t>1.1.2.5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 крупности 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класс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/>
            </w:pPr>
            <w:r>
              <w:rPr/>
              <w:t>1.1.2.6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Содержание пылевидных и глиняных частиц 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2,68 % по массе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/>
            </w:pPr>
            <w:r>
              <w:rPr/>
              <w:t>1.1.2.7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глины в комках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 по массе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/>
            </w:pPr>
            <w:r>
              <w:rPr/>
              <w:t>1.1.2.8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Насыпная плотность кг/м3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1465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/>
            </w:pPr>
            <w:r>
              <w:rPr/>
              <w:t>1.1.2.9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Содержание глинистых частиц методом набухания 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0 % по массе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/>
            </w:pPr>
            <w:r>
              <w:rPr/>
              <w:t>1.1.2.10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Влажность 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3,1% 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/>
            </w:pPr>
            <w:r>
              <w:rPr/>
              <w:t>1.1.2.11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стандарту 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8736-2014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Цемент (ГОСТ 31108-2020)  </w:t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Марка цемента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М500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</w:t>
            </w:r>
          </w:p>
        </w:tc>
        <w:tc>
          <w:tcPr>
            <w:tcW w:w="5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Класс прочности 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42,5 </w:t>
            </w:r>
          </w:p>
        </w:tc>
      </w:tr>
      <w:tr>
        <w:trPr>
          <w:trHeight w:val="676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1.2.2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Прочность на сжатие (в возрасте 28 суток)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 </w:t>
            </w:r>
            <w:r>
              <w:rPr>
                <w:sz w:val="22"/>
                <w:szCs w:val="22"/>
                <w:shd w:fill="FFFFFF" w:val="clear"/>
              </w:rPr>
              <w:t>49,2 МПа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Прочность на сжатие (в возрасте 2 суток)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17,0 МПа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1.2.4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 xml:space="preserve">Специальная добавка 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0%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1.2.5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Начало схватывания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 </w:t>
            </w:r>
            <w:r>
              <w:rPr>
                <w:sz w:val="22"/>
                <w:szCs w:val="22"/>
                <w:shd w:fill="FFFFFF" w:val="clear"/>
              </w:rPr>
              <w:t>45 минут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1.2.6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Насыпная плотность сухого цемента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 </w:t>
            </w:r>
            <w:r>
              <w:rPr>
                <w:sz w:val="22"/>
                <w:szCs w:val="22"/>
                <w:shd w:fill="FFFFFF" w:val="clear"/>
              </w:rPr>
              <w:t>1200 кг/м3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1.2.7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Фасовка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50 кг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1.2.8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Морозостойкость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Не менее 70 циклов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1.2.9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 xml:space="preserve">Ложное схватывание 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нет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1.2.10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 xml:space="preserve">Нормальная густота цементного теста 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28,5 %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1.2.12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Технологическая добавка «Интенсификатор помола Hemix E900» в пересчете на сухое вещество 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0,03%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1.2.13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Группа эффективности пропаривания 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ind w:left="0" w:right="-53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1.2.14</w:t>
            </w:r>
          </w:p>
        </w:tc>
        <w:tc>
          <w:tcPr>
            <w:tcW w:w="5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стандарту </w:t>
            </w:r>
          </w:p>
        </w:tc>
        <w:tc>
          <w:tcPr>
            <w:tcW w:w="5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31108-2020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ListParagraph"/>
              <w:widowControl w:val="false"/>
              <w:ind w:left="80" w:right="-53" w:hanging="0"/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eastAsia="x-none"/>
              </w:rPr>
              <w:t>2.</w:t>
            </w:r>
          </w:p>
        </w:tc>
        <w:tc>
          <w:tcPr>
            <w:tcW w:w="13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ListParagraph"/>
              <w:widowControl w:val="false"/>
              <w:ind w:left="80" w:hanging="0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2.1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Место поставки</w:t>
            </w:r>
          </w:p>
        </w:tc>
        <w:tc>
          <w:tcPr>
            <w:tcW w:w="8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1"/>
              </w:numPr>
              <w:shd w:val="clear" w:color="auto" w:fill="FFFFFF"/>
              <w:tabs>
                <w:tab w:val="clear" w:pos="708"/>
                <w:tab w:val="left" w:pos="142" w:leader="none"/>
                <w:tab w:val="left" w:pos="540" w:leader="none"/>
              </w:tabs>
              <w:spacing w:before="0" w:after="120"/>
              <w:ind w:left="0" w:hanging="0"/>
              <w:contextualSpacing w:val="false"/>
              <w:jc w:val="both"/>
              <w:rPr/>
            </w:pPr>
            <w:r>
              <w:rPr>
                <w:bCs/>
                <w:color w:val="000000"/>
                <w:sz w:val="24"/>
                <w:szCs w:val="24"/>
              </w:rPr>
              <w:t>Филиал «Колымская ГЭС имени Фриштера Ю.И.» ПАО «Колымаэнерго», Российская Федерация, Магаданская область, Ягоднинский район, п. Синегорье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ListParagraph"/>
              <w:widowControl w:val="false"/>
              <w:ind w:left="80" w:hanging="0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2.2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Поставка</w:t>
            </w:r>
          </w:p>
        </w:tc>
        <w:tc>
          <w:tcPr>
            <w:tcW w:w="8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Web"/>
              <w:widowControl w:val="false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Поставка производится в рабочие дни с 8-00 до 12-00 и с 13-00 до 16-00 (по местному времени), в пятницу с 8-00 до 12-00 и с 13-00 до 15-00 (по местному времени).</w:t>
            </w:r>
          </w:p>
          <w:p>
            <w:pPr>
              <w:pStyle w:val="NormalWeb"/>
              <w:widowControl w:val="false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Поставка товара осуществляется по заявкам транспортом и силами Поставщика.</w:t>
            </w:r>
          </w:p>
          <w:p>
            <w:pPr>
              <w:pStyle w:val="NormalWeb"/>
              <w:widowControl w:val="false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Упаковка должна обеспечивать сохранность товара при погрузочно-разгрузочных работах и транспортировке к конечному месту поставки. Поставка Товаров должна быть выполнена с надлежащим качеством и в установленные Договором сроки.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ind w:left="80" w:hanging="0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2.3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Приемка</w:t>
            </w:r>
          </w:p>
        </w:tc>
        <w:tc>
          <w:tcPr>
            <w:tcW w:w="8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Соответствие продукции и представленных документов договору и техническим требованиям.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eastAsia="x-none"/>
              </w:rPr>
              <w:t>3.</w:t>
            </w:r>
          </w:p>
        </w:tc>
        <w:tc>
          <w:tcPr>
            <w:tcW w:w="1384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818" w:hRule="atLeast"/>
        </w:trPr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3.1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FFFFFF" w:val="clear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x-none" w:bidi="ar-SA"/>
              </w:rPr>
              <w:t>Гарантия, не менее</w:t>
            </w:r>
          </w:p>
        </w:tc>
        <w:tc>
          <w:tcPr>
            <w:tcW w:w="821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FFFFFF" w:val="clear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x-none" w:bidi="ar-SA"/>
              </w:rPr>
              <w:t>3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x-none" w:bidi="ar-SA"/>
              </w:rPr>
              <w:t>/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x-none" w:bidi="ar-SA"/>
              </w:rPr>
              <w:t>4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x-none" w:bidi="ar-SA"/>
              </w:rPr>
              <w:t xml:space="preserve"> (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x-none" w:bidi="ar-SA"/>
              </w:rPr>
              <w:t>три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x-none" w:bidi="ar-SA"/>
              </w:rPr>
              <w:t>четверти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x-none" w:bidi="ar-SA"/>
              </w:rPr>
              <w:t xml:space="preserve">) от общего гарантийного срока хранения продукции, исчисляемый с даты подписания Сторонами соответствующей товарной накладной по форме ТОРГ-12 или Универсального передаточного документа (УПД). Общий гарантийный срок хранения Продукции должен составлять не менее 12 (двенадцати) месяцев с даты ее изготовления, если более длительный срок не установлен производителем (изготовителем) Продукции.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x-none" w:bidi="ar-SA"/>
              </w:rPr>
              <w:t>Изготовитель гарантирует соответствие цемента требования стандарта при соблюдении правил его транспортирования и хранения в течений 60 суток  исчисляемый 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4.</w:t>
            </w:r>
          </w:p>
        </w:tc>
        <w:tc>
          <w:tcPr>
            <w:tcW w:w="1384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4.1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Документ о качестве продукции </w:t>
            </w:r>
          </w:p>
        </w:tc>
        <w:tc>
          <w:tcPr>
            <w:tcW w:w="821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  <w:tab w:val="left" w:pos="1134" w:leader="none"/>
                <w:tab w:val="left" w:pos="1276" w:leader="none"/>
              </w:tabs>
              <w:overflowPunct w:val="true"/>
              <w:jc w:val="both"/>
              <w:rPr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Сертификат качества (паспорт) в 2 экз.;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  <w:tab w:val="left" w:pos="1134" w:leader="none"/>
                <w:tab w:val="left" w:pos="1276" w:leader="none"/>
              </w:tabs>
              <w:overflowPunct w:val="true"/>
              <w:jc w:val="both"/>
              <w:rPr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Упаковочный лист на каждую партию отгруженной Продукции в 2 экз.;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  <w:tab w:val="left" w:pos="1134" w:leader="none"/>
                <w:tab w:val="left" w:pos="1276" w:leader="none"/>
              </w:tabs>
              <w:overflowPunct w:val="true"/>
              <w:jc w:val="both"/>
              <w:rPr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Лицензии и т.п.) в зависимости от номенклатуры поставляемой Продукции.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  <w:t>5.</w:t>
            </w:r>
          </w:p>
        </w:tc>
        <w:tc>
          <w:tcPr>
            <w:tcW w:w="13842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5.1</w:t>
            </w:r>
          </w:p>
        </w:tc>
        <w:tc>
          <w:tcPr>
            <w:tcW w:w="13842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ранее не использовавшейся</w:t>
            </w:r>
          </w:p>
        </w:tc>
      </w:tr>
      <w:tr>
        <w:trPr>
          <w:trHeight w:val="20" w:hRule="atLeast"/>
        </w:trPr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5.2</w:t>
            </w:r>
          </w:p>
        </w:tc>
        <w:tc>
          <w:tcPr>
            <w:tcW w:w="13842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документа-ми, выполнение требований которых является условием выполнения гарантийных обязательств производителя.</w:t>
            </w:r>
          </w:p>
        </w:tc>
      </w:tr>
    </w:tbl>
    <w:p>
      <w:pPr>
        <w:pStyle w:val="Heading4"/>
        <w:numPr>
          <w:ilvl w:val="0"/>
        </w:numPr>
        <w:spacing w:before="0" w:after="0"/>
        <w:ind w:left="0" w:hanging="0"/>
        <w:rPr>
          <w:b/>
          <w:shd w:fill="FFFFFF" w:val="clear"/>
        </w:rPr>
      </w:pPr>
      <w:r>
        <w:rPr>
          <w:b/>
          <w:shd w:fill="FFFFFF" w:val="clear"/>
        </w:rPr>
      </w:r>
    </w:p>
    <w:tbl>
      <w:tblPr>
        <w:tblpPr w:vertAnchor="text" w:horzAnchor="margin" w:leftFromText="180" w:rightFromText="180" w:tblpX="0" w:tblpY="225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785"/>
        <w:gridCol w:w="4785"/>
      </w:tblGrid>
      <w:tr>
        <w:trPr/>
        <w:tc>
          <w:tcPr>
            <w:tcW w:w="4785" w:type="dxa"/>
            <w:tcBorders/>
            <w:shd w:color="auto" w:fill="FFFFFF" w:themeFill="background1" w:val="clear"/>
          </w:tcPr>
          <w:p>
            <w:pPr>
              <w:pStyle w:val="Style26"/>
              <w:widowControl w:val="false"/>
              <w:spacing w:lineRule="auto" w:line="240" w:before="0" w:after="0"/>
              <w:jc w:val="left"/>
              <w:rPr>
                <w:shd w:fill="FFFFFF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shd w:fill="FFFFFF" w:val="clear"/>
                <w:lang w:val="ru-RU"/>
              </w:rPr>
              <w:t>Покупатель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shd w:fill="FFFFFF" w:val="clear"/>
              </w:rPr>
              <w:t>:</w:t>
            </w:r>
          </w:p>
        </w:tc>
        <w:tc>
          <w:tcPr>
            <w:tcW w:w="4785" w:type="dxa"/>
            <w:tcBorders/>
            <w:shd w:color="auto" w:fill="FFFFFF" w:themeFill="background1" w:val="clear"/>
          </w:tcPr>
          <w:p>
            <w:pPr>
              <w:pStyle w:val="Style26"/>
              <w:widowControl w:val="false"/>
              <w:spacing w:lineRule="auto" w:line="240" w:before="0" w:after="0"/>
              <w:jc w:val="left"/>
              <w:rPr>
                <w:shd w:fill="FFFFFF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shd w:fill="FFFFFF" w:val="clear"/>
                <w:lang w:val="ru-RU"/>
              </w:rPr>
              <w:t>Поставщик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shd w:fill="FFFFFF" w:val="clear"/>
              </w:rPr>
              <w:t>:</w:t>
            </w:r>
          </w:p>
        </w:tc>
      </w:tr>
      <w:tr>
        <w:trPr/>
        <w:tc>
          <w:tcPr>
            <w:tcW w:w="478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Башкирского филиала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“Гидроремонт-ВКК” в г. Уфа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 / А.И. Муртазин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78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Директор</w:t>
            </w:r>
          </w:p>
          <w:p>
            <w:pPr>
              <w:pStyle w:val="Normal"/>
              <w:widowControl w:val="false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ООО «_____________________________»</w:t>
            </w:r>
          </w:p>
          <w:p>
            <w:pPr>
              <w:pStyle w:val="Normal"/>
              <w:widowControl w:val="false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____________________ / _____________ /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м.п.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4"/>
      <w:headerReference w:type="first" r:id="rId5"/>
      <w:type w:val="nextPage"/>
      <w:pgSz w:orient="landscape" w:w="16838" w:h="11906"/>
      <w:pgMar w:left="1134" w:right="992" w:gutter="0" w:header="680" w:top="851" w:footer="0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imesNewRomanPSM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1"/>
    <w:qFormat/>
    <w:pPr>
      <w:numPr>
        <w:ilvl w:val="0"/>
        <w:numId w:val="0"/>
      </w:numPr>
      <w:ind w:left="284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numPr>
        <w:ilvl w:val="2"/>
        <w:numId w:val="3"/>
      </w:numPr>
      <w:spacing w:lineRule="auto" w:line="360" w:before="120" w:after="60"/>
      <w:ind w:left="0" w:hanging="1191"/>
      <w:outlineLvl w:val="2"/>
    </w:pPr>
    <w:rPr>
      <w:rFonts w:eastAsia="Calibri"/>
      <w:sz w:val="24"/>
      <w:szCs w:val="24"/>
      <w:lang w:eastAsia="x-none"/>
    </w:rPr>
  </w:style>
  <w:style w:type="paragraph" w:styleId="Heading4">
    <w:name w:val="Heading 4"/>
    <w:basedOn w:val="Heading3"/>
    <w:next w:val="Normal"/>
    <w:link w:val="4"/>
    <w:qFormat/>
    <w:pPr>
      <w:numPr>
        <w:ilvl w:val="0"/>
        <w:numId w:val="0"/>
      </w:numPr>
      <w:ind w:left="284" w:hanging="1191"/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1" w:customStyle="1">
    <w:name w:val="Гиперссылка1"/>
    <w:qFormat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1" w:customStyle="1">
    <w:name w:val="Strong1"/>
    <w:qFormat/>
    <w:rPr>
      <w:b/>
      <w:bCs/>
    </w:rPr>
  </w:style>
  <w:style w:type="character" w:styleId="6" w:customStyle="1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Pr>
      <w:rFonts w:eastAsia="Calibri"/>
      <w:sz w:val="24"/>
      <w:szCs w:val="24"/>
      <w:lang w:eastAsia="x-none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qFormat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7"/>
    <w:qFormat/>
    <w:rPr>
      <w:sz w:val="28"/>
    </w:rPr>
  </w:style>
  <w:style w:type="character" w:styleId="Style2" w:customStyle="1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 w:customStyle="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2" w:customStyle="1">
    <w:name w:val="Подпункт Знак1"/>
    <w:link w:val="Style23"/>
    <w:qFormat/>
    <w:rPr>
      <w:sz w:val="28"/>
    </w:rPr>
  </w:style>
  <w:style w:type="character" w:styleId="Style5" w:customStyle="1">
    <w:name w:val="Текст сноски Знак"/>
    <w:qFormat/>
    <w:rPr/>
  </w:style>
  <w:style w:type="character" w:styleId="Style6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7" w:customStyle="1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 w:customStyle="1">
    <w:name w:val="комментарий"/>
    <w:qFormat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rPr>
      <w:sz w:val="26"/>
      <w:szCs w:val="26"/>
    </w:rPr>
  </w:style>
  <w:style w:type="character" w:styleId="31" w:customStyle="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qFormat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Pr/>
  </w:style>
  <w:style w:type="character" w:styleId="Style12" w:customStyle="1">
    <w:name w:val="Текст концевой сноски Знак"/>
    <w:basedOn w:val="DefaultParagraphFont"/>
    <w:qFormat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character" w:styleId="22" w:customStyle="1">
    <w:name w:val="Пункт2 Знак"/>
    <w:link w:val="24"/>
    <w:qFormat/>
    <w:rPr>
      <w:b/>
      <w:sz w:val="28"/>
    </w:rPr>
  </w:style>
  <w:style w:type="character" w:styleId="13" w:customStyle="1">
    <w:name w:val="УРОВЕНЬ_1. Знак"/>
    <w:link w:val="111"/>
    <w:qFormat/>
    <w:rPr>
      <w:rFonts w:eastAsia="Calibri"/>
      <w:caps/>
      <w:sz w:val="28"/>
      <w:szCs w:val="28"/>
      <w:lang w:eastAsia="en-US"/>
    </w:rPr>
  </w:style>
  <w:style w:type="character" w:styleId="14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Pr>
      <w:sz w:val="16"/>
      <w:szCs w:val="16"/>
    </w:rPr>
  </w:style>
  <w:style w:type="character" w:styleId="Fontstyle01" w:customStyle="1">
    <w:name w:val="fontstyle01"/>
    <w:qFormat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Style14" w:customStyle="1">
    <w:name w:val="Основной текст_"/>
    <w:link w:val="112"/>
    <w:qFormat/>
    <w:rPr>
      <w:sz w:val="28"/>
      <w:shd w:fill="FFFFFF" w:val="clear"/>
    </w:rPr>
  </w:style>
  <w:style w:type="character" w:styleId="Style15" w:customStyle="1">
    <w:name w:val="Символ нумерации"/>
    <w:qFormat/>
    <w:rPr/>
  </w:style>
  <w:style w:type="character" w:styleId="Ecattext" w:customStyle="1">
    <w:name w:val="ecattext"/>
    <w:qFormat/>
    <w:rPr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styleId="Style16" w:customStyle="1">
    <w:name w:val="Ссылка указателя"/>
    <w:qFormat/>
    <w:rPr/>
  </w:style>
  <w:style w:type="character" w:styleId="Strong">
    <w:name w:val="Strong"/>
    <w:qFormat/>
    <w:rPr>
      <w:b/>
      <w:bCs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15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 w:customStyle="1">
    <w:name w:val="index heading111111"/>
    <w:basedOn w:val="15"/>
    <w:qFormat/>
    <w:pPr/>
    <w:rPr/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" w:customStyle="1">
    <w:name w:val="index heading1111111"/>
    <w:basedOn w:val="Title"/>
    <w:qFormat/>
    <w:pPr/>
    <w:rPr/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" w:customStyle="1">
    <w:name w:val="index heading11111111"/>
    <w:basedOn w:val="Title"/>
    <w:qFormat/>
    <w:pPr/>
    <w:rPr/>
  </w:style>
  <w:style w:type="paragraph" w:styleId="Caption111111111" w:customStyle="1">
    <w:name w:val="caption111111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Indexheading111111111" w:customStyle="1">
    <w:name w:val="index heading1111111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6" w:customStyle="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7" w:customStyle="1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2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left="280" w:hanging="0"/>
    </w:pPr>
    <w:rPr>
      <w:rFonts w:cs="Calibri"/>
      <w:sz w:val="20"/>
      <w:szCs w:val="20"/>
    </w:rPr>
  </w:style>
  <w:style w:type="paragraph" w:styleId="Style24" w:customStyle="1">
    <w:name w:val="Раздел регламента"/>
    <w:basedOn w:val="Normal"/>
    <w:qFormat/>
    <w:pPr/>
    <w:rPr/>
  </w:style>
  <w:style w:type="paragraph" w:styleId="Style25" w:customStyle="1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8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ind w:left="560" w:hanging="0"/>
    </w:pPr>
    <w:rPr>
      <w:rFonts w:cs="Calibri"/>
      <w:sz w:val="20"/>
      <w:szCs w:val="20"/>
    </w:rPr>
  </w:style>
  <w:style w:type="paragraph" w:styleId="25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9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0" w:customStyle="1">
    <w:name w:val="Стиль Заголовок 1 + по ширине"/>
    <w:basedOn w:val="Heading1"/>
    <w:qFormat/>
    <w:pPr>
      <w:keepLines/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8" w:customStyle="1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11" w:customStyle="1">
    <w:name w:val="УРОВЕНЬ_1."/>
    <w:basedOn w:val="ListParagraph"/>
    <w:link w:val="13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 w:hanging="0"/>
    </w:pPr>
    <w:rPr>
      <w:rFonts w:ascii="Calibri" w:hAnsi="Calibri" w:cs="Calibri"/>
      <w:sz w:val="20"/>
      <w:szCs w:val="20"/>
    </w:rPr>
  </w:style>
  <w:style w:type="paragraph" w:styleId="37" w:customStyle="1">
    <w:name w:val="Абзац списка3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112" w:customStyle="1">
    <w:name w:val="Основной текст1"/>
    <w:basedOn w:val="Normal"/>
    <w:link w:val="Style14"/>
    <w:qFormat/>
    <w:pPr>
      <w:widowControl w:val="false"/>
      <w:shd w:val="clear" w:color="auto" w:fill="FFFFFF"/>
      <w:spacing w:lineRule="exact" w:line="302"/>
    </w:pPr>
    <w:rPr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qFormat/>
  </w:style>
  <w:style w:type="numbering" w:styleId="29" w:customStyle="1">
    <w:name w:val="Стиль2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Application>AlterOffice/3.4.0.9$Linux_X86_64 LibreOffice_project/b8daf9e823b1a5463a2f48435ddc2e8696e7d4fc</Application>
  <AppVersion>15.0000</AppVersion>
  <Pages>7</Pages>
  <Words>954</Words>
  <Characters>6260</Characters>
  <CharactersWithSpaces>7013</CharactersWithSpaces>
  <Paragraphs>236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2025-06-05T06:49:00Z</dcterms:created>
  <dc:creator>Быстров Олег Геннадьевич</dc:creator>
  <dc:description/>
  <dc:language>ru-RU</dc:language>
  <cp:lastModifiedBy/>
  <cp:lastPrinted>2026-07-10T15:11:08Z</cp:lastPrinted>
  <dcterms:modified xsi:type="dcterms:W3CDTF">2026-07-29T17:00:47Z</dcterms:modified>
  <cp:revision>107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