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1"/>
        <w:widowControl w:val="false"/>
        <w:numPr>
          <w:ilvl w:val="0"/>
          <w:numId w:val="0"/>
        </w:numPr>
        <w:ind w:left="851" w:hanging="0"/>
        <w:jc w:val="center"/>
        <w:rPr>
          <w:b/>
          <w:b/>
          <w:bCs/>
        </w:rPr>
      </w:pPr>
      <w:r>
        <w:rPr>
          <w:b/>
          <w:bCs/>
        </w:rPr>
      </w:r>
      <w:bookmarkStart w:id="0" w:name="_Toc236230742"/>
      <w:bookmarkStart w:id="1" w:name="_Toc236230742"/>
      <w:bookmarkEnd w:id="1"/>
    </w:p>
    <w:p>
      <w:pPr>
        <w:pStyle w:val="Normal"/>
        <w:widowControl w:val="false"/>
        <w:jc w:val="center"/>
        <w:rPr>
          <w:b/>
          <w:b/>
          <w:bCs/>
        </w:rPr>
      </w:pPr>
      <w:r>
        <w:rPr>
          <w:rFonts w:eastAsia="Calibri"/>
          <w:b/>
          <w:bCs/>
          <w:sz w:val="24"/>
          <w:szCs w:val="24"/>
        </w:rPr>
        <w:t>ОКПД 2.    26.51.53</w:t>
      </w:r>
    </w:p>
    <w:p>
      <w:pPr>
        <w:pStyle w:val="Normal"/>
        <w:widowControl w:val="false"/>
        <w:jc w:val="center"/>
        <w:rPr>
          <w:b/>
          <w:b/>
          <w:bCs/>
        </w:rPr>
      </w:pPr>
      <w:r>
        <w:rPr>
          <w:rFonts w:eastAsia="Calibri"/>
          <w:b/>
          <w:bCs/>
          <w:sz w:val="24"/>
          <w:szCs w:val="24"/>
        </w:rPr>
        <w:t>Поставка</w:t>
      </w:r>
      <w:r>
        <w:rPr>
          <w:rFonts w:eastAsia="Calibri"/>
          <w:b/>
          <w:bCs/>
          <w:sz w:val="24"/>
          <w:szCs w:val="24"/>
          <w:shd w:fill="auto" w:val="clear"/>
        </w:rPr>
        <w:t xml:space="preserve"> комплекта оборудования лабораторной гидроциклонной установки  </w:t>
      </w:r>
      <w:r>
        <w:rPr>
          <w:rFonts w:eastAsia="Calibri"/>
          <w:b/>
          <w:bCs/>
          <w:sz w:val="24"/>
          <w:szCs w:val="24"/>
          <w:shd w:fill="auto" w:val="clear"/>
        </w:rPr>
        <w:t xml:space="preserve">и </w:t>
      </w:r>
      <w:r>
        <w:rPr>
          <w:rFonts w:eastAsia="Calibri"/>
          <w:b/>
          <w:bCs/>
          <w:sz w:val="24"/>
          <w:szCs w:val="24"/>
          <w:shd w:fill="auto" w:val="clear"/>
        </w:rPr>
        <w:t xml:space="preserve"> </w:t>
      </w:r>
      <w:r>
        <w:rPr>
          <w:rFonts w:eastAsia="Calibri"/>
          <w:b/>
          <w:bCs/>
          <w:sz w:val="26"/>
          <w:szCs w:val="26"/>
          <w:shd w:fill="auto" w:val="clear"/>
        </w:rPr>
        <w:t>Гидроциклон</w:t>
      </w:r>
      <w:r>
        <w:rPr>
          <w:rFonts w:eastAsia="Calibri"/>
          <w:b/>
          <w:bCs/>
          <w:sz w:val="26"/>
          <w:szCs w:val="26"/>
          <w:shd w:fill="auto" w:val="clear"/>
        </w:rPr>
        <w:t>а</w:t>
      </w:r>
      <w:r>
        <w:rPr>
          <w:rFonts w:eastAsia="Calibri"/>
          <w:b/>
          <w:bCs/>
          <w:sz w:val="26"/>
          <w:szCs w:val="26"/>
          <w:shd w:fill="auto" w:val="clear"/>
        </w:rPr>
        <w:t xml:space="preserve"> ГЦП-50-10</w:t>
      </w:r>
    </w:p>
    <w:p>
      <w:pPr>
        <w:pStyle w:val="Normal"/>
        <w:widowControl w:val="false"/>
        <w:jc w:val="center"/>
        <w:rPr>
          <w:b/>
          <w:b/>
          <w:bCs/>
        </w:rPr>
      </w:pPr>
      <w:r>
        <w:rPr>
          <w:rFonts w:eastAsia="Calibri"/>
          <w:b/>
          <w:bCs/>
          <w:sz w:val="24"/>
          <w:szCs w:val="24"/>
        </w:rPr>
        <w:t xml:space="preserve">для оснащения лаборатории глубокой переработки и утилизации золошлаковых отходов </w:t>
      </w:r>
    </w:p>
    <w:p>
      <w:pPr>
        <w:pStyle w:val="Normal"/>
        <w:widowControl w:val="false"/>
        <w:jc w:val="center"/>
        <w:rPr>
          <w:rFonts w:eastAsia="Calibri"/>
          <w:b/>
          <w:b/>
          <w:bCs/>
          <w:sz w:val="26"/>
          <w:szCs w:val="26"/>
        </w:rPr>
      </w:pPr>
      <w:r>
        <w:rPr>
          <w:rFonts w:eastAsia="Calibri"/>
          <w:b/>
          <w:bCs/>
          <w:sz w:val="24"/>
          <w:szCs w:val="24"/>
        </w:rPr>
        <w:t>АО «ВНИИГ им.  Б.Е. Веденеева».</w:t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9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vanish w:val="false"/>
              <w:rFonts w:eastAsia="Arial"/>
            </w:rPr>
            <w:instrText> TOC \z \o "1-4" \u \h</w:instrText>
          </w:r>
          <w:r>
            <w:rPr>
              <w:webHidden/>
              <w:vanish w:val="false"/>
              <w:rFonts w:eastAsia="Arial"/>
            </w:rPr>
            <w:fldChar w:fldCharType="separate"/>
          </w:r>
          <w:hyperlink w:anchor="_Toc236230742">
            <w:r>
              <w:rPr>
                <w:webHidden/>
                <w:rFonts w:eastAsia="Arial"/>
                <w:vanish w:val="false"/>
              </w:rPr>
              <w:t>ОКПД 2: 28.92.40. Поставка Установки лабораторной УЛГЦП-3 и гидроциклонов ГЦП-50 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_Toc236230742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230743">
            <w:r>
              <w:rPr>
                <w:webHidden/>
                <w:rFonts w:eastAsia="Arial"/>
                <w:vanish w:val="false"/>
              </w:rPr>
              <w:t>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_Toc236230743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230744">
            <w:r>
              <w:rPr>
                <w:webHidden/>
                <w:rFonts w:eastAsia="Arial"/>
                <w:i/>
                <w:iCs/>
                <w:vanish w:val="false"/>
              </w:rPr>
              <w:t>1.1.</w:t>
            </w:r>
            <w:r>
              <w:rPr>
                <w:rFonts w:eastAsia="Arial"/>
              </w:rPr>
              <w:t xml:space="preserve">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_Toc236230744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230745">
            <w:r>
              <w:rPr>
                <w:webHidden/>
                <w:rFonts w:eastAsia="Arial"/>
                <w:vanish w:val="false"/>
              </w:rPr>
              <w:t>1.2.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_Toc236230745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230746">
            <w:r>
              <w:rPr>
                <w:webHidden/>
                <w:rFonts w:eastAsia="Arial"/>
                <w:vanish w:val="false"/>
              </w:rPr>
              <w:t>Поставка Установки лабораторной УЛГЦП-3 и гидроциклонов ГЦП-50 для оснащения лаборатории глубокой переработки и утилизации золошлаковых отходов АО «ВНИИГ им.  Б.Е. Веденеева»Цель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_Toc236230746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230747">
            <w:r>
              <w:rPr>
                <w:webHidden/>
                <w:rFonts w:eastAsia="Arial"/>
                <w:vanish w:val="false"/>
              </w:rPr>
              <w:t>1.3.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_Toc236230747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230748">
            <w:r>
              <w:rPr>
                <w:webHidden/>
                <w:rFonts w:eastAsia="Arial"/>
                <w:vanish w:val="false"/>
              </w:rPr>
              <w:t>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_Toc236230748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230749">
            <w:r>
              <w:rPr>
                <w:webHidden/>
                <w:rFonts w:eastAsia="Arial"/>
                <w:vanish w:val="false"/>
              </w:rPr>
              <w:t>2.1. 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_Toc236230749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230750">
            <w:r>
              <w:rPr>
                <w:webHidden/>
                <w:rFonts w:eastAsia="Arial"/>
                <w:vanish w:val="false"/>
              </w:rPr>
              <w:t>2.1.1.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_Toc236230750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230751">
            <w:r>
              <w:rPr>
                <w:webHidden/>
                <w:rFonts w:eastAsia="Arial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_Toc236230751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230752">
            <w:r>
              <w:rPr>
                <w:webHidden/>
                <w:rFonts w:eastAsia="Arial"/>
                <w:vanish w:val="false"/>
              </w:rPr>
              <w:t>2.1.2.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_Toc236230752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230753">
            <w:r>
              <w:rPr>
                <w:webHidden/>
                <w:rFonts w:eastAsia="Arial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_Toc236230753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230754">
            <w:r>
              <w:rPr>
                <w:webHidden/>
                <w:rFonts w:eastAsia="Arial"/>
                <w:vanish w:val="false"/>
              </w:rPr>
              <w:t>2.2.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_Toc236230754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230755">
            <w:r>
              <w:rPr>
                <w:webHidden/>
                <w:rFonts w:eastAsia="Arial"/>
                <w:vanish w:val="false"/>
              </w:rPr>
              <w:t>Таблица 3.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_Toc236230755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230756">
            <w:r>
              <w:rPr>
                <w:webHidden/>
                <w:rFonts w:eastAsia="Arial"/>
                <w:i/>
                <w:iCs/>
                <w:vanish w:val="false"/>
              </w:rPr>
              <w:t xml:space="preserve">Наименование продукции: </w:t>
            </w:r>
            <w:r>
              <w:rPr>
                <w:rFonts w:eastAsia="Arial"/>
              </w:rPr>
              <w:t>Установка лабораторная УЛГЦП-3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_Toc236230756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10194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230757">
            <w:r>
              <w:rPr>
                <w:webHidden/>
                <w:rFonts w:eastAsia="Arial"/>
                <w:i/>
                <w:iCs/>
                <w:vanish w:val="false"/>
              </w:rPr>
              <w:t xml:space="preserve">Наименование продукции: </w:t>
            </w:r>
            <w:r>
              <w:rPr>
                <w:rFonts w:eastAsia="Arial"/>
              </w:rPr>
              <w:t>Гидроциклон ГЦП-50-10 в комплекте с насадкой песковой d-4 мм (материал исполнения - полиурета-новый корпус)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_Toc236230757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widowControl w:val="false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keepNext w:val="false"/>
        <w:widowControl w:val="false"/>
        <w:tabs>
          <w:tab w:val="clear" w:pos="0"/>
        </w:tabs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Next w:val="false"/>
        <w:widowControl w:val="false"/>
        <w:ind w:left="357" w:hanging="357"/>
        <w:jc w:val="center"/>
        <w:rPr>
          <w:caps/>
        </w:rPr>
      </w:pPr>
      <w:bookmarkStart w:id="2" w:name="_Toc51339692"/>
      <w:bookmarkStart w:id="3" w:name="_Toc236230743"/>
      <w:r>
        <w:rPr/>
        <w:t>Общие сведения</w:t>
      </w:r>
      <w:bookmarkEnd w:id="2"/>
      <w:bookmarkEnd w:id="3"/>
    </w:p>
    <w:p>
      <w:pPr>
        <w:pStyle w:val="4"/>
        <w:keepNext w:val="false"/>
        <w:widowControl w:val="false"/>
        <w:numPr>
          <w:ilvl w:val="1"/>
          <w:numId w:val="11"/>
        </w:numPr>
        <w:ind w:left="0" w:firstLine="567"/>
        <w:rPr>
          <w:rStyle w:val="Style17"/>
          <w:iCs/>
          <w:sz w:val="26"/>
          <w:szCs w:val="26"/>
        </w:rPr>
      </w:pPr>
      <w:bookmarkStart w:id="4" w:name="_Toc46743505"/>
      <w:bookmarkStart w:id="5" w:name="_Toc236230744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 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>
      <w:pPr>
        <w:pStyle w:val="Normal"/>
        <w:widowControl w:val="false"/>
        <w:ind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4"/>
        <w:keepNext w:val="false"/>
        <w:widowControl w:val="false"/>
        <w:numPr>
          <w:ilvl w:val="1"/>
          <w:numId w:val="12"/>
        </w:numPr>
        <w:ind w:left="0" w:firstLine="567"/>
        <w:rPr/>
      </w:pPr>
      <w:bookmarkStart w:id="6" w:name="_Toc236230745"/>
      <w:r>
        <w:rPr/>
        <w:t>Наименование закупаемой продукции</w:t>
      </w:r>
      <w:bookmarkEnd w:id="6"/>
    </w:p>
    <w:p>
      <w:pPr>
        <w:pStyle w:val="4"/>
        <w:keepNext w:val="false"/>
        <w:widowControl w:val="false"/>
        <w:numPr>
          <w:ilvl w:val="0"/>
          <w:numId w:val="0"/>
        </w:numPr>
        <w:tabs>
          <w:tab w:val="clear" w:pos="0"/>
        </w:tabs>
        <w:suppressAutoHyphens w:val="true"/>
        <w:bidi w:val="0"/>
        <w:spacing w:before="120" w:after="60"/>
        <w:ind w:left="57" w:right="0" w:firstLine="510"/>
        <w:jc w:val="left"/>
        <w:outlineLvl w:val="3"/>
        <w:rPr>
          <w:b w:val="false"/>
          <w:b w:val="false"/>
        </w:rPr>
      </w:pPr>
      <w:r>
        <w:rPr>
          <w:rFonts w:eastAsia="Calibri"/>
          <w:b w:val="false"/>
          <w:bCs w:val="false"/>
          <w:sz w:val="24"/>
          <w:szCs w:val="24"/>
          <w:shd w:fill="auto" w:val="clear"/>
        </w:rPr>
        <w:t xml:space="preserve">Поставка комплекта оборудования лабораторной гидроциклонной установки </w:t>
      </w:r>
      <w:r>
        <w:rPr>
          <w:b w:val="false"/>
          <w:bCs w:val="false"/>
          <w:shd w:fill="auto" w:val="clear"/>
        </w:rPr>
        <w:t xml:space="preserve"> </w:t>
      </w:r>
      <w:r>
        <w:rPr>
          <w:b w:val="false"/>
          <w:bCs w:val="false"/>
          <w:shd w:fill="auto" w:val="clear"/>
        </w:rPr>
        <w:t>и г</w:t>
      </w:r>
      <w:r>
        <w:rPr>
          <w:rFonts w:eastAsia="Calibri"/>
          <w:b w:val="false"/>
          <w:bCs w:val="false"/>
          <w:sz w:val="26"/>
          <w:szCs w:val="26"/>
          <w:shd w:fill="auto" w:val="clear"/>
        </w:rPr>
        <w:t>идроциклон</w:t>
      </w:r>
      <w:r>
        <w:rPr>
          <w:rFonts w:eastAsia="Calibri"/>
          <w:b w:val="false"/>
          <w:bCs w:val="false"/>
          <w:sz w:val="26"/>
          <w:szCs w:val="26"/>
          <w:shd w:fill="auto" w:val="clear"/>
        </w:rPr>
        <w:t>а</w:t>
      </w:r>
      <w:r>
        <w:rPr>
          <w:rFonts w:eastAsia="Calibri"/>
          <w:b w:val="false"/>
          <w:bCs w:val="false"/>
          <w:sz w:val="26"/>
          <w:szCs w:val="26"/>
          <w:shd w:fill="auto" w:val="clear"/>
        </w:rPr>
        <w:t xml:space="preserve"> ГЦП-50-10 </w:t>
      </w:r>
      <w:r>
        <w:rPr>
          <w:b w:val="false"/>
          <w:bCs w:val="false"/>
          <w:shd w:fill="auto" w:val="clear"/>
        </w:rPr>
        <w:t>д</w:t>
      </w:r>
      <w:r>
        <w:rPr>
          <w:b w:val="false"/>
        </w:rPr>
        <w:t>ля оснащения лаборатории глубокой переработки и утилизации золошлаковых отходов АО «ВНИИГ им.  Б.Е. Веденеева»</w:t>
      </w:r>
    </w:p>
    <w:p>
      <w:pPr>
        <w:pStyle w:val="4"/>
        <w:keepNext w:val="false"/>
        <w:widowControl w:val="false"/>
        <w:tabs>
          <w:tab w:val="clear" w:pos="0"/>
        </w:tabs>
        <w:ind w:left="432" w:hanging="0"/>
        <w:rPr/>
      </w:pPr>
      <w:bookmarkStart w:id="7" w:name="_Toc236230746"/>
      <w:r>
        <w:rPr/>
        <w:t>Цель поставки</w:t>
      </w:r>
      <w:bookmarkEnd w:id="7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3"/>
        </w:numPr>
        <w:ind w:left="0" w:firstLine="567"/>
        <w:rPr/>
      </w:pPr>
      <w:bookmarkStart w:id="8" w:name="_Toc46743508"/>
      <w:bookmarkStart w:id="9" w:name="_Toc236230747"/>
      <w:r>
        <w:rPr/>
        <w:t>Существующее положение</w:t>
      </w:r>
      <w:bookmarkEnd w:id="8"/>
      <w:bookmarkEnd w:id="9"/>
    </w:p>
    <w:p>
      <w:pPr>
        <w:pStyle w:val="Normal"/>
        <w:widowControl w:val="false"/>
        <w:spacing w:lineRule="auto" w:line="276"/>
        <w:ind w:firstLine="567"/>
        <w:jc w:val="both"/>
        <w:rPr>
          <w:bCs/>
          <w:sz w:val="24"/>
          <w:szCs w:val="24"/>
        </w:rPr>
      </w:pPr>
      <w:bookmarkStart w:id="10" w:name="_Hlk49857604"/>
      <w:bookmarkStart w:id="11" w:name="_Toc46743509"/>
      <w:bookmarkEnd w:id="10"/>
      <w:bookmarkEnd w:id="11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>АО «ВНИИГ им. Б.Е. Веденеева», 195220, г. Санкт-Петербург, ул. Гжатская, д.21.</w:t>
      </w:r>
    </w:p>
    <w:p>
      <w:pPr>
        <w:pStyle w:val="1"/>
        <w:keepNext w:val="false"/>
        <w:widowControl w:val="false"/>
        <w:ind w:left="0" w:firstLine="567"/>
        <w:jc w:val="center"/>
        <w:rPr>
          <w:iCs/>
          <w:caps/>
        </w:rPr>
      </w:pPr>
      <w:bookmarkStart w:id="12" w:name="_Toc50125126"/>
      <w:bookmarkStart w:id="13" w:name="_Toc51339693"/>
      <w:bookmarkStart w:id="14" w:name="_Toc236230748"/>
      <w:bookmarkStart w:id="15" w:name="_Hlk49857604_Копия_1"/>
      <w:bookmarkStart w:id="16" w:name="_Toc46743509_Копия_1"/>
      <w:bookmarkStart w:id="17" w:name="_Toc46743510"/>
      <w:bookmarkEnd w:id="15"/>
      <w:bookmarkEnd w:id="16"/>
      <w:bookmarkEnd w:id="17"/>
      <w:r>
        <w:rPr>
          <w:iCs/>
        </w:rPr>
        <w:t>Требования к продукции</w:t>
      </w:r>
      <w:bookmarkEnd w:id="13"/>
      <w:bookmarkEnd w:id="14"/>
    </w:p>
    <w:p>
      <w:pPr>
        <w:pStyle w:val="4"/>
        <w:keepNext w:val="false"/>
        <w:widowControl w:val="false"/>
        <w:numPr>
          <w:ilvl w:val="1"/>
          <w:numId w:val="14"/>
        </w:numPr>
        <w:ind w:left="0" w:firstLine="567"/>
        <w:rPr/>
      </w:pPr>
      <w:bookmarkStart w:id="18" w:name="_Toc236230749"/>
      <w:r>
        <w:rPr/>
        <w:t>Требования к объемам и срокам поставки</w:t>
      </w:r>
      <w:bookmarkEnd w:id="18"/>
    </w:p>
    <w:p>
      <w:pPr>
        <w:pStyle w:val="3"/>
        <w:keepNext w:val="false"/>
        <w:widowControl w:val="false"/>
        <w:numPr>
          <w:ilvl w:val="2"/>
          <w:numId w:val="15"/>
        </w:numPr>
        <w:ind w:left="0" w:firstLine="567"/>
        <w:rPr/>
      </w:pPr>
      <w:bookmarkStart w:id="19" w:name="_Toc236230750"/>
      <w:r>
        <w:rPr/>
        <w:t>Перечень и объем закупаемой продукции</w:t>
      </w:r>
      <w:bookmarkEnd w:id="19"/>
    </w:p>
    <w:p>
      <w:pPr>
        <w:pStyle w:val="1"/>
        <w:keepNext w:val="false"/>
        <w:widowControl w:val="false"/>
        <w:numPr>
          <w:ilvl w:val="0"/>
          <w:numId w:val="0"/>
        </w:numPr>
        <w:spacing w:before="240" w:after="60"/>
        <w:ind w:left="0" w:firstLine="567"/>
        <w:rPr>
          <w:bCs/>
          <w:i/>
          <w:i/>
          <w:sz w:val="24"/>
          <w:szCs w:val="24"/>
          <w:shd w:fill="FFFF99" w:val="clear"/>
        </w:rPr>
      </w:pPr>
      <w:bookmarkStart w:id="20" w:name="_Toc236230751"/>
      <w:bookmarkStart w:id="21" w:name="_Toc51339695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93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3"/>
        <w:gridCol w:w="6134"/>
        <w:gridCol w:w="1421"/>
        <w:gridCol w:w="1534"/>
      </w:tblGrid>
      <w:tr>
        <w:trPr>
          <w:tblHeader w:val="true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Лабораторная гидроциклонная установка в составе: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комплект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Опорная рама лабораторной установки УЛГ подвижная на поворотных грузовых колесах, исполнение — углеро- дистая сталь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1.2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подготовительная лабораторной установки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УЛГ, полипропилен, (V 150 литров)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1.3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песковая лабораторной установки УЛГ, поли- пропилен, (V 120 литров)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1.4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верхнего слива лабораторной установки УЛГ, полипропилен, (V 120 литров)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1.5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Трубная обвязка лабораторной установки УЛГ, поли- пропилен, резиновый рукав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комплект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1.6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Патрубок слива фильтрата и патрубок питания гидро- циклона, резина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комплект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1.7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Питающий винтовой насос Н1В 6/5-5 380В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1.8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Эл. шкаф подключения установки управления насосом с регулятором частоты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комплект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1.9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Манометр механический с разделителем сред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комплект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1.10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Гидроциклон ГЦП-50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комплект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1.11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Якорная мешалка для перемешивания пульпы для подачи в насос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Гидроциклон ГЦП-50-10 в комплекте с насадкой песко- вой d-4 мм (материал исполнения — полиуретановый корпус)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шт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contextualSpacing/>
              <w:jc w:val="left"/>
              <w:rPr/>
            </w:pPr>
            <w:r>
              <w:rPr/>
              <w:t>3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Доставка по адресу: г. Санкт-Петербург, ул. Гжатская, д. 21.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3"/>
        <w:keepNext w:val="false"/>
        <w:widowControl w:val="false"/>
        <w:numPr>
          <w:ilvl w:val="2"/>
          <w:numId w:val="16"/>
        </w:numPr>
        <w:rPr/>
      </w:pPr>
      <w:bookmarkStart w:id="22" w:name="_Toc236230752"/>
      <w:bookmarkStart w:id="23" w:name="_Toc51339696"/>
      <w:r>
        <w:rPr/>
        <w:t xml:space="preserve">Требования </w:t>
      </w:r>
      <w:bookmarkEnd w:id="23"/>
      <w:r>
        <w:rPr/>
        <w:t>к срокам поставки продукции и оказания сопутствующих услуг</w:t>
      </w:r>
      <w:bookmarkStart w:id="24" w:name="_Toc51339697"/>
      <w:bookmarkStart w:id="25" w:name="_Toc50125127"/>
      <w:bookmarkEnd w:id="12"/>
      <w:bookmarkEnd w:id="22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bookmarkStart w:id="26" w:name="_Toc236230753"/>
      <w:r>
        <w:rPr>
          <w:sz w:val="24"/>
          <w:szCs w:val="24"/>
        </w:rPr>
        <w:t xml:space="preserve">Таблица 2.1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</w:rPr>
        <w:t>поставки продукции</w:t>
      </w:r>
      <w:bookmarkEnd w:id="26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3404"/>
        <w:gridCol w:w="2380"/>
        <w:gridCol w:w="3114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4"/>
              <w:keepNext w:val="false"/>
              <w:widowControl w:val="false"/>
              <w:numPr>
                <w:ilvl w:val="0"/>
                <w:numId w:val="0"/>
              </w:numPr>
              <w:tabs>
                <w:tab w:val="clear" w:pos="0"/>
              </w:tabs>
              <w:suppressAutoHyphens w:val="true"/>
              <w:bidi w:val="0"/>
              <w:spacing w:before="120" w:after="60"/>
              <w:ind w:left="57" w:right="0" w:hanging="0"/>
              <w:jc w:val="left"/>
              <w:outlineLvl w:val="3"/>
              <w:rPr>
                <w:b w:val="false"/>
                <w:b w:val="false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shd w:fill="auto" w:val="clear"/>
              </w:rPr>
              <w:t>Комплект оборудования лабораторной гидроциклонной установки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40 рабочих дней с даты заключения договора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4"/>
        <w:keepNext w:val="false"/>
        <w:widowControl w:val="false"/>
        <w:numPr>
          <w:ilvl w:val="1"/>
          <w:numId w:val="17"/>
        </w:numPr>
        <w:ind w:left="432" w:hanging="0"/>
        <w:rPr/>
      </w:pPr>
      <w:bookmarkStart w:id="28" w:name="_Toc236230754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  <w:bookmarkEnd w:id="28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236230755"/>
      <w:r>
        <w:rPr>
          <w:sz w:val="24"/>
          <w:szCs w:val="24"/>
        </w:rPr>
        <w:t>Таблица 3. Требования к качеству продукции</w:t>
      </w:r>
      <w:bookmarkEnd w:id="30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rStyle w:val="Style17"/>
          <w:b/>
          <w:b/>
          <w:i w:val="false"/>
          <w:i w:val="false"/>
          <w:sz w:val="24"/>
          <w:szCs w:val="24"/>
        </w:rPr>
      </w:pPr>
      <w:bookmarkStart w:id="31" w:name="_Toc236230756"/>
      <w:r>
        <w:rPr>
          <w:bCs/>
          <w:i/>
          <w:iCs/>
          <w:sz w:val="24"/>
          <w:szCs w:val="24"/>
        </w:rPr>
        <w:t xml:space="preserve">Наименование продукции: </w:t>
      </w:r>
      <w:r>
        <w:rPr>
          <w:b w:val="false"/>
          <w:sz w:val="26"/>
          <w:szCs w:val="26"/>
        </w:rPr>
        <w:t xml:space="preserve">Установка лабораторная </w:t>
      </w:r>
      <w:bookmarkEnd w:id="31"/>
      <w:r>
        <w:rPr>
          <w:b w:val="false"/>
          <w:sz w:val="26"/>
          <w:szCs w:val="26"/>
        </w:rPr>
        <w:t>гидроциклонная</w:t>
      </w:r>
    </w:p>
    <w:tbl>
      <w:tblPr>
        <w:tblStyle w:val="affff8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0"/>
        <w:gridCol w:w="2883"/>
        <w:gridCol w:w="6322"/>
      </w:tblGrid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3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емкостей, шт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питающих насосов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413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Размер не более (ВШГ):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1780*1200*1100 мм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  В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380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912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Опорная рама лабораторной установки УЛГ подвижная на поворотных грузовых колесах, исполнение - углеро-дистая сталь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шт.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Емкость подготовительная лабораторной установки УЛГ, полипропилен, (V 150 литров)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шт.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Емкость песковая лабораторной установки УЛГ, поли-пропилен, (V 120 литров)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шт.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Емкость верхнего слива лабораторной установки УЛГ, полипропилен, (V 120 литров)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шт.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Трубная обвязка лабораторной установки УЛГ, поли-пропилен, резиновый рукав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комплект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Патрубок слива фильтрата и патрубок питания гидро-циклона, резина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комплект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питающий винтовой насос Н1В 6/5-5 380В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шт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Эл. шкаф подключения установки управления насосом с регулятором частоты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комплект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Манометр механический с разделителем сред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 комплект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Гидроциклон ГЦП-50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 комплект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Якорная мешалка для перемешивания пульпы для по-дачи в насос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 шт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2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rStyle w:val="Style17"/>
          <w:b/>
          <w:b/>
          <w:i w:val="false"/>
          <w:i w:val="false"/>
          <w:sz w:val="24"/>
          <w:szCs w:val="24"/>
        </w:rPr>
      </w:pPr>
      <w:bookmarkStart w:id="32" w:name="_Toc236230757"/>
      <w:r>
        <w:rPr>
          <w:bCs/>
          <w:i/>
          <w:iCs/>
          <w:sz w:val="24"/>
          <w:szCs w:val="24"/>
        </w:rPr>
        <w:t xml:space="preserve">Наименование продукции: </w:t>
      </w:r>
      <w:r>
        <w:rPr>
          <w:b w:val="false"/>
          <w:sz w:val="26"/>
          <w:szCs w:val="26"/>
        </w:rPr>
        <w:t>Гидроциклон ГЦП-50-10 в комплекте с насадкой песковой d-4 мм (материал исполнения - полиурета-новый корпус)</w:t>
      </w:r>
      <w:bookmarkEnd w:id="32"/>
    </w:p>
    <w:tbl>
      <w:tblPr>
        <w:tblStyle w:val="affff8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0"/>
        <w:gridCol w:w="2883"/>
        <w:gridCol w:w="6322"/>
      </w:tblGrid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3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цилиндрической части, мм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Угол конуса, град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</w:tr>
      <w:tr>
        <w:trPr>
          <w:trHeight w:val="413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сливного отверстия, мм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10; 12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пескового отверстия, мм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2; 3; 4; 6; 8; 10; 12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Рабочее давление перед гидроциклоном, МПа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0,1÷0,3±0,05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09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Масса, кг не более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3,6</w:t>
            </w:r>
            <w:bookmarkStart w:id="33" w:name="_GoBack"/>
            <w:bookmarkEnd w:id="33"/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912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3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851" w:right="851" w:header="680" w:top="992" w:footer="0" w:bottom="567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2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3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4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5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6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link w:val="31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Normal"/>
    <w:link w:val="40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5">
    <w:name w:val="Heading 5"/>
    <w:basedOn w:val="Normal"/>
    <w:next w:val="Normal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next w:val="Normal"/>
    <w:link w:val="70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next w:val="Normal"/>
    <w:link w:val="80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Название Знак1"/>
    <w:basedOn w:val="DefaultParagraphFont"/>
    <w:link w:val="a3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5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Style7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8">
    <w:name w:val="Интернет-ссылка"/>
    <w:basedOn w:val="DefaultParagraphFont"/>
    <w:uiPriority w:val="99"/>
    <w:unhideWhenUsed/>
    <w:rsid w:val="00714b9a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 w:customStyle="1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styleId="71" w:customStyle="1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styleId="81" w:customStyle="1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styleId="12" w:customStyle="1">
    <w:name w:val="Заголовок 1 Знак"/>
    <w:link w:val="aa"/>
    <w:qFormat/>
    <w:rPr>
      <w:rFonts w:eastAsia="Calibri"/>
      <w:b/>
      <w:sz w:val="28"/>
      <w:szCs w:val="28"/>
    </w:rPr>
  </w:style>
  <w:style w:type="character" w:styleId="21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qFormat/>
    <w:rPr>
      <w:rFonts w:eastAsia="Calibri"/>
      <w:b/>
      <w:sz w:val="24"/>
      <w:szCs w:val="24"/>
    </w:rPr>
  </w:style>
  <w:style w:type="character" w:styleId="41" w:customStyle="1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styleId="Style9" w:customStyle="1">
    <w:name w:val="Название Знак"/>
    <w:link w:val="11"/>
    <w:uiPriority w:val="10"/>
    <w:qFormat/>
    <w:rPr>
      <w:sz w:val="28"/>
    </w:rPr>
  </w:style>
  <w:style w:type="character" w:styleId="Style10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11">
    <w:name w:val="Выделение"/>
    <w:uiPriority w:val="20"/>
    <w:qFormat/>
    <w:rPr>
      <w:i/>
      <w:iCs/>
    </w:rPr>
  </w:style>
  <w:style w:type="character" w:styleId="22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12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3" w:customStyle="1">
    <w:name w:val="Подпункт Знак1"/>
    <w:link w:val="af4"/>
    <w:qFormat/>
    <w:rPr>
      <w:sz w:val="28"/>
    </w:rPr>
  </w:style>
  <w:style w:type="character" w:styleId="Style14" w:customStyle="1">
    <w:name w:val="Текст сноски Знак"/>
    <w:uiPriority w:val="99"/>
    <w:qFormat/>
    <w:rPr/>
  </w:style>
  <w:style w:type="character" w:styleId="Style15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16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17" w:customStyle="1">
    <w:name w:val="комментарий"/>
    <w:qFormat/>
    <w:rPr>
      <w:b/>
      <w:i/>
      <w:shd w:fill="FFFF99" w:val="clear"/>
    </w:rPr>
  </w:style>
  <w:style w:type="character" w:styleId="Style18" w:customStyle="1">
    <w:name w:val="Подподпункт Знак"/>
    <w:qFormat/>
    <w:rPr>
      <w:sz w:val="26"/>
      <w:szCs w:val="26"/>
    </w:rPr>
  </w:style>
  <w:style w:type="character" w:styleId="311" w:customStyle="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styleId="Style19" w:customStyle="1">
    <w:name w:val="Верхний колонтитул Знак"/>
    <w:uiPriority w:val="99"/>
    <w:qFormat/>
    <w:rPr>
      <w:sz w:val="24"/>
      <w:szCs w:val="24"/>
    </w:rPr>
  </w:style>
  <w:style w:type="character" w:styleId="Style20" w:customStyle="1">
    <w:name w:val="Текст примечания Знак"/>
    <w:semiHidden/>
    <w:qFormat/>
    <w:rPr/>
  </w:style>
  <w:style w:type="character" w:styleId="Style21" w:customStyle="1">
    <w:name w:val="Текст концевой сноски Знак"/>
    <w:basedOn w:val="DefaultParagraphFont"/>
    <w:qFormat/>
    <w:rPr/>
  </w:style>
  <w:style w:type="character" w:styleId="Style22" w:customStyle="1">
    <w:name w:val="Символ концевой сноски"/>
    <w:qFormat/>
    <w:rPr>
      <w:vertAlign w:val="superscript"/>
    </w:rPr>
  </w:style>
  <w:style w:type="character" w:styleId="Style23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3" w:customStyle="1">
    <w:name w:val="Пункт2 Знак"/>
    <w:link w:val="23"/>
    <w:qFormat/>
    <w:rPr>
      <w:b/>
      <w:sz w:val="28"/>
    </w:rPr>
  </w:style>
  <w:style w:type="character" w:styleId="14" w:customStyle="1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styleId="15" w:customStyle="1">
    <w:name w:val="Неразрешенное упоминание1"/>
    <w:basedOn w:val="DefaultParagraphFont"/>
    <w:link w:val="13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24" w:customStyle="1">
    <w:name w:val="Посещённая гиперссылка"/>
    <w:basedOn w:val="DefaultParagraphFont"/>
    <w:semiHidden/>
    <w:unhideWhenUsed/>
    <w:rPr>
      <w:color w:val="954F72" w:themeColor="followedHyperlink"/>
      <w:u w:val="single"/>
    </w:rPr>
  </w:style>
  <w:style w:type="character" w:styleId="Style25" w:customStyle="1">
    <w:name w:val="Ссылка указателя"/>
    <w:qFormat/>
    <w:rPr/>
  </w:style>
  <w:style w:type="paragraph" w:styleId="Style26" w:customStyle="1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Style27">
    <w:name w:val="Body Text"/>
    <w:basedOn w:val="Normal"/>
    <w:pPr>
      <w:spacing w:before="0" w:after="120"/>
    </w:pPr>
    <w:rPr/>
  </w:style>
  <w:style w:type="paragraph" w:styleId="Style28">
    <w:name w:val="List"/>
    <w:basedOn w:val="Style27"/>
    <w:pPr/>
    <w:rPr>
      <w:rFonts w:cs="Lohit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16"/>
    <w:qFormat/>
    <w:pPr/>
    <w:rPr/>
  </w:style>
  <w:style w:type="paragraph" w:styleId="16" w:customStyle="1">
    <w:name w:val="Заголовок1"/>
    <w:basedOn w:val="Normal"/>
    <w:next w:val="Style27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 w:customStyle="1">
    <w:name w:val="index heading1"/>
    <w:basedOn w:val="16"/>
    <w:qFormat/>
    <w:pPr/>
    <w:rPr/>
  </w:style>
  <w:style w:type="paragraph" w:styleId="Style31">
    <w:name w:val="Title"/>
    <w:basedOn w:val="Normal"/>
    <w:next w:val="Normal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2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33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34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both"/>
    </w:pPr>
    <w:rPr/>
  </w:style>
  <w:style w:type="paragraph" w:styleId="Style35">
    <w:name w:val="Footnote Text"/>
    <w:basedOn w:val="Normal"/>
    <w:uiPriority w:val="99"/>
    <w:pPr/>
    <w:rPr>
      <w:sz w:val="20"/>
      <w:szCs w:val="20"/>
    </w:rPr>
  </w:style>
  <w:style w:type="paragraph" w:styleId="17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Цитата 2 Знак1"/>
    <w:basedOn w:val="Normal"/>
    <w:link w:val="24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Основной текст с отступом 3 Знак"/>
    <w:basedOn w:val="Normal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36" w:customStyle="1">
    <w:name w:val="Колонтитул"/>
    <w:basedOn w:val="Normal"/>
    <w:qFormat/>
    <w:pPr/>
    <w:rPr/>
  </w:style>
  <w:style w:type="paragraph" w:styleId="Style3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8">
    <w:name w:val="Body Text Indent"/>
    <w:basedOn w:val="Normal"/>
    <w:pPr>
      <w:ind w:left="360" w:hanging="0"/>
    </w:pPr>
    <w:rPr>
      <w:sz w:val="24"/>
      <w:szCs w:val="24"/>
    </w:rPr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4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0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Оглавление 2 Знак"/>
    <w:basedOn w:val="Normal"/>
    <w:link w:val="28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link w:val="32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41" w:customStyle="1">
    <w:name w:val="Раздел регламента"/>
    <w:basedOn w:val="Normal"/>
    <w:qFormat/>
    <w:pPr/>
    <w:rPr/>
  </w:style>
  <w:style w:type="paragraph" w:styleId="Style42" w:customStyle="1">
    <w:name w:val="Приложение к регламенту"/>
    <w:basedOn w:val="Normal"/>
    <w:qFormat/>
    <w:pPr>
      <w:jc w:val="right"/>
    </w:pPr>
    <w:rPr/>
  </w:style>
  <w:style w:type="paragraph" w:styleId="25">
    <w:name w:val="TOC 2"/>
    <w:basedOn w:val="Normal"/>
    <w:next w:val="Normal"/>
    <w:link w:val="27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link w:val="22"/>
    <w:qFormat/>
    <w:pPr>
      <w:pageBreakBefore/>
      <w:jc w:val="both"/>
      <w:outlineLvl w:val="0"/>
    </w:pPr>
    <w:rPr>
      <w:b/>
    </w:rPr>
  </w:style>
  <w:style w:type="paragraph" w:styleId="Style43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tyle44">
    <w:name w:val="Subtitle"/>
    <w:basedOn w:val="Normal"/>
    <w:next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0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TOCHeading">
    <w:name w:val="TOC Heading"/>
    <w:basedOn w:val="1"/>
    <w:next w:val="Normal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45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pPr>
      <w:tabs>
        <w:tab w:val="clear" w:pos="708"/>
        <w:tab w:val="left" w:pos="0" w:leader="none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7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9" w:customStyle="1">
    <w:name w:val="Подподпункт"/>
    <w:basedOn w:val="Style40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50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51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Style52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Style53">
    <w:name w:val="Endnote Text"/>
    <w:basedOn w:val="Normal"/>
    <w:pPr/>
    <w:rPr>
      <w:sz w:val="20"/>
      <w:szCs w:val="20"/>
    </w:rPr>
  </w:style>
  <w:style w:type="paragraph" w:styleId="29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5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5" w:customStyle="1">
    <w:name w:val="Содержимое врезки"/>
    <w:basedOn w:val="Normal"/>
    <w:qFormat/>
    <w:pPr/>
    <w:rPr/>
  </w:style>
  <w:style w:type="paragraph" w:styleId="Default" w:customStyle="1">
    <w:name w:val="Default"/>
    <w:qFormat/>
    <w:rsid w:val="000d45d1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</w:style>
  <w:style w:type="numbering" w:styleId="210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8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ocs.cntd.ru/document/1200164120" TargetMode="External"/><Relationship Id="rId3" Type="http://schemas.openxmlformats.org/officeDocument/2006/relationships/hyperlink" Target="https://docs.cntd.ru/document/12001641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Application>LibreOffice/7.1.8.1$Linux_X86_64 LibreOffice_project/10$Build-1</Application>
  <AppVersion>15.0000</AppVersion>
  <Pages>7</Pages>
  <Words>1114</Words>
  <Characters>7337</Characters>
  <CharactersWithSpaces>8190</CharactersWithSpaces>
  <Paragraphs>271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2025-09-26T13:22:00Z</dcterms:created>
  <dc:creator>Быстров Олег Геннадьевич</dc:creator>
  <dc:description/>
  <dc:language>ru-RU</dc:language>
  <cp:lastModifiedBy/>
  <dcterms:modified xsi:type="dcterms:W3CDTF">2026-07-29T16:30:07Z</dcterms:modified>
  <cp:revision>35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