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eastAsia="Calibri"/>
          <w:bCs/>
          <w:color w:val="000000"/>
          <w:sz w:val="24"/>
          <w:szCs w:val="24"/>
        </w:rPr>
      </w:pPr>
      <w:r>
        <w:rPr>
          <w:rFonts w:eastAsia="Calibri"/>
          <w:bCs/>
          <w:color w:val="000000"/>
          <w:sz w:val="24"/>
          <w:szCs w:val="24"/>
        </w:rPr>
      </w:r>
    </w:p>
    <w:p>
      <w:pPr>
        <w:pStyle w:val="Normal"/>
        <w:jc w:val="center"/>
        <w:rPr>
          <w:rFonts w:eastAsia="Calibri"/>
          <w:b/>
          <w:bCs/>
          <w:color w:val="000000"/>
          <w:sz w:val="24"/>
          <w:szCs w:val="24"/>
        </w:rPr>
      </w:pPr>
      <w:r>
        <w:rPr>
          <w:rFonts w:eastAsia="Calibri"/>
          <w:b/>
          <w:bCs/>
          <w:color w:val="000000"/>
          <w:sz w:val="24"/>
          <w:szCs w:val="24"/>
        </w:rPr>
        <w:t>Технические требования к продукции</w:t>
      </w:r>
    </w:p>
    <w:p>
      <w:pPr>
        <w:pStyle w:val="Normal"/>
        <w:jc w:val="center"/>
        <w:rPr>
          <w:rFonts w:eastAsia="Calibri"/>
          <w:b/>
          <w:bCs/>
          <w:color w:val="000000"/>
          <w:sz w:val="24"/>
          <w:szCs w:val="24"/>
        </w:rPr>
      </w:pPr>
      <w:r>
        <w:rPr>
          <w:rFonts w:eastAsia="Calibri"/>
          <w:b/>
          <w:bCs/>
          <w:color w:val="000000"/>
          <w:sz w:val="24"/>
          <w:szCs w:val="24"/>
        </w:rPr>
        <w:t xml:space="preserve"> </w:t>
      </w:r>
      <w:r>
        <w:rPr>
          <w:rFonts w:eastAsia="Calibri"/>
          <w:b/>
          <w:bCs/>
          <w:color w:val="000000"/>
          <w:sz w:val="24"/>
          <w:szCs w:val="24"/>
        </w:rPr>
        <w:t xml:space="preserve">(в том числе, сведения об объеме, месте, сроках поставляемой продукции) </w:t>
      </w:r>
    </w:p>
    <w:p>
      <w:pPr>
        <w:pStyle w:val="Normal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</w:r>
    </w:p>
    <w:tbl>
      <w:tblPr>
        <w:tblW w:w="13935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960"/>
        <w:gridCol w:w="2610"/>
        <w:gridCol w:w="1531"/>
        <w:gridCol w:w="7090"/>
        <w:gridCol w:w="817"/>
        <w:gridCol w:w="926"/>
      </w:tblGrid>
      <w:tr>
        <w:trPr>
          <w:trHeight w:val="1260" w:hRule="atLeast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№ </w:t>
            </w:r>
            <w:r>
              <w:rPr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Марка</w:t>
            </w:r>
          </w:p>
        </w:tc>
        <w:tc>
          <w:tcPr>
            <w:tcW w:w="7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Технические характеристики (описание)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Ед. изм.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Кол-во</w:t>
            </w:r>
          </w:p>
        </w:tc>
      </w:tr>
      <w:tr>
        <w:trPr>
          <w:trHeight w:val="315" w:hRule="atLeast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7</w:t>
            </w:r>
          </w:p>
        </w:tc>
      </w:tr>
      <w:tr>
        <w:trPr>
          <w:trHeight w:val="1200" w:hRule="atLeast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shd w:fill="auto" w:val="clear"/>
                <w:em w:val="none"/>
                <w:lang w:val="en-US" w:eastAsia="ru-RU" w:bidi="ar-SA"/>
              </w:rPr>
              <w:t>Т</w:t>
            </w: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  <w:em w:val="none"/>
                <w:lang w:val="en-US"/>
              </w:rPr>
              <w:t xml:space="preserve">алреп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7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center"/>
              <w:rPr/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  <w:em w:val="none"/>
                <w:lang w:val="en-US"/>
              </w:rPr>
              <w:t>крюк-кольцо М10 ОЦ DIN1480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</w:tr>
      <w:tr>
        <w:trPr>
          <w:trHeight w:val="120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shd w:fill="auto" w:val="clear"/>
                <w:em w:val="none"/>
              </w:rPr>
              <w:t>К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shd w:fill="auto" w:val="clear"/>
                <w:em w:val="none"/>
              </w:rPr>
              <w:t>оуш для троса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7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shd w:fill="auto" w:val="clear"/>
                <w:em w:val="none"/>
              </w:rPr>
              <w:t>К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shd w:fill="auto" w:val="clear"/>
                <w:em w:val="none"/>
              </w:rPr>
              <w:t>оуш для троса DIN 6899 для троса диаметром 8 мм, оцинкованный</w:t>
            </w:r>
          </w:p>
        </w:tc>
        <w:tc>
          <w:tcPr>
            <w:tcW w:w="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102</w:t>
            </w:r>
          </w:p>
        </w:tc>
      </w:tr>
      <w:tr>
        <w:trPr>
          <w:trHeight w:val="120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Heading1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shd w:fill="auto" w:val="clear"/>
                <w:lang w:eastAsia="ru-RU" w:bidi="ar-SA"/>
              </w:rPr>
              <w:t>Анкерный болт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7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Heading1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shd w:fill="auto" w:val="clear"/>
                <w:lang w:eastAsia="ru-RU" w:bidi="ar-SA"/>
              </w:rPr>
              <w:t>Анкерный болт с кольцом 12x100 мм М12</w:t>
            </w:r>
          </w:p>
        </w:tc>
        <w:tc>
          <w:tcPr>
            <w:tcW w:w="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105</w:t>
            </w:r>
          </w:p>
        </w:tc>
      </w:tr>
      <w:tr>
        <w:trPr>
          <w:trHeight w:val="120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Heading1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" w:cs="Times New Roman" w:eastAsiaTheme="minorEastAsia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shd w:fill="auto" w:val="clear"/>
                <w:lang w:eastAsia="ru-RU" w:bidi="ar-SA"/>
              </w:rPr>
              <w:t>Зажим прута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Heading1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Times New Roman" w:eastAsiaTheme="minorEastAsia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shd w:fill="auto" w:val="clear"/>
                <w:lang w:eastAsia="ru-RU" w:bidi="ar-SA"/>
              </w:rPr>
              <w:t xml:space="preserve">HZ EKF </w:t>
            </w:r>
          </w:p>
        </w:tc>
        <w:tc>
          <w:tcPr>
            <w:tcW w:w="7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Heading1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Times New Roman" w:eastAsiaTheme="minorEastAsia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shd w:fill="auto" w:val="clear"/>
                <w:lang w:eastAsia="ru-RU" w:bidi="ar-SA"/>
              </w:rPr>
              <w:t>Зажим прута универсальный (пластина 45х45мм)</w:t>
            </w:r>
          </w:p>
        </w:tc>
        <w:tc>
          <w:tcPr>
            <w:tcW w:w="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102</w:t>
            </w:r>
          </w:p>
        </w:tc>
      </w:tr>
      <w:tr>
        <w:trPr>
          <w:trHeight w:val="120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Heading1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" w:eastAsiaTheme="minorEastAsia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shd w:fill="auto" w:val="clear"/>
                <w:lang w:eastAsia="ru-RU" w:bidi="ar-SA"/>
              </w:rPr>
              <w:t>Болт в комплекте с гайкой и шайбой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Heading1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Times New Roman" w:eastAsiaTheme="minorEastAsia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shd w:fill="auto" w:val="clear"/>
                <w:lang w:eastAsia="ru-RU" w:bidi="ar-SA"/>
              </w:rPr>
              <w:t>Zitar 114055</w:t>
            </w:r>
          </w:p>
        </w:tc>
        <w:tc>
          <w:tcPr>
            <w:tcW w:w="7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Heading1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Times New Roman" w:eastAsiaTheme="minorEastAsia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shd w:fill="auto" w:val="clear"/>
                <w:lang w:eastAsia="ru-RU" w:bidi="ar-SA"/>
              </w:rPr>
              <w:t>Болт с шестигранной головкой DIN933 оцинкованный М10x40 мм, в комплекте с гайкой и шайбой, 2 шт в пакете</w:t>
            </w:r>
          </w:p>
        </w:tc>
        <w:tc>
          <w:tcPr>
            <w:tcW w:w="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26</w:t>
            </w:r>
          </w:p>
        </w:tc>
      </w:tr>
    </w:tbl>
    <w:p>
      <w:pPr>
        <w:pStyle w:val="Normal"/>
        <w:widowControl w:val="false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Условия поставки</w:t>
      </w:r>
      <w:r>
        <w:rPr>
          <w:bCs/>
          <w:color w:val="000000"/>
          <w:sz w:val="24"/>
          <w:szCs w:val="24"/>
        </w:rPr>
        <w:t>:</w:t>
      </w:r>
    </w:p>
    <w:p>
      <w:pPr>
        <w:pStyle w:val="Normal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</w:r>
    </w:p>
    <w:tbl>
      <w:tblPr>
        <w:tblW w:w="1544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2253"/>
        <w:gridCol w:w="13192"/>
      </w:tblGrid>
      <w:tr>
        <w:trPr>
          <w:trHeight w:val="21" w:hRule="atLeast"/>
          <w:cantSplit w:val="true"/>
        </w:trPr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Требования к поставке продукции</w:t>
            </w:r>
          </w:p>
        </w:tc>
        <w:tc>
          <w:tcPr>
            <w:tcW w:w="1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ind w:left="0" w:hanging="0"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Продукция должна быть новой, ранее не использованной, </w:t>
            </w:r>
            <w:r>
              <w:rPr>
                <w:sz w:val="22"/>
                <w:szCs w:val="22"/>
              </w:rPr>
              <w:t>не бывшей в употреблении, не восстановленной после ремонта, не выставочным экземпляром, технически исправной.</w:t>
            </w:r>
          </w:p>
          <w:p>
            <w:pPr>
              <w:pStyle w:val="ListParagraph"/>
              <w:widowControl w:val="false"/>
              <w:ind w:left="0" w:hanging="0"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По качеству и комплектности должна соответствовать действующим на момент поставки ТУ или ГОСТ, указанным в соответствующих сертификатах.</w:t>
            </w:r>
          </w:p>
        </w:tc>
      </w:tr>
      <w:tr>
        <w:trPr>
          <w:trHeight w:val="619" w:hRule="atLeast"/>
          <w:cantSplit w:val="true"/>
        </w:trPr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1"/>
              <w:widowControl w:val="false"/>
              <w:jc w:val="left"/>
              <w:rPr>
                <w:b w:val="false"/>
                <w:bCs/>
                <w:sz w:val="22"/>
                <w:szCs w:val="22"/>
              </w:rPr>
            </w:pPr>
            <w:r>
              <w:rPr>
                <w:b w:val="false"/>
                <w:bCs/>
                <w:sz w:val="22"/>
                <w:szCs w:val="22"/>
              </w:rPr>
              <w:t>Место поставки продукции</w:t>
            </w:r>
          </w:p>
        </w:tc>
        <w:tc>
          <w:tcPr>
            <w:tcW w:w="1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676730, Амурская область, пгт Талакан, Склад ТМЦ Филиала ПАО «РусГидро» - «Бурейская ГЭС»</w:t>
            </w:r>
          </w:p>
        </w:tc>
      </w:tr>
      <w:tr>
        <w:trPr>
          <w:trHeight w:val="444" w:hRule="atLeast"/>
          <w:cantSplit w:val="true"/>
        </w:trPr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1"/>
              <w:widowControl w:val="false"/>
              <w:jc w:val="left"/>
              <w:rPr>
                <w:b w:val="false"/>
                <w:bCs/>
                <w:sz w:val="22"/>
                <w:szCs w:val="22"/>
              </w:rPr>
            </w:pPr>
            <w:r>
              <w:rPr>
                <w:b w:val="false"/>
                <w:bCs/>
                <w:sz w:val="22"/>
                <w:szCs w:val="22"/>
              </w:rPr>
              <w:t>Условия поставки</w:t>
            </w:r>
          </w:p>
        </w:tc>
        <w:tc>
          <w:tcPr>
            <w:tcW w:w="1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Доставка продукции производится Поставщиком (транспортом поставщика, за его счет) на склад Заказчика</w:t>
            </w:r>
          </w:p>
        </w:tc>
      </w:tr>
      <w:tr>
        <w:trPr>
          <w:trHeight w:val="570" w:hRule="atLeast"/>
          <w:cantSplit w:val="true"/>
        </w:trPr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1"/>
              <w:widowControl w:val="false"/>
              <w:jc w:val="left"/>
              <w:rPr>
                <w:b w:val="false"/>
                <w:bCs/>
                <w:sz w:val="22"/>
                <w:szCs w:val="22"/>
              </w:rPr>
            </w:pPr>
            <w:r>
              <w:rPr>
                <w:b w:val="false"/>
                <w:bCs/>
                <w:sz w:val="22"/>
                <w:szCs w:val="22"/>
              </w:rPr>
              <w:t>Срок поставки</w:t>
            </w:r>
          </w:p>
        </w:tc>
        <w:tc>
          <w:tcPr>
            <w:tcW w:w="1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1134" w:leader="none"/>
                <w:tab w:val="left" w:pos="1418" w:leader="none"/>
              </w:tabs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Начало: день, следующий за днем подписания Сторонами договора.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1134" w:leader="none"/>
                <w:tab w:val="left" w:pos="1418" w:leader="none"/>
              </w:tabs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Срок поставки  </w:t>
            </w:r>
            <w:r>
              <w:rPr>
                <w:bCs/>
                <w:sz w:val="22"/>
                <w:szCs w:val="22"/>
              </w:rPr>
              <w:t>45</w:t>
            </w:r>
            <w:r>
              <w:rPr>
                <w:bCs/>
                <w:sz w:val="22"/>
                <w:szCs w:val="22"/>
              </w:rPr>
              <w:t xml:space="preserve"> дней.</w:t>
            </w:r>
          </w:p>
        </w:tc>
      </w:tr>
      <w:tr>
        <w:trPr>
          <w:trHeight w:val="1253" w:hRule="atLeast"/>
          <w:cantSplit w:val="true"/>
        </w:trPr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1"/>
              <w:widowControl w:val="false"/>
              <w:jc w:val="left"/>
              <w:rPr>
                <w:b w:val="false"/>
                <w:bCs/>
                <w:sz w:val="22"/>
                <w:szCs w:val="22"/>
              </w:rPr>
            </w:pPr>
            <w:r>
              <w:rPr>
                <w:b w:val="false"/>
                <w:bCs/>
                <w:sz w:val="22"/>
                <w:szCs w:val="22"/>
              </w:rPr>
              <w:t>Гарантийный срок</w:t>
            </w:r>
          </w:p>
        </w:tc>
        <w:tc>
          <w:tcPr>
            <w:tcW w:w="1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Поставщик гарантирует соответствие продукции требованиям нормативно-технической документации (конструкторской документации) в течение гарантийного срока, установленного заводом изготовителем, исчисляемого с даты подписания соответствующих актов, товарных накладных (ТОРГ-12), при соблюдении условий транспортирования, правил хранения на складе. При этом гарантийное обслуживание осуществляется специалистами поставщика бесплатно в течение всего указанного гарантийного срока.</w:t>
            </w:r>
          </w:p>
        </w:tc>
      </w:tr>
    </w:tbl>
    <w:p>
      <w:pPr>
        <w:pStyle w:val="Normal"/>
        <w:rPr>
          <w:bCs/>
          <w:color w:val="000000"/>
        </w:rPr>
      </w:pPr>
      <w:r>
        <w:rPr>
          <w:bCs/>
          <w:color w:val="000000"/>
        </w:rPr>
      </w:r>
    </w:p>
    <w:p>
      <w:pPr>
        <w:pStyle w:val="Normal"/>
        <w:rPr/>
      </w:pPr>
      <w:r>
        <w:rPr/>
      </w:r>
    </w:p>
    <w:sectPr>
      <w:type w:val="nextPage"/>
      <w:pgSz w:orient="landscape" w:w="16838" w:h="11906"/>
      <w:pgMar w:left="720" w:right="720" w:gutter="0" w:header="0" w:top="720" w:footer="0" w:bottom="720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Liberation Mono">
    <w:altName w:val="Courier New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552e9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4552e9"/>
    <w:pPr>
      <w:keepNext w:val="true"/>
      <w:jc w:val="center"/>
      <w:outlineLvl w:val="0"/>
    </w:pPr>
    <w:rPr>
      <w:b/>
      <w:sz w:val="24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4552e9"/>
    <w:rPr>
      <w:rFonts w:ascii="Times New Roman" w:hAnsi="Times New Roman" w:eastAsia="Times New Roman" w:cs="Times New Roman"/>
      <w:b/>
      <w:sz w:val="24"/>
      <w:szCs w:val="20"/>
      <w:lang w:eastAsia="ru-RU"/>
    </w:rPr>
  </w:style>
  <w:style w:type="character" w:styleId="Style8" w:customStyle="1">
    <w:name w:val="Текст выноски Знак"/>
    <w:basedOn w:val="DefaultParagraphFont"/>
    <w:link w:val="BalloonText"/>
    <w:uiPriority w:val="99"/>
    <w:semiHidden/>
    <w:qFormat/>
    <w:rsid w:val="007414aa"/>
    <w:rPr>
      <w:rFonts w:ascii="Segoe UI" w:hAnsi="Segoe UI" w:eastAsia="Times New Roman" w:cs="Segoe UI"/>
      <w:sz w:val="18"/>
      <w:szCs w:val="18"/>
      <w:lang w:eastAsia="ru-RU"/>
    </w:rPr>
  </w:style>
  <w:style w:type="character" w:styleId="Style9">
    <w:name w:val="Маркеры"/>
    <w:qFormat/>
    <w:rPr>
      <w:rFonts w:ascii="OpenSymbol" w:hAnsi="OpenSymbol" w:eastAsia="OpenSymbol" w:cs="OpenSymbol"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4552e9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BalloonText">
    <w:name w:val="Balloon Text"/>
    <w:basedOn w:val="Normal"/>
    <w:link w:val="Style8"/>
    <w:uiPriority w:val="99"/>
    <w:semiHidden/>
    <w:unhideWhenUsed/>
    <w:qFormat/>
    <w:rsid w:val="007414aa"/>
    <w:pPr/>
    <w:rPr>
      <w:rFonts w:ascii="Segoe UI" w:hAnsi="Segoe UI" w:cs="Segoe UI"/>
      <w:sz w:val="18"/>
      <w:szCs w:val="18"/>
    </w:rPr>
  </w:style>
  <w:style w:type="paragraph" w:styleId="Style12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13" w:customStyle="1">
    <w:name w:val="Заголовок таблицы"/>
    <w:basedOn w:val="Style12"/>
    <w:qFormat/>
    <w:pPr>
      <w:jc w:val="center"/>
    </w:pPr>
    <w:rPr>
      <w:b/>
      <w:bCs/>
    </w:rPr>
  </w:style>
  <w:style w:type="paragraph" w:styleId="Style14" w:customStyle="1">
    <w:name w:val="Текст в заданном формате"/>
    <w:basedOn w:val="Normal"/>
    <w:qFormat/>
    <w:pPr/>
    <w:rPr>
      <w:rFonts w:ascii="Liberation Mono" w:hAnsi="Liberation Mono" w:eastAsia="Liberation Mono" w:cs="Liberation Mono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numbering" w:styleId="42372031971">
    <w:name w:val="42372031971"/>
    <w:qFormat/>
  </w:style>
  <w:style w:type="numbering" w:styleId="41791161231">
    <w:name w:val="41791161231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1000</TotalTime>
  <Application>AlterOffice/3.4.0.9$Linux_X86_64 LibreOffice_project/b8daf9e823b1a5463a2f48435ddc2e8696e7d4fc</Application>
  <AppVersion>15.0000</AppVersion>
  <Pages>2</Pages>
  <Words>248</Words>
  <Characters>1561</Characters>
  <CharactersWithSpaces>1758</CharactersWithSpaces>
  <Paragraphs>57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2023-02-15T02:36:00Z</dcterms:created>
  <dc:creator>Воронина Юлия Викторовна</dc:creator>
  <dc:description/>
  <dc:language>ru-RU</dc:language>
  <cp:lastModifiedBy>Владислав Владимирович Карлов</cp:lastModifiedBy>
  <cp:lastPrinted>2024-10-04T02:27:00Z</cp:lastPrinted>
  <dcterms:modified xsi:type="dcterms:W3CDTF">2026-07-29T15:50:16Z</dcterms:modified>
  <cp:revision>43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