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keepNext w:val="true"/>
        <w:keepLines w:val="true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  <w:t xml:space="preserve">Технические требования на оказание услуг</w:t>
      </w:r>
      <w:r/>
    </w:p>
    <w:p>
      <w:pPr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lang w:val="ru-RU"/>
          <w14:ligatures w14:val="none"/>
        </w:rPr>
      </w:pPr>
      <w:r>
        <w:rPr>
          <w:rFonts w:eastAsia="Calibri"/>
          <w:b/>
          <w:bCs/>
          <w:lang w:val="ru-RU"/>
        </w:rPr>
        <w:t xml:space="preserve">Градуировка резервуара склада ГСМ ДЭС (ОПО) п. Зырянка </w:t>
      </w:r>
      <w:r>
        <w:rPr>
          <w:rFonts w:eastAsia="Calibri"/>
          <w:b/>
          <w:bCs/>
          <w:lang w:val="ru-RU"/>
          <w14:ligatures w14:val="none"/>
        </w:rPr>
      </w:r>
    </w:p>
    <w:p>
      <w:pPr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lang w:val="ru-RU"/>
          <w14:ligatures w14:val="none"/>
        </w:rPr>
      </w:pPr>
      <w:r>
        <w:rPr>
          <w:rFonts w:eastAsia="Calibri"/>
          <w:b/>
          <w:bCs/>
          <w:lang w:val="ru-RU"/>
        </w:rPr>
        <w:t xml:space="preserve">Зырянского РЭС</w:t>
      </w:r>
      <w:r>
        <w:rPr>
          <w:rFonts w:eastAsia="Calibri"/>
          <w:b/>
          <w:bCs/>
          <w:lang w:val="ru-RU"/>
        </w:rPr>
        <w:t xml:space="preserve"> АО «Сахаэнерго</w:t>
      </w:r>
      <w:r>
        <w:rPr>
          <w:rFonts w:eastAsia="Calibri"/>
          <w:b/>
          <w:bCs/>
          <w:lang w:val="ru-RU"/>
        </w:rPr>
        <w:t xml:space="preserve">»</w:t>
      </w:r>
      <w:r>
        <w:rPr>
          <w:rFonts w:eastAsia="Calibri"/>
          <w:b/>
          <w:bCs/>
          <w:lang w:val="ru-RU"/>
        </w:rPr>
      </w:r>
      <w:r/>
    </w:p>
    <w:p>
      <w:pPr>
        <w:pStyle w:val="898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</w:r>
      <w:r/>
    </w:p>
    <w:p>
      <w:pPr>
        <w:pStyle w:val="947"/>
        <w:pBdr/>
        <w:spacing w:after="0" w:before="0"/>
        <w:ind w:firstLine="708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</w:r>
      <w:r>
        <w:rPr>
          <w:rFonts w:eastAsia="Calibri"/>
          <w:b/>
          <w:sz w:val="24"/>
          <w:szCs w:val="24"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898"/>
        <w:keepNext w:val="true"/>
        <w:keepLines w:val="true"/>
        <w:pBdr/>
        <w:spacing w:line="360" w:lineRule="auto"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Содержание</w:t>
      </w:r>
      <w:r>
        <w:rPr>
          <w:b/>
          <w:lang w:val="ru-RU"/>
        </w:rPr>
      </w:r>
    </w:p>
    <w:p>
      <w:pPr>
        <w:pStyle w:val="1_6146"/>
        <w:keepLines w:val="true"/>
        <w:widowControl w:val="true"/>
        <w:pBdr/>
        <w:spacing w:after="0" w:before="0"/>
        <w:ind w:right="0" w:firstLine="0" w:left="113"/>
        <w:jc w:val="both"/>
        <w:rPr/>
      </w:pPr>
      <w:r>
        <w:rPr>
          <w:sz w:val="24"/>
          <w:szCs w:val="24"/>
        </w:rPr>
        <w:t xml:space="preserve">1. Общие сведения ………………………………………………………………….……....……. </w:t>
      </w:r>
      <w:r>
        <w:rPr>
          <w:sz w:val="24"/>
          <w:szCs w:val="24"/>
        </w:rPr>
        <w:t xml:space="preserve">3</w:t>
      </w:r>
      <w:r/>
      <w:r/>
    </w:p>
    <w:p>
      <w:pPr>
        <w:pStyle w:val="1_6146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1.1. Обозначения и сокращения …………………………………………………………….....…. </w:t>
      </w:r>
      <w:r>
        <w:rPr>
          <w:sz w:val="24"/>
          <w:szCs w:val="24"/>
        </w:rPr>
        <w:t xml:space="preserve">3</w:t>
      </w:r>
      <w:r/>
      <w:r/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1.2. Наименование закупаемой продукции ……………………………………………….…..…. </w:t>
      </w:r>
      <w:r>
        <w:rPr>
          <w:sz w:val="24"/>
          <w:szCs w:val="24"/>
        </w:rPr>
        <w:t xml:space="preserve">4</w:t>
      </w:r>
      <w:r/>
      <w:r/>
    </w:p>
    <w:p>
      <w:pPr>
        <w:pStyle w:val="1_6146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1.3. Цель оказания услуг …………………………………………………………………….…..... </w:t>
      </w:r>
      <w:r>
        <w:rPr>
          <w:sz w:val="24"/>
          <w:szCs w:val="24"/>
        </w:rPr>
        <w:t xml:space="preserve">4</w:t>
      </w:r>
      <w:r/>
      <w:r/>
    </w:p>
    <w:p>
      <w:pPr>
        <w:pStyle w:val="1_6146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1. Перечень объектов заказчика ………………………………………………….…….. </w:t>
      </w:r>
      <w:r>
        <w:rPr>
          <w:sz w:val="24"/>
          <w:szCs w:val="24"/>
        </w:rPr>
        <w:t xml:space="preserve">5</w:t>
      </w:r>
      <w:r/>
      <w:r/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услуги и документов, предоставляемых заказчиком на этапе исполнения договора) ………………………………………….…....….…… </w:t>
      </w:r>
      <w:r>
        <w:rPr>
          <w:sz w:val="24"/>
          <w:szCs w:val="24"/>
        </w:rPr>
        <w:t xml:space="preserve">6</w:t>
      </w:r>
      <w:r/>
      <w:r/>
    </w:p>
    <w:p>
      <w:pPr>
        <w:pStyle w:val="1_6146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 Требования к продукции ………………………………………………………………….….… </w:t>
      </w:r>
      <w:r>
        <w:rPr>
          <w:sz w:val="24"/>
          <w:szCs w:val="24"/>
        </w:rPr>
        <w:t xml:space="preserve">7</w:t>
      </w:r>
      <w:r/>
      <w:r/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 Требования к объемам и срокам оказания услуг …………………………………….….….. </w:t>
      </w:r>
      <w:r>
        <w:rPr>
          <w:sz w:val="24"/>
          <w:szCs w:val="24"/>
        </w:rPr>
        <w:t xml:space="preserve">7</w:t>
      </w:r>
      <w:r/>
      <w:r/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2.1.1. Требования к перечню и объему услуг …………………………………………...….…… </w:t>
      </w:r>
      <w:r>
        <w:rPr>
          <w:sz w:val="24"/>
          <w:szCs w:val="24"/>
        </w:rPr>
        <w:t xml:space="preserve">7</w:t>
      </w:r>
      <w:r/>
      <w:r/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2.2. Требования к срокам оказания услуг …………………………………………………..……. </w:t>
      </w:r>
      <w:r>
        <w:rPr>
          <w:sz w:val="24"/>
          <w:szCs w:val="24"/>
        </w:rPr>
        <w:t xml:space="preserve">7</w:t>
      </w:r>
      <w:r/>
      <w:r/>
    </w:p>
    <w:p>
      <w:pPr>
        <w:pStyle w:val="1_6146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2. Требования к срокам оказания услуг ………………………………………….…..… </w:t>
      </w:r>
      <w:r>
        <w:rPr>
          <w:sz w:val="24"/>
          <w:szCs w:val="24"/>
        </w:rPr>
        <w:t xml:space="preserve">7</w:t>
      </w:r>
      <w:r/>
      <w:r/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2.3. Требования к качеству услуг ……………………………………….…………….....….….… </w:t>
      </w:r>
      <w:r>
        <w:rPr>
          <w:sz w:val="24"/>
          <w:szCs w:val="24"/>
        </w:rPr>
        <w:t xml:space="preserve">8</w:t>
      </w:r>
      <w:r/>
      <w:r/>
    </w:p>
    <w:p>
      <w:pPr>
        <w:pStyle w:val="1_6146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3. Требования к качеству услуг …………………………………..……….….....….…... </w:t>
      </w:r>
      <w:r>
        <w:rPr>
          <w:sz w:val="24"/>
          <w:szCs w:val="24"/>
        </w:rPr>
        <w:t xml:space="preserve">8</w:t>
      </w:r>
      <w:r/>
      <w:r/>
    </w:p>
    <w:p>
      <w:pPr>
        <w:pStyle w:val="1_6146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Приложение № 1 …………………………………………………………………………………. </w:t>
      </w:r>
      <w:r>
        <w:rPr>
          <w:sz w:val="24"/>
          <w:szCs w:val="24"/>
        </w:rPr>
        <w:t xml:space="preserve">15</w:t>
      </w:r>
      <w:r/>
      <w:r/>
    </w:p>
    <w:p>
      <w:pPr>
        <w:pStyle w:val="898"/>
        <w:keepNext w:val="true"/>
        <w:keepLines w:val="true"/>
        <w:pBdr/>
        <w:spacing/>
        <w:ind/>
        <w:jc w:val="both"/>
        <w:rPr/>
      </w:pPr>
      <w:r>
        <w:br w:type="page" w:clear="all"/>
      </w:r>
      <w:r/>
    </w:p>
    <w:p>
      <w:pPr>
        <w:pStyle w:val="950"/>
        <w:keepNext w:val="true"/>
        <w:keepLines w:val="true"/>
        <w:pBdr/>
        <w:tabs>
          <w:tab w:val="left" w:leader="none" w:pos="284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 Общие сведения</w:t>
      </w:r>
      <w:bookmarkStart w:id="17" w:name="_Toc54643695"/>
      <w:r/>
      <w:bookmarkStart w:id="18" w:name="_Toc46743505"/>
      <w:r/>
      <w:bookmarkStart w:id="19" w:name="_Toc142564679"/>
      <w:r/>
      <w:r>
        <w:rPr>
          <w:b/>
        </w:rPr>
      </w:r>
    </w:p>
    <w:p>
      <w:pPr>
        <w:pStyle w:val="950"/>
        <w:keepNext w:val="true"/>
        <w:keepLines w:val="true"/>
        <w:pBdr/>
        <w:tabs>
          <w:tab w:val="left" w:leader="none" w:pos="426"/>
          <w:tab w:val="left" w:leader="none" w:pos="567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1.1. Обозначения и сокращения</w:t>
      </w:r>
      <w:bookmarkEnd w:id="17"/>
      <w:r/>
      <w:bookmarkEnd w:id="18"/>
      <w:r/>
      <w:bookmarkEnd w:id="19"/>
      <w:r/>
      <w:r>
        <w:rPr>
          <w:b/>
        </w:rPr>
      </w:r>
    </w:p>
    <w:tbl>
      <w:tblPr>
        <w:tblW w:w="9462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44"/>
        <w:gridCol w:w="7217"/>
      </w:tblGrid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ГСМ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  <w:t xml:space="preserve">Горюче-смазочные материалы</w:t>
            </w: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  <w:t xml:space="preserve">Электрические сети</w:t>
            </w: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  <w:t xml:space="preserve">Район электрических сетей</w:t>
            </w: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26"/>
                <w:b w:val="0"/>
                <w:bCs/>
                <w:i w:val="0"/>
                <w:iCs/>
              </w:rPr>
            </w:pP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  <w:t xml:space="preserve">Дизельная электростанция</w:t>
            </w:r>
            <w:r>
              <w:rPr>
                <w:rStyle w:val="926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РВС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  <w:t xml:space="preserve">Резервуар вертикальный стальной</w:t>
            </w: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РГС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26"/>
                <w:bCs/>
                <w:i w:val="0"/>
                <w:iCs/>
                <w:shd w:val="clear" w:color="auto" w:fill="auto"/>
              </w:rPr>
            </w:pPr>
            <w:r>
              <w:t xml:space="preserve">Резервуар горизонтальный стальной</w:t>
            </w:r>
            <w:r>
              <w:rPr>
                <w:rStyle w:val="926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ТТ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26"/>
                <w:b w:val="0"/>
                <w:bCs/>
                <w:i w:val="0"/>
                <w:iCs/>
              </w:rPr>
            </w:pPr>
            <w:r>
              <w:rPr>
                <w:rStyle w:val="926"/>
                <w:b w:val="0"/>
                <w:bCs/>
                <w:i w:val="0"/>
                <w:iCs/>
                <w:shd w:val="clear" w:color="auto" w:fill="auto"/>
              </w:rPr>
              <w:t xml:space="preserve">Технические требования</w:t>
            </w:r>
            <w:r>
              <w:rPr>
                <w:rStyle w:val="926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Государственный стандарт</w:t>
            </w:r>
            <w:r/>
          </w:p>
        </w:tc>
      </w:tr>
    </w:tbl>
    <w:p>
      <w:pPr>
        <w:pStyle w:val="898"/>
        <w:keepNext w:val="true"/>
        <w:keepLines w:val="true"/>
        <w:pBdr/>
        <w:spacing w:line="360" w:lineRule="auto"/>
        <w:ind/>
        <w:rPr/>
      </w:pPr>
      <w:r/>
      <w:r>
        <w:br w:type="page" w:clear="all"/>
      </w:r>
      <w:r/>
    </w:p>
    <w:p>
      <w:pPr>
        <w:pStyle w:val="898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</w:rPr>
      </w:pPr>
      <w:r>
        <w:rPr>
          <w:rStyle w:val="926"/>
          <w:bCs/>
          <w:i w:val="0"/>
          <w:color w:val="000000"/>
          <w:shd w:val="clear" w:color="auto" w:fill="auto"/>
        </w:rPr>
        <w:t xml:space="preserve">1.2. Наименование закупаемой продукции</w:t>
      </w:r>
      <w:r>
        <w:rPr>
          <w:bCs/>
        </w:rPr>
      </w:r>
    </w:p>
    <w:p>
      <w:pPr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Градуировка резервуара склада ГСМ ДЭС (ОПО) п. Зырянка Зырянского </w:t>
      </w:r>
      <w:r>
        <w:rPr>
          <w:lang w:val="ru-RU"/>
        </w:rPr>
        <w:t xml:space="preserve">РЭ</w:t>
      </w:r>
      <w:r>
        <w:rPr>
          <w:sz w:val="24"/>
          <w:szCs w:val="24"/>
          <w:lang w:val="ru-RU"/>
        </w:rPr>
        <w:t xml:space="preserve">С</w:t>
      </w:r>
      <w:r>
        <w:rPr>
          <w:sz w:val="24"/>
          <w:szCs w:val="24"/>
          <w:lang w:val="ru-RU"/>
        </w:rPr>
        <w:t xml:space="preserve"> АО «Сахаэнерго»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898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/>
      </w:pPr>
      <w:r>
        <w:rPr>
          <w:rStyle w:val="926"/>
          <w:b w:val="0"/>
          <w:bCs w:val="0"/>
          <w:i w:val="0"/>
          <w:iCs w:val="0"/>
          <w:sz w:val="24"/>
          <w:szCs w:val="24"/>
          <w:shd w:val="clear" w:color="auto" w:fill="auto"/>
          <w:lang w:val="ru-RU"/>
        </w:rPr>
      </w:r>
      <w:r/>
    </w:p>
    <w:p>
      <w:pPr>
        <w:pStyle w:val="898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898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rStyle w:val="926"/>
          <w:bCs/>
          <w:i w:val="0"/>
          <w:color w:val="000000"/>
          <w:shd w:val="clear" w:color="auto" w:fill="auto"/>
          <w:lang w:val="ru-RU"/>
        </w:rPr>
        <w:t xml:space="preserve">1.3. Цель оказания услуг</w:t>
      </w:r>
      <w:r>
        <w:rPr>
          <w:bCs/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/>
      <w:bookmarkStart w:id="20" w:name="_Toc54643698"/>
      <w:r/>
      <w:bookmarkStart w:id="21" w:name="_Toc46743508"/>
      <w:r/>
      <w:bookmarkEnd w:id="20"/>
      <w:r/>
      <w:bookmarkEnd w:id="21"/>
      <w:r>
        <w:rPr>
          <w:lang w:val="ru-RU"/>
        </w:rPr>
        <w:t xml:space="preserve">Определение вместимости (градуировка) резервуаров указанных в таблице 1 для контроля точного количества получаемого и расходуемого ГСМ. Предоставление градуировочных таблиц, свидетельств о поверке резервуаров или сертификатов о калибровке резервуаров.</w:t>
      </w:r>
      <w:r>
        <w:rPr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br w:type="page" w:clear="all"/>
      </w:r>
      <w:r>
        <w:rPr>
          <w:lang w:val="ru-RU"/>
        </w:rPr>
      </w:r>
    </w:p>
    <w:p>
      <w:pPr>
        <w:pStyle w:val="898"/>
        <w:pBdr/>
        <w:spacing/>
        <w:ind/>
        <w:rPr>
          <w:b/>
          <w:bCs/>
        </w:rPr>
      </w:pPr>
      <w:r>
        <w:rPr>
          <w:b/>
          <w:bCs/>
        </w:rPr>
        <w:t xml:space="preserve">Таблица 1. Перечень объектов заказчика</w:t>
      </w:r>
      <w:r>
        <w:rPr>
          <w:b/>
          <w:bCs/>
        </w:rPr>
      </w:r>
    </w:p>
    <w:p>
      <w:pPr>
        <w:pStyle w:val="898"/>
        <w:pBdr/>
        <w:spacing/>
        <w:ind/>
        <w:rPr/>
      </w:pPr>
      <w:r/>
      <w:r/>
      <w:r/>
      <w:bookmarkStart w:id="24" w:name="_Toc546436981"/>
      <w:r/>
      <w:bookmarkStart w:id="25" w:name="_Toc467435081"/>
      <w:r/>
      <w:bookmarkEnd w:id="24"/>
      <w:r/>
      <w:bookmarkEnd w:id="25"/>
      <w:r/>
      <w:r/>
    </w:p>
    <w:p>
      <w:pPr>
        <w:pStyle w:val="898"/>
        <w:pBdr/>
        <w:spacing/>
        <w:ind/>
        <w:rPr/>
      </w:pPr>
      <w:r/>
      <w:r/>
    </w:p>
    <w:tbl>
      <w:tblPr>
        <w:tblW w:w="10244" w:type="dxa"/>
        <w:tblInd w:w="-388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1"/>
        <w:gridCol w:w="2824"/>
        <w:gridCol w:w="2201"/>
        <w:gridCol w:w="2280"/>
        <w:gridCol w:w="2148"/>
      </w:tblGrid>
      <w:tr>
        <w:trPr>
          <w:trHeight w:val="1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Зырянский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ДЭС (ОПО) п. Зырянка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t xml:space="preserve">000014314</w:t>
            </w:r>
            <w:r/>
          </w:p>
        </w:tc>
      </w:tr>
    </w:tbl>
    <w:p>
      <w:pPr>
        <w:pStyle w:val="898"/>
        <w:pBdr/>
        <w:spacing/>
        <w:ind/>
        <w:rPr/>
      </w:pPr>
      <w:r/>
      <w:r/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договора):</w:t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обязан выполнить услуги строго в соответствии с планом-графиком проведения градуировки в разрезе филиалов АО «Сахаэнерго», указанный в Приложении № 1 к техническому требованию;</w:t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провести градуировку с выездом на объект;</w:t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состави</w:t>
      </w:r>
      <w:r>
        <w:rPr>
          <w:lang w:val="ru-RU"/>
        </w:rPr>
        <w:t xml:space="preserve">ть и предоставить Акты готовности резервуара к градуировке, подписанные экспертами, участвовавшими в проведении услуг, и представителями заказчика, находящихся непосредственно на объекте (мастера, начальники ДЭС). Акт выдается на каждый склад ГСМ отдельно;</w:t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Результатом оказания услуг является выдача градуировочных таблиц на каждый резервуар отдельно, выдача свидетельств о поверке резервуаров или сертификатов о калибровке резервуаров.</w:t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2.Требования к продукции</w:t>
      </w:r>
      <w:r>
        <w:rPr>
          <w:lang w:val="ru-RU"/>
        </w:rPr>
      </w:r>
    </w:p>
    <w:p>
      <w:pPr>
        <w:pStyle w:val="898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 Требования к объемам и срокам оказания услуг</w:t>
      </w:r>
      <w:r>
        <w:rPr>
          <w:b/>
          <w:bCs/>
          <w:lang w:val="ru-RU"/>
        </w:rPr>
      </w:r>
    </w:p>
    <w:p>
      <w:pPr>
        <w:pStyle w:val="898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2.1.1. Требования к перечню и объему услуг</w:t>
      </w:r>
      <w:bookmarkStart w:id="26" w:name="_Toc546437011"/>
      <w:r/>
      <w:bookmarkEnd w:id="26"/>
      <w:r/>
      <w:r>
        <w:rPr>
          <w:b/>
          <w:bCs/>
          <w:lang w:val="ru-RU"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</w:t>
      </w:r>
      <w:bookmarkStart w:id="27" w:name="_Toc54643706"/>
      <w:r/>
      <w:bookmarkStart w:id="28" w:name="_Toc51339696"/>
      <w:r/>
      <w:bookmarkStart w:id="29" w:name="_Toc142564688"/>
      <w:r>
        <w:rPr>
          <w:lang w:val="ru-RU"/>
        </w:rPr>
        <w:t xml:space="preserve"> Определение вместимости, градуировка резервуаров геометрическим методом и составление градуировочной таблицы;</w:t>
      </w:r>
      <w:r>
        <w:rPr>
          <w:lang w:val="ru-RU"/>
        </w:rPr>
      </w:r>
    </w:p>
    <w:p>
      <w:pPr>
        <w:pStyle w:val="898"/>
        <w:pBdr/>
        <w:shd w:val="clear" w:color="auto" w:fill="ffffff"/>
        <w:tabs>
          <w:tab w:val="left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Проведение градуировки с выездом на объект;</w:t>
      </w:r>
      <w:r>
        <w:rPr>
          <w:lang w:val="ru-RU"/>
        </w:rPr>
      </w:r>
    </w:p>
    <w:p>
      <w:pPr>
        <w:pStyle w:val="898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Проект градуировочной таблицы предоставляется Исполнителем в электронном виде и подлеж</w:t>
      </w:r>
      <w:r>
        <w:rPr>
          <w:lang w:val="ru-RU"/>
        </w:rPr>
        <w:t xml:space="preserve">ит рассмотрению Заказчиком в течение 14 дней. В случае не урегулирования разногласий по представленному проекту градуировочной таблицы Заказчик и Исполнитель организуют проведение технического совещания с привлечением независимых компетентных специалистов;</w:t>
      </w:r>
      <w:r>
        <w:rPr>
          <w:lang w:val="ru-RU"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lang w:val="ru-RU"/>
        </w:rPr>
        <w:t xml:space="preserve">- Градуировочные таблицы должны быть оформлены в соответствии с требованиями ГОСТ 8.346-2000 и 8.570-2000;</w:t>
      </w:r>
      <w:r>
        <w:rPr>
          <w:color w:val="ff0000"/>
          <w:lang w:val="ru-RU"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bCs/>
          <w:lang w:val="ru-RU"/>
        </w:rPr>
        <w:t xml:space="preserve">- Градуировочные т</w:t>
      </w:r>
      <w:r>
        <w:rPr>
          <w:lang w:val="ru-RU"/>
        </w:rPr>
        <w:t xml:space="preserve">аблицы подписываются и заверяются печатью руководителя Исполнителя, прошиваются с указанием количества сшитых страниц;</w:t>
      </w:r>
      <w:r>
        <w:rPr>
          <w:color w:val="ff0000"/>
          <w:lang w:val="ru-RU"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К градуировочным таблицам Исполнитель прилагает: свидетельства о поверке резервуаров или сертификаты о калибровке резервуаров;</w:t>
      </w:r>
      <w:r>
        <w:rPr>
          <w:lang w:val="ru-RU"/>
        </w:rPr>
      </w:r>
    </w:p>
    <w:p>
      <w:pPr>
        <w:pStyle w:val="898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Документацию представить:</w:t>
      </w:r>
      <w:r>
        <w:rPr>
          <w:lang w:val="ru-RU"/>
        </w:rPr>
      </w:r>
    </w:p>
    <w:p>
      <w:pPr>
        <w:pStyle w:val="950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в 2 экземплярах на бумажном носителе и 1 экземпляр в электронном виде в формате pdf на электронном носителе;</w:t>
      </w:r>
      <w:r/>
    </w:p>
    <w:p>
      <w:pPr>
        <w:pStyle w:val="950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структура и содержание электронной версии документации должны соответствовать бумажному оригиналу.</w:t>
      </w:r>
      <w:r/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Электронные версии документов, имеющих подписи и согласования, предоставляются файлами, получаемыми путем сканирования бумажного оригинала в формате </w:t>
      </w:r>
      <w:r>
        <w:t xml:space="preserve">Acrobat</w:t>
      </w:r>
      <w:r>
        <w:rPr>
          <w:lang w:val="ru-RU"/>
        </w:rPr>
        <w:t xml:space="preserve"> </w:t>
      </w:r>
      <w:r>
        <w:t xml:space="preserve">Reader</w:t>
      </w:r>
      <w:r>
        <w:rPr>
          <w:lang w:val="ru-RU"/>
        </w:rPr>
        <w:t xml:space="preserve"> (</w:t>
      </w:r>
      <w:r>
        <w:t xml:space="preserve">PDF</w:t>
      </w:r>
      <w:r>
        <w:rPr>
          <w:lang w:val="ru-RU"/>
        </w:rPr>
        <w:t xml:space="preserve">). </w:t>
      </w:r>
      <w:r>
        <w:rPr>
          <w:lang w:val="ru-RU"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2.2. Требования к срокам оказания услуг</w:t>
      </w:r>
      <w:r>
        <w:rPr>
          <w:b/>
          <w:bCs/>
          <w:lang w:val="ru-RU"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</w:rPr>
      </w:pPr>
      <w:r>
        <w:rPr>
          <w:b/>
          <w:bCs/>
          <w:lang w:val="ru-RU"/>
        </w:rPr>
        <w:t xml:space="preserve">Таблица 2. </w:t>
      </w:r>
      <w:r>
        <w:rPr>
          <w:b/>
          <w:bCs/>
        </w:rPr>
        <w:t xml:space="preserve">Требования к срокам оказания услуг</w:t>
      </w:r>
      <w:bookmarkEnd w:id="27"/>
      <w:r/>
      <w:bookmarkEnd w:id="28"/>
      <w:r/>
      <w:bookmarkEnd w:id="29"/>
      <w:r/>
      <w:r>
        <w:rPr>
          <w:b/>
          <w:bCs/>
        </w:rPr>
      </w:r>
    </w:p>
    <w:p>
      <w:pPr>
        <w:pStyle w:val="89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/>
      </w:pPr>
      <w:r/>
      <w:r/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2546"/>
        <w:gridCol w:w="2983"/>
        <w:gridCol w:w="3112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 w:right="63" w:firstLine="0"/>
              <w:jc w:val="center"/>
              <w:rPr/>
            </w:pPr>
            <w:r>
              <w:t xml:space="preserve">№ </w:t>
            </w: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Наименование услуг /  этапа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началу срока оказания услуг /  этапа услуг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окончанию срока оказания услуг / этапа услуг</w:t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 w:right="63" w:firstLine="0"/>
              <w:jc w:val="center"/>
              <w:rPr/>
            </w:pPr>
            <w:r>
              <w:rPr>
                <w:b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969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969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 w:right="63" w:firstLine="0" w:left="0"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rPr>
                <w:lang w:val="ru-RU"/>
              </w:rPr>
              <w:t xml:space="preserve">Градуировка резервуара склада ГСМ ДЭС (ОПО) п. Зырянка Зырянского </w:t>
            </w:r>
            <w:r>
              <w:rPr>
                <w:lang w:val="ru-RU"/>
              </w:rPr>
              <w:t xml:space="preserve">АО «Сахаэнерго»</w:t>
            </w:r>
            <w:r/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С даты заключения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Не позднее</w:t>
            </w:r>
            <w:r/>
          </w:p>
          <w:p>
            <w:pPr>
              <w:pStyle w:val="950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20.08.2026</w:t>
            </w:r>
            <w:r/>
          </w:p>
        </w:tc>
      </w:tr>
    </w:tbl>
    <w:p>
      <w:pPr>
        <w:pBdr/>
        <w:spacing/>
        <w:ind/>
        <w:rPr/>
        <w:sectPr>
          <w:headerReference w:type="default" r:id="rId9"/>
          <w:headerReference w:type="first" r:id="rId10"/>
          <w:footerReference w:type="default" r:id="rId12"/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cols w:num="1" w:sep="0" w:space="1701" w:equalWidth="1"/>
          <w:titlePg/>
        </w:sectPr>
      </w:pPr>
      <w:r/>
      <w:r/>
    </w:p>
    <w:p>
      <w:pPr>
        <w:pStyle w:val="898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2.3. Требования к качеству услуг</w:t>
      </w:r>
      <w:r>
        <w:rPr>
          <w:i/>
          <w:iCs/>
          <w:shd w:val="clear" w:color="auto" w:fill="ffff99"/>
          <w:lang w:val="ru-RU"/>
        </w:rPr>
      </w:r>
    </w:p>
    <w:p>
      <w:pPr>
        <w:pStyle w:val="898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Таблица 3. Требования к качеству услуг</w:t>
      </w:r>
      <w:r>
        <w:rPr>
          <w:i/>
          <w:iCs/>
          <w:shd w:val="clear" w:color="auto" w:fill="ffff99"/>
          <w:lang w:val="ru-RU"/>
        </w:rPr>
      </w:r>
    </w:p>
    <w:p>
      <w:pPr>
        <w:pStyle w:val="898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rStyle w:val="926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Наименование услуг/этапа услуг</w:t>
      </w:r>
      <w:r>
        <w:rPr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 «</w:t>
      </w:r>
      <w:r>
        <w:rPr>
          <w:rStyle w:val="926"/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Градуировка резервуара склада ГСМ ДЭС п. Зырянка Зырянского РЭС АО «Сахаэнерго»</w:t>
      </w:r>
      <w:r>
        <w:rPr>
          <w:i/>
          <w:iCs/>
          <w:shd w:val="clear" w:color="auto" w:fill="ffff99"/>
          <w:lang w:val="ru-RU"/>
        </w:rPr>
      </w:r>
    </w:p>
    <w:tbl>
      <w:tblPr>
        <w:tblW w:w="15074" w:type="dxa"/>
        <w:tblInd w:w="0" w:type="dxa"/>
        <w:tblBorders/>
        <w:tblLayout w:type="fixed"/>
        <w:tblLook w:val="04A0" w:firstRow="1" w:lastRow="0" w:firstColumn="1" w:lastColumn="0" w:noHBand="0" w:noVBand="1"/>
      </w:tblPr>
      <w:tblGrid>
        <w:gridCol w:w="958"/>
        <w:gridCol w:w="1559"/>
        <w:gridCol w:w="4961"/>
        <w:gridCol w:w="2552"/>
        <w:gridCol w:w="2776"/>
        <w:gridCol w:w="226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vMerge w:val="restart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п/п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vMerge w:val="restart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532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4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5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6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оказанию услуг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Градуировку резервуаров выполнить согласно Графика оказания услуг (приложение № 1 к ТТ).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работников осуществляется с разрешения Заказчика после прохождения работниками Исполнителя вводного инструктажа. В период выполнения работ Исполнитель должен обеспечить свой персонал спецодеждой и другими средствами индивидуальной защиты.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работ необходимо обеспечить соблюдение работниками правил трудового распорядка Заказчика, правил по охране труда, промышленной, пожарной и экологической безопасности. В случае допущения несчастного случая, инцидента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или пожара при выполнении работ Исполнитель несет за это ответственность.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Работники должны иметь соответствующую квалификацию и удостоверения.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Результат оказание услуг должен соответствовать:</w:t>
            </w:r>
            <w:r/>
            <w:r/>
          </w:p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Настоящим техническим требованиям,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 перечню и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 объемам Услуги;</w:t>
            </w:r>
            <w:r/>
            <w:r/>
          </w:p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Требованиям, предъявляемым к такому виду работ действующей нормативно-технической документацией, законодательством РФ и подзаконными актами.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1.1.3.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1.1.4.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работы в согласованные сроки.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Ст. 12 Федерального закона № 102-ФЗ от 26.06.2008 года "Об обеспечении единства измерений";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8.346-2000. Межгосударственный стандарт. Государственная система обеспечения единства измерений. Резервуары стальные горизонтальные цилиндрические. Методика поверки;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8.570-2000. Межгосударственный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стандарт. Государственная система обеспечения единства измерений. Резервуары стальные вертикальные цилиндрические. Методика поверки;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7-ФЗ от 10.01.2009 года «Об охране окружающей среды»;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123-ФЗ от 22.07.2008 года «Технический регламент о требованиях пожарной безопасности» (с дополнениями и изменениями);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ТТ).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конодательства Российской Федерации об охране труда, а также иных нормативных правовых актов, межотраслевых и отраслевых правил и типовых инструкций по охране труда, правил и инструкций по технике безопасности, утвержденных в установленном порядке, государ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ственных стандартов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правил и норм.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Охрана труда специалистов должна обеспечиваться выдачей необходимых средств индивидуальной защиты (каски, специальная одежда, обувь и др.).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Организация оказания услуг, должна обеспечивать безопасность труда работающих.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1.2.2.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8"/>
              <w:jc w:val="both"/>
              <w:rPr/>
            </w:pPr>
            <w:r>
              <w:rPr>
                <w:rFonts w:eastAsia="Lucida Sans Unicode" w:cs="Times New Roman"/>
                <w:lang w:val="ru-RU" w:eastAsia="hi-IN" w:bidi="hi-IN"/>
              </w:rPr>
              <w:t xml:space="preserve">Исполнитель должен </w:t>
            </w:r>
            <w:r>
              <w:rPr>
                <w:rFonts w:cs="Times New Roman"/>
                <w:lang w:val="ru-RU" w:eastAsia="ru-RU" w:bidi="ar-SA"/>
              </w:rPr>
              <w:t xml:space="preserve"> иметь необходимую для проведения работ нормативно-техническую базу, приборную и инструментальную.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применяемым при выполнении Услуг оборудованию, материалам, технологиям, программно-аппаратным средствам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При оказании услуг необходимо применять материалы российского и/или зарубежного производства, сертифицированных для применения на территории РФ. Все применяемые материалы должны соответствовать ГОСТ и другим нормативным документам.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Все поставляемые и/или применяемые для проведения оказания услуг материалы должны иметь соответствующие сертификаты каче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ства, технические паспорта и другие документы, удостоверяющие их качество. Копии сертификатов и т. п. должны быть предоставлены Заказчику до момента начала оказания услуг, выполняемых с использованием соответствующих материалов и оборудования. Исполнитель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несет ответственность за соответствие используемых материалов государственным стандартам, техническим условиям и иным предъявляемым требованиям.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контролю качества услуг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Услуги должны выполняться в соответствии с рабочей и нормативной документацией и должен руководствоваться документами по характеру работ.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персоналу Исполнителя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Организационно-технические мероприятия по допуску персонала исполнителя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персонала исполнителя для оказания услуг должен осущ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ествляться в соответствии с «Регламентом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ИСМ РГ-00-017.03-23 (приложение № 2 к техническому требованию).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безопасности услуг и охране труда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Организация и выполнение услуги должна проводиться в соответствии с требованиями:</w:t>
            </w:r>
            <w:r/>
            <w:r/>
          </w:p>
          <w:p>
            <w:pPr>
              <w:pStyle w:val="1_21521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РФ № 782н от 16.11.2020 года «Об утверждении Правил по охране труда при работе на высоте»;</w:t>
            </w:r>
            <w:r/>
            <w:r/>
          </w:p>
          <w:p>
            <w:pPr>
              <w:pStyle w:val="1_21521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техническому </w:t>
            </w: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требованию);</w:t>
            </w:r>
            <w:r/>
            <w:r/>
          </w:p>
          <w:p>
            <w:pPr>
              <w:pStyle w:val="950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eastAsia="Arial Unicode MS" w:cs="Times New Roman"/>
                <w:lang w:val="ru-RU" w:eastAsia="ru-RU" w:bidi="ar-SA"/>
              </w:rPr>
              <w:t xml:space="preserve">Приказ Федеральной службы по экологическому, технологическому и атомному надзору № 529 от 15.12.2020 года «Об утверждении федеральных норм и правил в области промышленной безопасности «Правила промышленной безопасности складов нефти и нефтепродуктов»;</w:t>
            </w:r>
            <w:r/>
            <w:r/>
          </w:p>
          <w:p>
            <w:pPr>
              <w:pStyle w:val="950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  <w:tab w:val="left" w:leader="none" w:pos="947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cs="Times New Roman"/>
                <w:lang w:val="ru-RU" w:eastAsia="ru-RU" w:bidi="ar-SA"/>
              </w:rPr>
              <w:t xml:space="preserve">Иными нормативными документами по соответствующему характеру работ.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21523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оказании услуг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Исполнителю необходимо: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обеспечить безопасность, собственного персонала, персонала подрядных организаций, находящегося в зоне оказания услуг;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нести ответственность за сохранность оборудования, механизмов, средств, систем, конструкций, сооружений и транспортных приспособлений Заказчика и подрядных организаций, находящихся в зоне оказания услуг.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21523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Требования к результатам услуг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ru-RU" w:eastAsia="ru-RU" w:bidi="ar-SA"/>
              </w:rPr>
              <w:t xml:space="preserve">Общие требования к результатам услуг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901"/>
              <w:widowControl w:val="false"/>
              <w:numPr>
                <w:ilvl w:val="0"/>
                <w:numId w:val="0"/>
              </w:numPr>
              <w:pBdr/>
              <w:spacing w:after="0" w:before="0"/>
              <w:ind/>
              <w:outlineLvl w:val="3"/>
              <w:rPr/>
            </w:pP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Результат оказани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я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 услуг должен соответствовать перечню и объемам выполняемых Услуг (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пункт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2.1.1.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 Требования к перечню и объему услуг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) настоящих технических требований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 w:right="57" w:firstLine="0"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 w:right="0" w:firstLine="5" w:left="0"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  <w:r/>
          </w:p>
          <w:p>
            <w:pPr>
              <w:pStyle w:val="1_6146"/>
              <w:widowControl w:val="false"/>
              <w:pBdr/>
              <w:tabs>
                <w:tab w:val="left" w:leader="none" w:pos="566"/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оказание услуг в согласованные сроки.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</w:t>
            </w: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требования к выполняемым Услугам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3.1.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21523"/>
              <w:widowControl w:val="false"/>
              <w:pBdr/>
              <w:spacing w:after="0" w:before="0"/>
              <w:ind w:right="0" w:firstLine="0" w:left="0"/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услуг необходимо выполнять требования законодательства в области охраны окружающей среды.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21523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3.2.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Экологические требования по охране окружающей среды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Согласно действующим нормам и правилам, мероприятия по охране окружающей среды (закон РФ № 45-ФЗ от 09.05.2005 года «Об охране окружающей природной среды»).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  <w:r/>
          </w:p>
          <w:p>
            <w:pPr>
              <w:pStyle w:val="1_6146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_21523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/>
            <w:bookmarkStart w:id="15" w:name="OLE_LINK1_Копия_1"/>
            <w:r/>
            <w:bookmarkEnd w:id="15"/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</w:tbl>
    <w:p>
      <w:pPr>
        <w:pStyle w:val="898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bCs/>
          <w:i/>
          <w:lang w:val="ru-RU"/>
        </w:rPr>
      </w:pPr>
      <w:r>
        <w:rPr>
          <w:rStyle w:val="926"/>
          <w:b/>
          <w:bCs/>
          <w:i w:val="0"/>
          <w:iCs w:val="0"/>
          <w:sz w:val="24"/>
          <w:szCs w:val="24"/>
          <w:highlight w:val="none"/>
          <w:shd w:val="clear" w:color="auto" w:fill="auto"/>
          <w:lang w:val="ru-RU"/>
        </w:rPr>
      </w:r>
      <w:r>
        <w:rPr>
          <w:rStyle w:val="926"/>
          <w:b/>
          <w:bCs/>
          <w:i w:val="0"/>
          <w:iCs w:val="0"/>
          <w:sz w:val="24"/>
          <w:szCs w:val="24"/>
          <w:highlight w:val="none"/>
          <w:shd w:val="clear" w:color="auto" w:fill="auto"/>
          <w:lang w:val="ru-RU"/>
        </w:rPr>
      </w:r>
    </w:p>
    <w:p>
      <w:pPr>
        <w:pStyle w:val="898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 w:after="120" w:before="0"/>
        <w:ind/>
        <w:rPr>
          <w:lang w:val="ru-RU"/>
        </w:rPr>
      </w:pPr>
      <w:r>
        <w:rPr>
          <w:lang w:val="ru-RU"/>
        </w:rPr>
        <w:t xml:space="preserve">                               </w:t>
      </w:r>
      <w:r>
        <w:rPr>
          <w:lang w:val="ru-RU"/>
        </w:rPr>
      </w:r>
    </w:p>
    <w:tbl>
      <w:tblPr>
        <w:tblW w:w="13260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013"/>
        <w:gridCol w:w="7246"/>
      </w:tblGrid>
      <w:tr>
        <w:trPr/>
        <w:tc>
          <w:tcPr>
            <w:tcBorders/>
            <w:tcW w:w="6013" w:type="dxa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  <w:tr>
        <w:trPr>
          <w:trHeight w:val="1515"/>
        </w:trPr>
        <w:tc>
          <w:tcPr>
            <w:tcBorders/>
            <w:tcW w:w="60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898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right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898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right"/>
        <w:rPr>
          <w:highlight w:val="none"/>
          <w:lang w:val="ru-RU"/>
        </w:rPr>
      </w:pPr>
      <w:r>
        <w:rPr>
          <w:lang w:val="ru-RU"/>
        </w:rPr>
        <w:t xml:space="preserve">Приложение № 1</w:t>
      </w:r>
      <w:r>
        <w:rPr>
          <w:lang w:val="ru-RU"/>
        </w:rPr>
      </w:r>
    </w:p>
    <w:p>
      <w:pPr>
        <w:pStyle w:val="898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lang w:val="ru-RU"/>
        </w:rPr>
      </w:pPr>
      <w:r>
        <w:rPr>
          <w:b/>
          <w:highlight w:val="none"/>
          <w:lang w:val="ru-RU"/>
        </w:rPr>
      </w:r>
      <w:r>
        <w:rPr>
          <w:b/>
          <w:highlight w:val="none"/>
          <w:lang w:val="ru-RU"/>
        </w:rPr>
      </w:r>
    </w:p>
    <w:p>
      <w:pPr>
        <w:pStyle w:val="898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highlight w:val="none"/>
          <w:lang w:val="ru-RU"/>
        </w:rPr>
      </w:r>
      <w:r>
        <w:rPr>
          <w:b/>
          <w:highlight w:val="none"/>
          <w:lang w:val="ru-RU"/>
        </w:rPr>
      </w:r>
    </w:p>
    <w:p>
      <w:pPr>
        <w:pStyle w:val="898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lang w:val="ru-RU"/>
        </w:rPr>
        <w:t xml:space="preserve">График проведения градуировки резервуара в 2026 году</w:t>
      </w:r>
      <w:r>
        <w:rPr>
          <w:b/>
          <w:lang w:val="ru-RU"/>
        </w:rPr>
      </w:r>
    </w:p>
    <w:p>
      <w:pPr>
        <w:pStyle w:val="898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</w:p>
    <w:tbl>
      <w:tblPr>
        <w:tblW w:w="15255" w:type="dxa"/>
        <w:tblInd w:w="60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35"/>
        <w:gridCol w:w="2017"/>
        <w:gridCol w:w="1993"/>
        <w:gridCol w:w="1831"/>
        <w:gridCol w:w="1695"/>
        <w:gridCol w:w="1844"/>
        <w:gridCol w:w="1652"/>
        <w:gridCol w:w="1765"/>
        <w:gridCol w:w="1921"/>
      </w:tblGrid>
      <w:tr>
        <w:trPr>
          <w:trHeight w:val="1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Период завоза ДТ: навигация / автозимник</w:t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Местораспо-ложение резервуаров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Месяц выезда специалиста на объект</w:t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Информация об утверждении резервуара как тип СИ</w:t>
            </w:r>
            <w:r>
              <w:rPr>
                <w:lang w:val="ru-RU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9</w:t>
            </w:r>
            <w:r/>
          </w:p>
        </w:tc>
      </w:tr>
      <w:tr>
        <w:trPr>
          <w:trHeight w:val="54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Зырянский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ДЭС (ОПО п. Зырянка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000014314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навигация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restart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Верхнеколымский район, п. Зырянка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Август</w:t>
            </w:r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jc w:val="center"/>
              <w:rPr/>
            </w:pPr>
            <w:r>
              <w:t xml:space="preserve">Утвержден</w:t>
            </w:r>
            <w:r/>
          </w:p>
        </w:tc>
      </w:tr>
    </w:tbl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898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13303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261"/>
        <w:gridCol w:w="7043"/>
      </w:tblGrid>
      <w:tr>
        <w:trPr>
          <w:trHeight w:val="255"/>
        </w:trPr>
        <w:tc>
          <w:tcPr>
            <w:tcBorders/>
            <w:tcW w:w="6261" w:type="dxa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043" w:type="dxa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  <w:tr>
        <w:trPr>
          <w:trHeight w:val="255"/>
        </w:trPr>
        <w:tc>
          <w:tcPr>
            <w:tcBorders/>
            <w:tcW w:w="6261" w:type="dxa"/>
            <w:vMerge w:val="restart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7043" w:type="dxa"/>
            <w:vMerge w:val="restart"/>
            <w:textDirection w:val="lrTb"/>
            <w:noWrap w:val="false"/>
          </w:tcPr>
          <w:p>
            <w:pPr>
              <w:pStyle w:val="898"/>
              <w:widowControl w:val="false"/>
              <w:pBdr/>
              <w:spacing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11"/>
      <w:footerReference w:type="default" r:id="rId13"/>
      <w:footnotePr>
        <w:numFmt w:val="decimal"/>
      </w:footnotePr>
      <w:endnotePr/>
      <w:type w:val="continuous"/>
      <w:pgSz w:h="11906" w:orient="landscape" w:w="16838"/>
      <w:pgMar w:top="1418" w:right="1134" w:bottom="851" w:left="1134" w:header="567" w:footer="284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erif">
    <w:panose1 w:val="02020603050405020304"/>
  </w:font>
  <w:font w:name="Calibri">
    <w:panose1 w:val="020F0502020204030204"/>
  </w:font>
  <w:font w:name="Consolas">
    <w:panose1 w:val="020B06090202040302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 xml:space="preserve">24</w:t>
    </w:r>
    <w:r>
      <w:rPr>
        <w:sz w:val="22"/>
        <w:szCs w:val="22"/>
      </w:rPr>
      <w:fldChar w:fldCharType="end"/>
    </w:r>
    <w:r>
      <w:rPr>
        <w:sz w:val="22"/>
        <w:szCs w:val="2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49</w:t>
    </w:r>
    <w:r>
      <w:fldChar w:fldCharType="end"/>
    </w:r>
    <w:r/>
  </w:p>
  <w:p>
    <w:pPr>
      <w:pStyle w:val="95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pStyle w:val="899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pStyle w:val="900"/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pStyle w:val="939"/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249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287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727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447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887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607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047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Статья %1."/>
      <w:numFmt w:val="decimal"/>
      <w:pPr>
        <w:pBdr/>
        <w:tabs>
          <w:tab w:val="num" w:leader="none" w:pos="720"/>
        </w:tabs>
        <w:spacing/>
        <w:ind w:hanging="360" w:left="720"/>
      </w:pPr>
      <w:pStyle w:val="964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725"/>
        </w:tabs>
        <w:spacing/>
        <w:ind w:hanging="1185" w:left="1725"/>
      </w:pPr>
      <w:pStyle w:val="965"/>
      <w:rPr>
        <w:b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085"/>
        </w:tabs>
        <w:spacing/>
        <w:ind w:hanging="1185" w:left="2085"/>
      </w:pPr>
      <w:pStyle w:val="966"/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625"/>
        </w:tabs>
        <w:spacing/>
        <w:ind w:hanging="1185" w:left="262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985"/>
        </w:tabs>
        <w:spacing/>
        <w:ind w:hanging="1185" w:left="2985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345"/>
        </w:tabs>
        <w:spacing/>
        <w:ind w:hanging="1185" w:left="334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800" w:left="5040"/>
      </w:pPr>
      <w:rPr/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2204"/>
      </w:pPr>
      <w:rPr>
        <w:b/>
      </w:rPr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432" w:left="1283"/>
      </w:pPr>
      <w:rPr>
        <w:rFonts w:hint="default" w:ascii="Symbol" w:hAnsi="Symbol" w:cs="Symbol"/>
        <w:b w:val="0"/>
        <w:u w:val="non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355"/>
      </w:pPr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291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720" w:left="143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7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3273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448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53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654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739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8608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9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856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>
        <w:b/>
        <w:bCs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68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3000"/>
      </w:pPr>
      <w:rPr/>
      <w:start w:val="4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41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56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67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82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94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092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5">
    <w:lvl w:ilvl="0">
      <w:isLgl w:val="false"/>
      <w:lvlJc w:val="left"/>
      <w:lvlText w:val="%1"/>
      <w:numFmt w:val="bullet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 w:val="%2"/>
      <w:numFmt w:val="bullet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 w:val="%3"/>
      <w:numFmt w:val="bullet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 w:val="%4"/>
      <w:numFmt w:val="bullet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 w:val="%5"/>
      <w:numFmt w:val="bullet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 w:val="%6"/>
      <w:numFmt w:val="bullet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 w:val="%7"/>
      <w:numFmt w:val="bullet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 w:val="%8"/>
      <w:numFmt w:val="bullet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 w:val="%9"/>
      <w:numFmt w:val="bullet"/>
      <w:pPr>
        <w:pBdr/>
        <w:spacing/>
        <w:ind w:firstLine="0" w:left="0"/>
      </w:pPr>
      <w:rPr/>
      <w:start w:val="1"/>
      <w:suff w:val="nothing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/>
      <w:start w:val="1"/>
      <w:suff w:val="tab"/>
    </w:lvl>
    <w:lvl w:ilvl="5">
      <w:isLgl w:val="false"/>
      <w:lvlJc w:val="left"/>
      <w:lvlText w:val=""/>
      <w:numFmt w:val="bullet"/>
      <w:pPr>
        <w:pBdr/>
        <w:spacing/>
        <w:ind w:hanging="567" w:left="2836"/>
      </w:pPr>
      <w:rPr>
        <w:rFonts w:ascii="Symbol" w:hAnsi="Symbol" w:eastAsia="Symbol" w:cs="Symbol"/>
      </w:rPr>
      <w:start w:val="0"/>
      <w:suff w:val="tab"/>
    </w:lvl>
    <w:lvl w:ilvl="6">
      <w:isLgl w:val="false"/>
      <w:lvlJc w:val="left"/>
      <w:lvlText w:val="%5.%6.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97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9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9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9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9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9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9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9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9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9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9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9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9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4"/>
    <w:basedOn w:val="898"/>
    <w:next w:val="898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898"/>
    <w:next w:val="89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898"/>
    <w:next w:val="898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898"/>
    <w:next w:val="89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898"/>
    <w:next w:val="898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898"/>
    <w:next w:val="898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902"/>
    <w:link w:val="8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902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902"/>
    <w:link w:val="9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90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90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90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90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90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90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898"/>
    <w:next w:val="898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90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898"/>
    <w:next w:val="898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90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898"/>
    <w:next w:val="898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90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898"/>
    <w:next w:val="898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90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898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902"/>
    <w:link w:val="958"/>
    <w:uiPriority w:val="99"/>
    <w:pPr>
      <w:pBdr/>
      <w:spacing/>
      <w:ind/>
    </w:pPr>
  </w:style>
  <w:style w:type="character" w:styleId="178">
    <w:name w:val="Footer Char"/>
    <w:basedOn w:val="902"/>
    <w:link w:val="959"/>
    <w:uiPriority w:val="99"/>
    <w:pPr>
      <w:pBdr/>
      <w:spacing/>
      <w:ind/>
    </w:pPr>
  </w:style>
  <w:style w:type="character" w:styleId="181">
    <w:name w:val="Footnote Text Char"/>
    <w:basedOn w:val="902"/>
    <w:link w:val="944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898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902"/>
    <w:link w:val="183"/>
    <w:uiPriority w:val="99"/>
    <w:semiHidden/>
    <w:pPr>
      <w:pBdr/>
      <w:spacing/>
      <w:ind/>
    </w:pPr>
    <w:rPr>
      <w:sz w:val="20"/>
      <w:szCs w:val="20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898"/>
    <w:next w:val="898"/>
    <w:uiPriority w:val="99"/>
    <w:unhideWhenUsed/>
    <w:pPr>
      <w:pBdr/>
      <w:spacing w:after="0" w:afterAutospacing="0"/>
      <w:ind/>
    </w:pPr>
  </w:style>
  <w:style w:type="paragraph" w:styleId="898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899">
    <w:name w:val="Heading 1"/>
    <w:basedOn w:val="898"/>
    <w:next w:val="898"/>
    <w:qFormat/>
    <w:pPr>
      <w:keepNext w:val="true"/>
      <w:keepLines w:val="true"/>
      <w:pageBreakBefore w:val="true"/>
      <w:numPr>
        <w:ilvl w:val="0"/>
        <w:numId w:val="2"/>
      </w:numPr>
      <w:pBdr/>
      <w:spacing w:after="240" w:before="480"/>
      <w:ind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900">
    <w:name w:val="Heading 2"/>
    <w:basedOn w:val="898"/>
    <w:next w:val="898"/>
    <w:qFormat/>
    <w:pPr>
      <w:keepNext w:val="true"/>
      <w:numPr>
        <w:ilvl w:val="1"/>
        <w:numId w:val="2"/>
      </w:numPr>
      <w:pBdr/>
      <w:spacing w:after="120" w:before="360"/>
      <w:ind/>
      <w:outlineLvl w:val="1"/>
    </w:pPr>
    <w:rPr>
      <w:b/>
      <w:bCs/>
      <w:smallCaps/>
      <w:sz w:val="32"/>
      <w:szCs w:val="28"/>
      <w:lang w:val="ru-RU"/>
    </w:rPr>
  </w:style>
  <w:style w:type="paragraph" w:styleId="901">
    <w:name w:val="Heading 3"/>
    <w:basedOn w:val="898"/>
    <w:next w:val="898"/>
    <w:link w:val="906"/>
    <w:qFormat/>
    <w:pPr>
      <w:keepNext w:val="true"/>
      <w:keepLines w:val="true"/>
      <w:pBdr/>
      <w:spacing w:after="0" w:before="200"/>
      <w:ind/>
      <w:outlineLvl w:val="2"/>
    </w:pPr>
    <w:rPr>
      <w:rFonts w:ascii="Cambria" w:hAnsi="Cambria"/>
      <w:b/>
      <w:bCs/>
      <w:color w:val="4f81bd"/>
    </w:rPr>
  </w:style>
  <w:style w:type="character" w:styleId="90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03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04">
    <w:name w:val="footnote reference"/>
    <w:pPr>
      <w:pBdr/>
      <w:spacing/>
      <w:ind/>
    </w:pPr>
    <w:rPr>
      <w:vertAlign w:val="superscript"/>
    </w:rPr>
  </w:style>
  <w:style w:type="character" w:styleId="905" w:customStyle="1">
    <w:name w:val="Основной текст 3 Знак"/>
    <w:link w:val="947"/>
    <w:qFormat/>
    <w:pPr>
      <w:pBdr/>
      <w:spacing/>
      <w:ind/>
    </w:pPr>
    <w:rPr>
      <w:sz w:val="16"/>
      <w:szCs w:val="16"/>
      <w:lang w:val="en-GB"/>
    </w:rPr>
  </w:style>
  <w:style w:type="character" w:styleId="906" w:customStyle="1">
    <w:name w:val="Заголовок 3 Знак"/>
    <w:qFormat/>
    <w:pPr>
      <w:pBdr/>
      <w:spacing/>
      <w:ind/>
    </w:pPr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907">
    <w:name w:val="annotation reference"/>
    <w:qFormat/>
    <w:pPr>
      <w:pBdr/>
      <w:spacing/>
      <w:ind/>
    </w:pPr>
    <w:rPr>
      <w:sz w:val="16"/>
      <w:szCs w:val="16"/>
    </w:rPr>
  </w:style>
  <w:style w:type="character" w:styleId="908" w:customStyle="1">
    <w:name w:val="Текст примечания Знак"/>
    <w:link w:val="951"/>
    <w:qFormat/>
    <w:pPr>
      <w:pBdr/>
      <w:spacing/>
      <w:ind/>
    </w:pPr>
    <w:rPr>
      <w:lang w:val="en-GB"/>
    </w:rPr>
  </w:style>
  <w:style w:type="character" w:styleId="909" w:customStyle="1">
    <w:name w:val="Тема примечания Знак"/>
    <w:link w:val="952"/>
    <w:qFormat/>
    <w:pPr>
      <w:pBdr/>
      <w:spacing/>
      <w:ind/>
    </w:pPr>
    <w:rPr>
      <w:b/>
      <w:bCs/>
      <w:lang w:val="en-GB"/>
    </w:rPr>
  </w:style>
  <w:style w:type="character" w:styleId="910" w:customStyle="1">
    <w:name w:val="Основной текст с отступом 3 Знак"/>
    <w:link w:val="953"/>
    <w:qFormat/>
    <w:pPr>
      <w:pBdr/>
      <w:spacing/>
      <w:ind/>
    </w:pPr>
    <w:rPr>
      <w:sz w:val="16"/>
      <w:szCs w:val="16"/>
    </w:rPr>
  </w:style>
  <w:style w:type="character" w:styleId="911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12" w:customStyle="1">
    <w:name w:val="Заголовок Знак"/>
    <w:link w:val="956"/>
    <w:qFormat/>
    <w:pPr>
      <w:pBdr/>
      <w:spacing/>
      <w:ind/>
    </w:pPr>
    <w:rPr>
      <w:b/>
      <w:bCs/>
      <w:sz w:val="24"/>
      <w:szCs w:val="24"/>
    </w:rPr>
  </w:style>
  <w:style w:type="character" w:styleId="913" w:customStyle="1">
    <w:name w:val="Верх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14" w:customStyle="1">
    <w:name w:val="Ниж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15" w:customStyle="1">
    <w:name w:val="Основной текст 2 Знак"/>
    <w:link w:val="960"/>
    <w:qFormat/>
    <w:pPr>
      <w:pBdr/>
      <w:spacing/>
      <w:ind/>
    </w:pPr>
    <w:rPr>
      <w:sz w:val="24"/>
      <w:szCs w:val="24"/>
    </w:rPr>
  </w:style>
  <w:style w:type="character" w:styleId="916" w:customStyle="1">
    <w:name w:val="Основной текст с отступом Знак"/>
    <w:qFormat/>
    <w:pPr>
      <w:pBdr/>
      <w:spacing/>
      <w:ind/>
    </w:pPr>
    <w:rPr>
      <w:sz w:val="24"/>
      <w:szCs w:val="24"/>
    </w:rPr>
  </w:style>
  <w:style w:type="character" w:styleId="917">
    <w:name w:val="Strong"/>
    <w:qFormat/>
    <w:pPr>
      <w:pBdr/>
      <w:spacing/>
      <w:ind/>
    </w:pPr>
    <w:rPr>
      <w:b/>
      <w:bCs/>
    </w:rPr>
  </w:style>
  <w:style w:type="character" w:styleId="918" w:customStyle="1">
    <w:name w:val="Текст сноски Знак"/>
    <w:qFormat/>
    <w:pPr>
      <w:pBdr/>
      <w:spacing/>
      <w:ind/>
    </w:pPr>
    <w:rPr>
      <w:lang w:val="en-GB"/>
    </w:rPr>
  </w:style>
  <w:style w:type="character" w:styleId="919">
    <w:name w:val="Hyperlink"/>
    <w:pPr>
      <w:pBdr/>
      <w:spacing/>
      <w:ind/>
    </w:pPr>
    <w:rPr>
      <w:color w:val="0000ff"/>
      <w:u w:val="single"/>
    </w:rPr>
  </w:style>
  <w:style w:type="character" w:styleId="920">
    <w:name w:val="FollowedHyperlink"/>
    <w:pPr>
      <w:pBdr/>
      <w:spacing/>
      <w:ind/>
    </w:pPr>
    <w:rPr>
      <w:color w:val="800080"/>
      <w:u w:val="single"/>
    </w:rPr>
  </w:style>
  <w:style w:type="character" w:styleId="921" w:customStyle="1">
    <w:name w:val="3. Подпункт Знак"/>
    <w:link w:val="966"/>
    <w:qFormat/>
    <w:pPr>
      <w:pBdr/>
      <w:spacing/>
      <w:ind/>
    </w:pPr>
    <w:rPr>
      <w:b/>
      <w:bCs/>
      <w:sz w:val="24"/>
      <w:szCs w:val="24"/>
    </w:rPr>
  </w:style>
  <w:style w:type="character" w:styleId="922" w:customStyle="1">
    <w:name w:val="Абзац списка Знак"/>
    <w:link w:val="950"/>
    <w:uiPriority w:val="34"/>
    <w:qFormat/>
    <w:pPr>
      <w:pBdr/>
      <w:spacing/>
      <w:ind/>
    </w:pPr>
    <w:rPr>
      <w:sz w:val="24"/>
      <w:szCs w:val="24"/>
    </w:rPr>
  </w:style>
  <w:style w:type="character" w:styleId="923" w:customStyle="1">
    <w:name w:val="Название Знак"/>
    <w:qFormat/>
    <w:pPr>
      <w:pBdr/>
      <w:spacing/>
      <w:ind/>
    </w:pPr>
    <w:rPr>
      <w:b/>
      <w:bCs/>
      <w:sz w:val="24"/>
      <w:szCs w:val="24"/>
    </w:rPr>
  </w:style>
  <w:style w:type="character" w:styleId="924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925">
    <w:name w:val="endnote reference"/>
    <w:pPr>
      <w:pBdr/>
      <w:spacing/>
      <w:ind/>
    </w:pPr>
    <w:rPr>
      <w:vertAlign w:val="superscript"/>
    </w:rPr>
  </w:style>
  <w:style w:type="character" w:styleId="926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paragraph" w:styleId="927" w:customStyle="1">
    <w:name w:val="Заголовок"/>
    <w:basedOn w:val="898"/>
    <w:next w:val="928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28">
    <w:name w:val="Body Text"/>
    <w:basedOn w:val="898"/>
    <w:link w:val="911"/>
    <w:pPr>
      <w:pBdr/>
      <w:spacing w:after="120" w:before="0" w:line="360" w:lineRule="auto"/>
      <w:ind w:firstLine="567"/>
      <w:jc w:val="both"/>
    </w:pPr>
    <w:rPr>
      <w:sz w:val="28"/>
      <w:szCs w:val="28"/>
    </w:rPr>
  </w:style>
  <w:style w:type="paragraph" w:styleId="929">
    <w:name w:val="List"/>
    <w:basedOn w:val="928"/>
    <w:pPr>
      <w:pBdr/>
      <w:spacing/>
      <w:ind/>
    </w:pPr>
    <w:rPr>
      <w:rFonts w:cs="Lohit Devanagari"/>
    </w:rPr>
  </w:style>
  <w:style w:type="paragraph" w:styleId="930">
    <w:name w:val="Caption"/>
    <w:basedOn w:val="898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31">
    <w:name w:val="Указатель"/>
    <w:basedOn w:val="898"/>
    <w:qFormat/>
    <w:pPr>
      <w:suppressLineNumbers w:val="true"/>
      <w:pBdr/>
      <w:spacing/>
      <w:ind/>
    </w:pPr>
    <w:rPr>
      <w:rFonts w:cs="Lohit Devanagari"/>
    </w:rPr>
  </w:style>
  <w:style w:type="paragraph" w:styleId="932">
    <w:name w:val="caption1"/>
    <w:basedOn w:val="898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33">
    <w:name w:val="index heading"/>
    <w:basedOn w:val="898"/>
    <w:qFormat/>
    <w:pPr>
      <w:suppressLineNumbers w:val="true"/>
      <w:pBdr/>
      <w:spacing/>
      <w:ind/>
    </w:pPr>
    <w:rPr>
      <w:rFonts w:cs="Lohit Devanagari"/>
    </w:rPr>
  </w:style>
  <w:style w:type="paragraph" w:styleId="934" w:customStyle="1">
    <w:name w:val="caption11"/>
    <w:basedOn w:val="898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35" w:customStyle="1">
    <w:name w:val="Знак Знак Знак Знак Знак Знак Знак Знак Знак1"/>
    <w:basedOn w:val="898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936" w:customStyle="1">
    <w:name w:val="Обычный1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937">
    <w:name w:val="Plain Text"/>
    <w:basedOn w:val="898"/>
    <w:qFormat/>
    <w:pPr>
      <w:pBdr/>
      <w:spacing/>
      <w:ind/>
    </w:pPr>
    <w:rPr>
      <w:rFonts w:ascii="Consolas" w:hAnsi="Consolas" w:eastAsia="Calibri"/>
      <w:sz w:val="21"/>
      <w:szCs w:val="21"/>
      <w:lang w:eastAsia="en-US"/>
    </w:rPr>
  </w:style>
  <w:style w:type="paragraph" w:styleId="938" w:customStyle="1">
    <w:name w:val="Подпункт договора"/>
    <w:basedOn w:val="898"/>
    <w:qFormat/>
    <w:pPr>
      <w:pBdr/>
      <w:tabs>
        <w:tab w:val="left" w:leader="none" w:pos="360"/>
        <w:tab w:val="clear" w:leader="none" w:pos="709"/>
      </w:tabs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39" w:customStyle="1">
    <w:name w:val="Пункт"/>
    <w:basedOn w:val="898"/>
    <w:qFormat/>
    <w:pPr>
      <w:numPr>
        <w:ilvl w:val="2"/>
        <w:numId w:val="2"/>
      </w:numPr>
      <w:pBdr/>
      <w:spacing/>
      <w:ind/>
      <w:jc w:val="both"/>
    </w:pPr>
    <w:rPr>
      <w:sz w:val="28"/>
      <w:lang w:val="ru-RU"/>
    </w:rPr>
  </w:style>
  <w:style w:type="paragraph" w:styleId="940" w:customStyle="1">
    <w:name w:val="Подпункт"/>
    <w:basedOn w:val="939"/>
    <w:qFormat/>
    <w:pPr>
      <w:pBdr/>
      <w:spacing/>
      <w:ind/>
    </w:pPr>
  </w:style>
  <w:style w:type="paragraph" w:styleId="941" w:customStyle="1">
    <w:name w:val="Подподпункт"/>
    <w:basedOn w:val="940"/>
    <w:qFormat/>
    <w:pPr>
      <w:pBdr/>
      <w:spacing/>
      <w:ind/>
    </w:pPr>
  </w:style>
  <w:style w:type="paragraph" w:styleId="942" w:customStyle="1">
    <w:name w:val="Пункт договора"/>
    <w:basedOn w:val="898"/>
    <w:qFormat/>
    <w:pPr>
      <w:widowControl w:val="false"/>
      <w:pBdr/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43" w:customStyle="1">
    <w:name w:val="Знак"/>
    <w:basedOn w:val="898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44">
    <w:name w:val="footnote text"/>
    <w:basedOn w:val="898"/>
    <w:link w:val="918"/>
    <w:pPr>
      <w:pBdr/>
      <w:spacing/>
      <w:ind/>
    </w:pPr>
    <w:rPr>
      <w:sz w:val="20"/>
      <w:szCs w:val="20"/>
    </w:rPr>
  </w:style>
  <w:style w:type="paragraph" w:styleId="945" w:customStyle="1">
    <w:name w:val="Раздел договора"/>
    <w:basedOn w:val="898"/>
    <w:next w:val="942"/>
    <w:qFormat/>
    <w:pPr>
      <w:keepNext w:val="true"/>
      <w:keepLines w:val="true"/>
      <w:widowControl w:val="false"/>
      <w:pBdr/>
      <w:spacing w:after="200" w:before="240"/>
      <w:ind/>
    </w:pPr>
    <w:rPr>
      <w:rFonts w:ascii="Arial" w:hAnsi="Arial"/>
      <w:b/>
      <w:caps/>
      <w:sz w:val="20"/>
      <w:szCs w:val="20"/>
      <w:lang w:val="ru-RU"/>
    </w:rPr>
  </w:style>
  <w:style w:type="paragraph" w:styleId="946">
    <w:name w:val="Balloon Text"/>
    <w:basedOn w:val="898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47">
    <w:name w:val="Body Text 3"/>
    <w:basedOn w:val="898"/>
    <w:link w:val="905"/>
    <w:qFormat/>
    <w:pPr>
      <w:pBdr/>
      <w:spacing w:after="120" w:before="0"/>
      <w:ind/>
    </w:pPr>
    <w:rPr>
      <w:sz w:val="16"/>
      <w:szCs w:val="16"/>
    </w:rPr>
  </w:style>
  <w:style w:type="paragraph" w:styleId="948" w:customStyle="1">
    <w:name w:val="ConsNormal"/>
    <w:qFormat/>
    <w:pPr>
      <w:widowControl w:val="true"/>
      <w:pBdr/>
      <w:bidi w:val="false"/>
      <w:spacing w:after="0" w:before="0"/>
      <w:ind w:right="19772" w:firstLine="720"/>
      <w:jc w:val="left"/>
    </w:pPr>
    <w:rPr>
      <w:rFonts w:ascii="Arial" w:hAnsi="Arial" w:eastAsia="Times New Roman" w:cs="Times New Roman"/>
      <w:color w:val="auto"/>
      <w:sz w:val="32"/>
      <w:szCs w:val="20"/>
      <w:lang w:val="ru-RU" w:eastAsia="en-US" w:bidi="ar-SA"/>
    </w:rPr>
  </w:style>
  <w:style w:type="paragraph" w:styleId="949" w:customStyle="1">
    <w:name w:val="Знак Знак Знак Знак Знак Знак Знак Знак Знак"/>
    <w:basedOn w:val="898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950">
    <w:name w:val="List Paragraph"/>
    <w:basedOn w:val="898"/>
    <w:link w:val="922"/>
    <w:uiPriority w:val="34"/>
    <w:qFormat/>
    <w:pPr>
      <w:pBdr/>
      <w:spacing w:after="0" w:before="0"/>
      <w:ind w:firstLine="0" w:left="720"/>
      <w:contextualSpacing w:val="true"/>
    </w:pPr>
    <w:rPr>
      <w:lang w:val="ru-RU"/>
    </w:rPr>
  </w:style>
  <w:style w:type="paragraph" w:styleId="951">
    <w:name w:val="annotation text"/>
    <w:basedOn w:val="898"/>
    <w:link w:val="908"/>
    <w:qFormat/>
    <w:pPr>
      <w:pBdr/>
      <w:spacing/>
      <w:ind/>
    </w:pPr>
    <w:rPr>
      <w:sz w:val="20"/>
      <w:szCs w:val="20"/>
    </w:rPr>
  </w:style>
  <w:style w:type="paragraph" w:styleId="952">
    <w:name w:val="annotation subject"/>
    <w:basedOn w:val="951"/>
    <w:next w:val="951"/>
    <w:link w:val="909"/>
    <w:qFormat/>
    <w:pPr>
      <w:pBdr/>
      <w:spacing/>
      <w:ind/>
    </w:pPr>
    <w:rPr>
      <w:b/>
      <w:bCs/>
    </w:rPr>
  </w:style>
  <w:style w:type="paragraph" w:styleId="953">
    <w:name w:val="Body Text Indent 3"/>
    <w:basedOn w:val="898"/>
    <w:link w:val="910"/>
    <w:qFormat/>
    <w:pPr>
      <w:pBdr/>
      <w:spacing w:after="120" w:before="0" w:line="360" w:lineRule="auto"/>
      <w:ind w:firstLine="567" w:left="283"/>
      <w:jc w:val="both"/>
    </w:pPr>
    <w:rPr>
      <w:sz w:val="16"/>
      <w:szCs w:val="16"/>
    </w:rPr>
  </w:style>
  <w:style w:type="paragraph" w:styleId="954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955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956" w:customStyle="1">
    <w:name w:val="Название1"/>
    <w:basedOn w:val="898"/>
    <w:link w:val="912"/>
    <w:qFormat/>
    <w:pPr>
      <w:widowControl w:val="false"/>
      <w:pBdr/>
      <w:spacing w:after="120" w:before="0"/>
      <w:ind/>
      <w:jc w:val="center"/>
    </w:pPr>
    <w:rPr>
      <w:b/>
      <w:bCs/>
      <w:sz w:val="32"/>
      <w:szCs w:val="20"/>
      <w:lang w:val="ru-RU"/>
    </w:rPr>
  </w:style>
  <w:style w:type="paragraph" w:styleId="957" w:customStyle="1">
    <w:name w:val="Колонтитул"/>
    <w:basedOn w:val="898"/>
    <w:qFormat/>
    <w:pPr>
      <w:pBdr/>
      <w:spacing/>
      <w:ind/>
    </w:pPr>
  </w:style>
  <w:style w:type="paragraph" w:styleId="958">
    <w:name w:val="Header"/>
    <w:basedOn w:val="898"/>
    <w:link w:val="913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959">
    <w:name w:val="Footer"/>
    <w:basedOn w:val="898"/>
    <w:link w:val="914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960">
    <w:name w:val="Body Text 2"/>
    <w:basedOn w:val="898"/>
    <w:link w:val="915"/>
    <w:qFormat/>
    <w:pPr>
      <w:pBdr/>
      <w:spacing w:after="120" w:before="0" w:line="480" w:lineRule="auto"/>
      <w:ind/>
    </w:pPr>
  </w:style>
  <w:style w:type="paragraph" w:styleId="961">
    <w:name w:val="Body Text Indent"/>
    <w:basedOn w:val="898"/>
    <w:link w:val="916"/>
    <w:pPr>
      <w:pBdr/>
      <w:spacing w:after="120" w:before="0"/>
      <w:ind w:firstLine="0" w:left="283"/>
    </w:pPr>
  </w:style>
  <w:style w:type="paragraph" w:styleId="962" w:customStyle="1">
    <w:name w:val="Пункт 3.3.3"/>
    <w:basedOn w:val="898"/>
    <w:qFormat/>
    <w:pPr>
      <w:keepNext w:val="true"/>
      <w:keepLines w:val="true"/>
      <w:widowControl w:val="false"/>
      <w:pBdr/>
      <w:tabs>
        <w:tab w:val="clear" w:leader="none" w:pos="709"/>
        <w:tab w:val="left" w:leader="none" w:pos="920"/>
      </w:tabs>
      <w:spacing w:after="240" w:before="240"/>
      <w:ind w:hanging="504" w:left="704"/>
      <w:outlineLvl w:val="1"/>
    </w:pPr>
    <w:rPr>
      <w:szCs w:val="20"/>
      <w:lang w:val="ru-RU"/>
    </w:rPr>
  </w:style>
  <w:style w:type="paragraph" w:styleId="963" w:customStyle="1">
    <w:name w:val="caption111"/>
    <w:basedOn w:val="898"/>
    <w:next w:val="898"/>
    <w:qFormat/>
    <w:pPr>
      <w:widowControl w:val="false"/>
      <w:pBdr/>
      <w:spacing w:after="120" w:before="120"/>
      <w:ind/>
      <w:jc w:val="both"/>
    </w:pPr>
    <w:rPr>
      <w:b/>
      <w:bCs/>
      <w:lang w:val="ru-RU"/>
    </w:rPr>
  </w:style>
  <w:style w:type="paragraph" w:styleId="964" w:customStyle="1">
    <w:name w:val="1. Статья"/>
    <w:basedOn w:val="901"/>
    <w:qFormat/>
    <w:pPr>
      <w:keepNext w:val="false"/>
      <w:keepLines w:val="false"/>
      <w:widowControl w:val="false"/>
      <w:numPr>
        <w:ilvl w:val="0"/>
        <w:numId w:val="5"/>
      </w:numPr>
      <w:pBdr/>
      <w:tabs>
        <w:tab w:val="clear" w:leader="none" w:pos="709"/>
        <w:tab w:val="left" w:leader="none" w:pos="2340"/>
      </w:tabs>
      <w:spacing w:after="0" w:before="0"/>
      <w:ind w:right="1462" w:firstLine="0" w:left="0"/>
      <w:jc w:val="center"/>
    </w:pPr>
    <w:rPr>
      <w:rFonts w:ascii="Times New Roman" w:hAnsi="Times New Roman"/>
      <w:b w:val="0"/>
      <w:bCs w:val="0"/>
      <w:color w:val="auto"/>
    </w:rPr>
  </w:style>
  <w:style w:type="paragraph" w:styleId="965" w:customStyle="1">
    <w:name w:val="2. Пункт"/>
    <w:basedOn w:val="901"/>
    <w:qFormat/>
    <w:pPr>
      <w:keepNext w:val="false"/>
      <w:keepLines w:val="false"/>
      <w:widowControl w:val="false"/>
      <w:numPr>
        <w:ilvl w:val="1"/>
        <w:numId w:val="5"/>
      </w:numPr>
      <w:pBdr/>
      <w:spacing w:after="0" w:before="0"/>
      <w:ind/>
      <w:jc w:val="both"/>
    </w:pPr>
    <w:rPr>
      <w:rFonts w:ascii="Times New Roman" w:hAnsi="Times New Roman"/>
      <w:b w:val="0"/>
      <w:bCs w:val="0"/>
      <w:color w:val="auto"/>
    </w:rPr>
  </w:style>
  <w:style w:type="paragraph" w:styleId="966" w:customStyle="1">
    <w:name w:val="3. Подпункт"/>
    <w:basedOn w:val="901"/>
    <w:link w:val="921"/>
    <w:qFormat/>
    <w:pPr>
      <w:keepNext w:val="false"/>
      <w:keepLines w:val="false"/>
      <w:widowControl w:val="false"/>
      <w:numPr>
        <w:ilvl w:val="2"/>
        <w:numId w:val="5"/>
      </w:numPr>
      <w:pBdr/>
      <w:tabs>
        <w:tab w:val="clear" w:leader="none" w:pos="709"/>
        <w:tab w:val="left" w:leader="none" w:pos="1620"/>
      </w:tabs>
      <w:spacing w:after="0" w:before="0"/>
      <w:ind/>
      <w:jc w:val="both"/>
    </w:pPr>
    <w:rPr>
      <w:rFonts w:ascii="Times New Roman" w:hAnsi="Times New Roman"/>
      <w:color w:val="auto"/>
    </w:rPr>
  </w:style>
  <w:style w:type="paragraph" w:styleId="967" w:customStyle="1">
    <w:name w:val="Содержимое таблицы"/>
    <w:basedOn w:val="898"/>
    <w:qFormat/>
    <w:pPr>
      <w:widowControl w:val="false"/>
      <w:suppressLineNumbers w:val="true"/>
      <w:pBdr/>
      <w:spacing/>
      <w:ind/>
    </w:pPr>
  </w:style>
  <w:style w:type="paragraph" w:styleId="968" w:customStyle="1">
    <w:name w:val="Заголовок таблицы"/>
    <w:basedOn w:val="967"/>
    <w:qFormat/>
    <w:pPr>
      <w:pBdr/>
      <w:spacing/>
      <w:ind/>
      <w:jc w:val="center"/>
    </w:pPr>
    <w:rPr>
      <w:b/>
      <w:bCs/>
    </w:rPr>
  </w:style>
  <w:style w:type="paragraph" w:styleId="969" w:customStyle="1">
    <w:name w:val="Таблица шапка"/>
    <w:basedOn w:val="898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970" w:customStyle="1">
    <w:name w:val="Таблица"/>
    <w:basedOn w:val="898"/>
    <w:qFormat/>
    <w:pPr>
      <w:keepNext w:val="true"/>
      <w:pBdr/>
      <w:spacing w:after="60" w:before="60"/>
      <w:ind/>
      <w:jc w:val="center"/>
    </w:pPr>
    <w:rPr>
      <w:rFonts w:eastAsia="Calibri"/>
      <w:b/>
    </w:rPr>
  </w:style>
  <w:style w:type="numbering" w:styleId="971" w:default="1">
    <w:name w:val="No List"/>
    <w:uiPriority w:val="99"/>
    <w:semiHidden/>
    <w:unhideWhenUsed/>
    <w:qFormat/>
    <w:pPr>
      <w:pBdr/>
      <w:spacing/>
      <w:ind/>
    </w:pPr>
  </w:style>
  <w:style w:type="table" w:styleId="972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_6146" w:customStyle="1">
    <w:name w:val="Standard"/>
    <w:basedOn w:val="680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_21521" w:customStyle="1">
    <w:name w:val="Text body"/>
    <w:basedOn w:val="68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40" w:afterAutospacing="0" w:before="0" w:beforeAutospacing="0" w:line="276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_21523" w:customStyle="1">
    <w:name w:val="Table"/>
    <w:basedOn w:val="68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60" w:afterAutospacing="0" w:before="60" w:beforeAutospacing="0" w:line="240" w:lineRule="auto"/>
      <w:ind w:right="0" w:firstLine="0" w:left="0"/>
      <w:contextualSpacing w:val="false"/>
      <w:jc w:val="center"/>
    </w:pPr>
    <w:rPr>
      <w:rFonts w:ascii="Liberation Serif" w:hAnsi="Liberation Serif" w:eastAsia="Calibri" w:cs="Lohit Devanaga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УК ГидроОГК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dc:language>ru-RU</dc:language>
  <cp:revision>11</cp:revision>
  <dcterms:created xsi:type="dcterms:W3CDTF">2025-11-05T00:02:00Z</dcterms:created>
  <dcterms:modified xsi:type="dcterms:W3CDTF">2026-07-29T06:19:31Z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0.000000</vt:r8>
  </property>
</Properties>
</file>