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103" w:right="96" w:hanging="0"/>
        <w:jc w:val="right"/>
        <w:rPr>
          <w:sz w:val="22"/>
          <w:szCs w:val="22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</w:rPr>
      </w:pPr>
      <w:r>
        <w:rPr>
          <w:rFonts w:eastAsia="Calibri"/>
          <w:b/>
        </w:rPr>
        <w:t>«ОКПД 2 27.32.13.190 Поставка кабельной продукции для нужд Бурейской ГЭС»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658" w:leader="none"/>
              <w:tab w:val="right" w:pos="9911" w:leader="dot"/>
            </w:tabs>
            <w:rPr>
              <w:caps/>
            </w:rPr>
          </w:pPr>
          <w:r>
            <w:fldChar w:fldCharType="begin"/>
          </w:r>
          <w:r>
            <w:rPr>
              <w:webHidden/>
              <w:rStyle w:val="Style15"/>
              <w:vanish w:val="false"/>
              <w:rFonts w:eastAsia="Calibri" w:cs="Times New Roman"/>
            </w:rPr>
            <w:instrText xml:space="preserve"> TOC \z \o "1-4" \u \h</w:instrText>
          </w:r>
          <w:r>
            <w:rPr>
              <w:webHidden/>
              <w:rStyle w:val="Style15"/>
              <w:vanish w:val="false"/>
              <w:rFonts w:eastAsia="Calibri" w:cs="Times New Roman"/>
            </w:rPr>
            <w:fldChar w:fldCharType="separate"/>
          </w:r>
          <w:hyperlink w:anchor="_Toc1">
            <w:r>
              <w:rPr>
                <w:webHidden/>
                <w:rStyle w:val="Style15"/>
                <w:rFonts w:eastAsia="Calibri" w:cs="Times New Roman"/>
                <w:vanish w:val="false"/>
              </w:rPr>
              <w:t>1.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218" w:leader="none"/>
              <w:tab w:val="right" w:pos="9911" w:leader="dot"/>
            </w:tabs>
            <w:rPr/>
          </w:pPr>
          <w:hyperlink w:anchor="_Toc2">
            <w:r>
              <w:rPr>
                <w:webHidden/>
                <w:rStyle w:val="Style15"/>
                <w:rFonts w:eastAsia="Calibri" w:cs="Times New Roman"/>
                <w:vanish w:val="false"/>
              </w:rPr>
              <w:t>1.1.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218" w:leader="none"/>
              <w:tab w:val="right" w:pos="9911" w:leader="dot"/>
            </w:tabs>
            <w:rPr/>
          </w:pPr>
          <w:hyperlink w:anchor="_Toc3">
            <w:r>
              <w:rPr>
                <w:webHidden/>
                <w:rStyle w:val="Style15"/>
                <w:rFonts w:eastAsia="Calibri" w:cs="Times New Roman"/>
                <w:vanish w:val="false"/>
              </w:rPr>
              <w:t>1.2.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218" w:leader="none"/>
              <w:tab w:val="right" w:pos="9911" w:leader="dot"/>
            </w:tabs>
            <w:rPr/>
          </w:pPr>
          <w:hyperlink w:anchor="_Toc4">
            <w:r>
              <w:rPr>
                <w:webHidden/>
                <w:rStyle w:val="Style15"/>
                <w:rFonts w:eastAsia="Calibri" w:cs="Times New Roman"/>
                <w:vanish w:val="false"/>
              </w:rPr>
              <w:t>1.3.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 xml:space="preserve">Цель использования закупаемой продукции 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218" w:leader="none"/>
              <w:tab w:val="right" w:pos="9911" w:leader="dot"/>
            </w:tabs>
            <w:rPr/>
          </w:pPr>
          <w:hyperlink w:anchor="_Toc5">
            <w:r>
              <w:rPr>
                <w:webHidden/>
                <w:rStyle w:val="Style15"/>
                <w:rFonts w:eastAsia="Calibri" w:cs="Times New Roman"/>
                <w:vanish w:val="false"/>
              </w:rPr>
              <w:t>1.4.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 xml:space="preserve">Существующее положение 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218" w:leader="none"/>
              <w:tab w:val="right" w:pos="9911" w:leader="dot"/>
            </w:tabs>
            <w:rPr/>
          </w:pPr>
          <w:hyperlink w:anchor="_Toc6">
            <w:r>
              <w:rPr>
                <w:webHidden/>
                <w:rStyle w:val="Style15"/>
                <w:rFonts w:eastAsia="Calibri" w:cs="Times New Roman"/>
                <w:vanish w:val="false"/>
              </w:rPr>
              <w:t>1.5.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 xml:space="preserve">Иные требования и сведения общего характера 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658" w:leader="none"/>
              <w:tab w:val="right" w:pos="9911" w:leader="dot"/>
            </w:tabs>
            <w:rPr>
              <w:iCs/>
              <w:caps/>
            </w:rPr>
          </w:pPr>
          <w:hyperlink w:anchor="_Toc7">
            <w:r>
              <w:rPr>
                <w:webHidden/>
                <w:rStyle w:val="Style15"/>
                <w:rFonts w:eastAsia="Calibri" w:cs="Times New Roman"/>
                <w:vanish w:val="false"/>
              </w:rPr>
              <w:t>2.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Требования к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218" w:leader="none"/>
              <w:tab w:val="right" w:pos="9911" w:leader="dot"/>
            </w:tabs>
            <w:rPr/>
          </w:pPr>
          <w:hyperlink w:anchor="_Toc8">
            <w:r>
              <w:rPr>
                <w:webHidden/>
                <w:rStyle w:val="Style15"/>
                <w:rFonts w:eastAsia="Calibri" w:cs="Times New Roman"/>
                <w:vanish w:val="false"/>
              </w:rPr>
              <w:t>2.1.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Требования к объемам и срокам поставки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938" w:leader="none"/>
              <w:tab w:val="right" w:pos="9911" w:leader="dot"/>
            </w:tabs>
            <w:rPr>
              <w:highlight w:val="white"/>
            </w:rPr>
          </w:pPr>
          <w:hyperlink w:anchor="_Toc9">
            <w:r>
              <w:rPr>
                <w:webHidden/>
                <w:rStyle w:val="Style15"/>
                <w:rFonts w:eastAsia="Calibri" w:cs="Times New Roman"/>
                <w:vanish w:val="false"/>
              </w:rPr>
              <w:t>2.1.1.</w:t>
            </w:r>
            <w:r>
              <w:rPr>
                <w:rStyle w:val="Style15"/>
              </w:rPr>
              <w:tab/>
            </w:r>
            <w:r>
              <w:rPr>
                <w:rStyle w:val="Style15"/>
                <w:highlight w:val="white"/>
              </w:rPr>
              <w:t>Перечень и объем закупаемой продукци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>и.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highlight w:val="white"/>
            </w:rPr>
          </w:pPr>
          <w:hyperlink w:anchor="_Toc10">
            <w:r>
              <w:rPr>
                <w:webHidden/>
                <w:rStyle w:val="Style15"/>
                <w:vanish w:val="false"/>
                <w:highlight w:val="whit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938" w:leader="none"/>
              <w:tab w:val="right" w:pos="9911" w:leader="dot"/>
            </w:tabs>
            <w:rPr>
              <w:highlight w:val="white"/>
            </w:rPr>
          </w:pPr>
          <w:hyperlink w:anchor="_Toc11">
            <w:r>
              <w:rPr>
                <w:webHidden/>
                <w:rStyle w:val="Style15"/>
                <w:rFonts w:eastAsia="Calibri" w:cs="Times New Roman"/>
                <w:vanish w:val="false"/>
              </w:rPr>
              <w:t>2.1.2.</w:t>
            </w:r>
            <w:r>
              <w:rPr>
                <w:rStyle w:val="Style15"/>
              </w:rPr>
              <w:tab/>
            </w:r>
            <w:r>
              <w:rPr>
                <w:rStyle w:val="Style15"/>
                <w:highlight w:val="white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highlight w:val="white"/>
            </w:rPr>
          </w:pPr>
          <w:hyperlink w:anchor="_Toc12">
            <w:r>
              <w:rPr>
                <w:webHidden/>
                <w:rStyle w:val="Style15"/>
                <w:vanish w:val="false"/>
                <w:highlight w:val="white"/>
              </w:rPr>
              <w:t xml:space="preserve">Таблица 2.1 Требования по срокам поставки продукции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218" w:leader="none"/>
              <w:tab w:val="right" w:pos="9911" w:leader="dot"/>
            </w:tabs>
            <w:rPr>
              <w:highlight w:val="white"/>
            </w:rPr>
          </w:pPr>
          <w:hyperlink w:anchor="_Toc13">
            <w:r>
              <w:rPr>
                <w:webHidden/>
                <w:rStyle w:val="Style15"/>
                <w:rFonts w:eastAsia="Calibri" w:cs="Times New Roman"/>
                <w:vanish w:val="false"/>
              </w:rPr>
              <w:t>2.2.</w:t>
            </w:r>
            <w:r>
              <w:rPr>
                <w:rStyle w:val="Style15"/>
              </w:rPr>
              <w:tab/>
            </w:r>
            <w:r>
              <w:rPr>
                <w:rStyle w:val="Style15"/>
                <w:highlight w:val="white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highlight w:val="white"/>
            </w:rPr>
          </w:pPr>
          <w:hyperlink w:anchor="_Toc14">
            <w:r>
              <w:rPr>
                <w:webHidden/>
                <w:rStyle w:val="Style15"/>
                <w:vanish w:val="false"/>
                <w:highlight w:val="white"/>
              </w:rPr>
              <w:t xml:space="preserve"> </w:t>
            </w:r>
            <w:r>
              <w:rPr>
                <w:rStyle w:val="Style15"/>
                <w:highlight w:val="white"/>
              </w:rPr>
              <w:t xml:space="preserve">Таблица 3. Требования к продукции 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658" w:leader="none"/>
              <w:tab w:val="right" w:pos="9911" w:leader="dot"/>
            </w:tabs>
            <w:rPr>
              <w:highlight w:val="white"/>
            </w:rPr>
          </w:pPr>
          <w:hyperlink w:anchor="_Toc15">
            <w:r>
              <w:rPr>
                <w:webHidden/>
                <w:rStyle w:val="Style15"/>
                <w:rFonts w:eastAsia="Calibri" w:cs="Times New Roman"/>
                <w:vanish w:val="false"/>
              </w:rPr>
              <w:t>3.</w:t>
            </w:r>
            <w:r>
              <w:rPr>
                <w:rStyle w:val="Style15"/>
              </w:rPr>
              <w:tab/>
            </w:r>
            <w:r>
              <w:rPr>
                <w:rStyle w:val="Style15"/>
                <w:iCs/>
                <w:highlight w:val="white"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5"/>
            </w:rPr>
            <w:fldChar w:fldCharType="end"/>
          </w:r>
        </w:p>
      </w:sdtContent>
    </w:sdt>
    <w:p>
      <w:pPr>
        <w:pStyle w:val="Heading2"/>
        <w:numPr>
          <w:ilvl w:val="0"/>
        </w:numPr>
        <w:ind w:left="0" w:hanging="0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2"/>
        </w:numPr>
        <w:ind w:left="357" w:hanging="357"/>
        <w:jc w:val="center"/>
        <w:rPr>
          <w:caps/>
        </w:rPr>
      </w:pPr>
      <w:bookmarkStart w:id="0" w:name="_Toc1"/>
      <w:bookmarkEnd w:id="0"/>
      <w:r>
        <w:rPr/>
        <w:t>Общие сведения</w:t>
      </w:r>
    </w:p>
    <w:p>
      <w:pPr>
        <w:pStyle w:val="Heading4"/>
        <w:numPr>
          <w:ilvl w:val="1"/>
          <w:numId w:val="2"/>
        </w:numPr>
        <w:rPr>
          <w:bCs w:val="false"/>
        </w:rPr>
      </w:pPr>
      <w:bookmarkStart w:id="1" w:name="_Toc2"/>
      <w:bookmarkEnd w:id="1"/>
      <w:r>
        <w:rPr/>
        <w:t>Обозначения и сокращения</w:t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АСДК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Автоматизированная система диагностического контроля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ГТС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Гидротехнические сооружения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Нормативно-техническая документация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Проект производства работ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РД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Рабочая документация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СНиП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Строительные нормы и правила</w:t>
            </w:r>
          </w:p>
        </w:tc>
      </w:tr>
      <w:tr>
        <w:trPr>
          <w:trHeight w:val="527" w:hRule="atLeast"/>
          <w:cantSplit w:val="true"/>
        </w:trPr>
        <w:tc>
          <w:tcPr>
            <w:tcW w:w="1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СП</w:t>
            </w:r>
          </w:p>
        </w:tc>
        <w:tc>
          <w:tcPr>
            <w:tcW w:w="7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Cs/>
                <w:iCs/>
                <w:sz w:val="24"/>
                <w:szCs w:val="24"/>
                <w:highlight w:val="white"/>
              </w:rPr>
            </w:pPr>
            <w:r>
              <w:rPr>
                <w:rStyle w:val="Style9"/>
                <w:bCs/>
                <w:iCs/>
                <w:sz w:val="24"/>
                <w:szCs w:val="24"/>
                <w:shd w:fill="FFFFFF" w:val="clear"/>
              </w:rPr>
              <w:t>Свод правил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2"/>
        </w:numPr>
        <w:rPr>
          <w:bCs w:val="false"/>
        </w:rPr>
      </w:pPr>
      <w:bookmarkStart w:id="2" w:name="_Toc3"/>
      <w:bookmarkEnd w:id="2"/>
      <w:r>
        <w:rPr/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/>
        </w:rPr>
        <w:tab/>
      </w: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>«ОКПД 2 27.32.13.190 Поставка кабельной продукции для нужд Бурейской ГЭС»</w:t>
      </w:r>
    </w:p>
    <w:p>
      <w:pPr>
        <w:pStyle w:val="Heading4"/>
        <w:numPr>
          <w:ilvl w:val="1"/>
          <w:numId w:val="2"/>
        </w:numPr>
        <w:rPr/>
      </w:pPr>
      <w:bookmarkStart w:id="3" w:name="_Toc46743507"/>
      <w:bookmarkStart w:id="4" w:name="_Toc126749437"/>
      <w:bookmarkStart w:id="5" w:name="_Toc152948062"/>
      <w:bookmarkStart w:id="6" w:name="_Toc126749434"/>
      <w:bookmarkEnd w:id="4"/>
      <w:bookmarkEnd w:id="5"/>
      <w:bookmarkEnd w:id="6"/>
      <w:r>
        <w:rPr/>
        <w:t xml:space="preserve">Цель </w:t>
      </w:r>
      <w:bookmarkEnd w:id="3"/>
      <w:r>
        <w:rPr/>
        <w:t>использования закупаемой продукции</w:t>
      </w:r>
    </w:p>
    <w:p>
      <w:pPr>
        <w:pStyle w:val="Normal"/>
        <w:ind w:firstLine="708"/>
        <w:jc w:val="both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>Цель поставки - реализация проекта модернизации системы мониторинга гидротехнических сооружений Бурейской ГЭС путем замены контрольно измерительной аппаратуры и системы сбора информации в составе информационной системы измерения уровней воды БурГЭС (новый объект).</w:t>
      </w:r>
    </w:p>
    <w:p>
      <w:pPr>
        <w:pStyle w:val="Normal"/>
        <w:ind w:firstLine="708"/>
        <w:jc w:val="both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>Результаты работ должны обеспечивать:</w:t>
      </w:r>
    </w:p>
    <w:p>
      <w:pPr>
        <w:pStyle w:val="ListParagraph"/>
        <w:numPr>
          <w:ilvl w:val="0"/>
          <w:numId w:val="7"/>
        </w:numPr>
        <w:shd w:val="clear" w:color="auto" w:fill="FFFFFF"/>
        <w:tabs>
          <w:tab w:val="clear" w:pos="708"/>
          <w:tab w:val="left" w:pos="993" w:leader="none"/>
        </w:tabs>
        <w:ind w:left="0" w:firstLine="709"/>
        <w:jc w:val="both"/>
        <w:rPr>
          <w:bCs/>
          <w:color w:val="000000" w:themeColor="text1"/>
          <w:highlight w:val="white"/>
          <w:lang w:eastAsia="x-none"/>
        </w:rPr>
      </w:pPr>
      <w:r>
        <w:rPr>
          <w:bCs/>
          <w:color w:val="000000" w:themeColor="text1"/>
          <w:highlight w:val="white"/>
          <w:lang w:eastAsia="x-none"/>
        </w:rPr>
        <w:t>Увеличение производительности и надежности работы ИСИУВ за счет реализации современных технических решений и применения современного промышленного оборудования, линий связи и программного обеспечения;</w:t>
      </w:r>
    </w:p>
    <w:p>
      <w:pPr>
        <w:pStyle w:val="ListParagraph"/>
        <w:numPr>
          <w:ilvl w:val="0"/>
          <w:numId w:val="7"/>
        </w:numPr>
        <w:shd w:val="clear" w:color="auto" w:fill="FFFFFF"/>
        <w:tabs>
          <w:tab w:val="clear" w:pos="708"/>
          <w:tab w:val="left" w:pos="993" w:leader="none"/>
        </w:tabs>
        <w:ind w:left="0" w:firstLine="709"/>
        <w:jc w:val="both"/>
        <w:rPr>
          <w:bCs/>
          <w:color w:val="000000" w:themeColor="text1"/>
          <w:highlight w:val="white"/>
          <w:lang w:eastAsia="x-none"/>
        </w:rPr>
      </w:pPr>
      <w:r>
        <w:rPr>
          <w:bCs/>
          <w:color w:val="000000" w:themeColor="text1"/>
          <w:highlight w:val="white"/>
          <w:lang w:eastAsia="x-none"/>
        </w:rPr>
        <w:t xml:space="preserve">Повышение качества и оперативности в оценке состояния сооружения по контролируемым показателям; </w:t>
      </w:r>
    </w:p>
    <w:p>
      <w:pPr>
        <w:pStyle w:val="ListParagraph"/>
        <w:numPr>
          <w:ilvl w:val="0"/>
          <w:numId w:val="7"/>
        </w:numPr>
        <w:shd w:val="clear" w:color="auto" w:fill="FFFFFF"/>
        <w:tabs>
          <w:tab w:val="clear" w:pos="708"/>
          <w:tab w:val="left" w:pos="993" w:leader="none"/>
        </w:tabs>
        <w:ind w:left="0" w:firstLine="709"/>
        <w:jc w:val="both"/>
        <w:rPr>
          <w:bCs/>
          <w:color w:val="000000" w:themeColor="text1"/>
          <w:highlight w:val="white"/>
          <w:lang w:eastAsia="x-none"/>
        </w:rPr>
      </w:pPr>
      <w:r>
        <w:rPr>
          <w:bCs/>
          <w:color w:val="000000" w:themeColor="text1"/>
          <w:highlight w:val="white"/>
          <w:lang w:eastAsia="x-none"/>
        </w:rPr>
        <w:t>Обеспечение автоматического информирования персонала о гидрологических параметрах сооружения;</w:t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993" w:leader="none"/>
        </w:tabs>
        <w:ind w:left="0" w:firstLine="709"/>
        <w:jc w:val="both"/>
        <w:rPr>
          <w:bCs/>
          <w:color w:val="000000" w:themeColor="text1"/>
          <w:highlight w:val="white"/>
          <w:lang w:eastAsia="x-none"/>
        </w:rPr>
      </w:pPr>
      <w:r>
        <w:rPr>
          <w:bCs/>
          <w:color w:val="000000" w:themeColor="text1"/>
          <w:highlight w:val="white"/>
          <w:lang w:eastAsia="x-none"/>
        </w:rPr>
        <w:t>Обеспечение большей достоверности получаемых данных за счет дооснащения контрольно-измерительной аппаратурой, оборудования водоприемных труб системой, позволяющей компенсировать негативное влияние на результаты измерений внешних факторов. Снизить влияние гидравлического давления, создаваемого при пропуске воды через водоводы и водосбросы, на результаты измерений;</w:t>
      </w:r>
    </w:p>
    <w:p>
      <w:pPr>
        <w:pStyle w:val="ListParagraph"/>
        <w:numPr>
          <w:ilvl w:val="0"/>
          <w:numId w:val="7"/>
        </w:numPr>
        <w:shd w:val="clear" w:color="auto" w:fill="FFFFFF"/>
        <w:tabs>
          <w:tab w:val="clear" w:pos="708"/>
          <w:tab w:val="left" w:pos="993" w:leader="none"/>
        </w:tabs>
        <w:ind w:left="0" w:firstLine="709"/>
        <w:jc w:val="both"/>
        <w:rPr>
          <w:bCs/>
          <w:color w:val="000000" w:themeColor="text1"/>
          <w:highlight w:val="white"/>
          <w:lang w:eastAsia="x-none"/>
        </w:rPr>
      </w:pPr>
      <w:r>
        <w:rPr>
          <w:bCs/>
          <w:color w:val="000000" w:themeColor="text1"/>
          <w:highlight w:val="white"/>
          <w:lang w:eastAsia="x-none"/>
        </w:rPr>
        <w:t>Обеспечение информационного обмена данными с АСДК ГТС ;</w:t>
      </w:r>
    </w:p>
    <w:p>
      <w:pPr>
        <w:pStyle w:val="Normal"/>
        <w:numPr>
          <w:ilvl w:val="0"/>
          <w:numId w:val="7"/>
        </w:numPr>
        <w:shd w:val="clear" w:color="auto" w:fill="FFFFFF"/>
        <w:tabs>
          <w:tab w:val="clear" w:pos="708"/>
          <w:tab w:val="left" w:pos="993" w:leader="none"/>
        </w:tabs>
        <w:spacing w:before="0" w:after="0"/>
        <w:ind w:left="0" w:firstLine="709"/>
        <w:contextualSpacing/>
        <w:jc w:val="both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>Поддержание исправного и работоспособного состояния системы во всех режимах и на всех стадиях ее эксплуатации, организация ее эффективного использования и развития.</w:t>
      </w:r>
    </w:p>
    <w:p>
      <w:pPr>
        <w:pStyle w:val="Heading4"/>
        <w:numPr>
          <w:ilvl w:val="1"/>
          <w:numId w:val="2"/>
        </w:numPr>
        <w:rPr/>
      </w:pPr>
      <w:bookmarkStart w:id="7" w:name="_Toc46743508"/>
      <w:bookmarkStart w:id="8" w:name="_Toc126749435"/>
      <w:bookmarkEnd w:id="7"/>
      <w:bookmarkEnd w:id="8"/>
      <w:r>
        <w:rPr/>
        <w:t>Существующее положение</w:t>
      </w:r>
    </w:p>
    <w:p>
      <w:pPr>
        <w:pStyle w:val="Normal"/>
        <w:ind w:firstLine="432"/>
        <w:jc w:val="both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>Информационная система измерения уровней воды Бурейской ГЭС предназначена для измерения, расчета и регистрации контролируемых показателей на основных сооружениях Бурейской ГЭС. Контролируемые показатели – уровни воды в бьефах, температура воды в верхнем бьефе, объем водохранилища, приток и расход воды.</w:t>
      </w:r>
    </w:p>
    <w:p>
      <w:pPr>
        <w:pStyle w:val="Normal"/>
        <w:jc w:val="both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>Оборудование системы находится в эксплуатации с 2004 года. За период эксплуатации система подвергалась незначительным изменениям, так в 2012 году датчики избыточного давления DMP-331 были заменены на датчики избыточного давления Метран-150.</w:t>
      </w:r>
    </w:p>
    <w:p>
      <w:pPr>
        <w:pStyle w:val="Normal"/>
        <w:ind w:firstLine="567"/>
        <w:jc w:val="both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>В составе системы имеется три коммутационных шкафа. Первый коммутационный шкаф установлен в галерее №6 плотины, на отметке 181,00 м. секция №17, второй - установлен на отметке 131,40 м. здания ГЭС, сторона А, С9, третий – установлен в галерее №9 плотины на отметке 226,00 м. в секции №20. Внутри шкафов смонтировано идентичное оборудование: модуль сбора данных «НЕВОД+» и источник питания «AGP-24-1» (питание от сети ~220 в).</w:t>
      </w:r>
    </w:p>
    <w:p>
      <w:pPr>
        <w:pStyle w:val="Normal"/>
        <w:ind w:firstLine="567"/>
        <w:jc w:val="both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 xml:space="preserve">В качестве контрольно-измерительной аппаратуры полевого уровня используются датчики давления пьезометрические напорные «Метран-150». Датчики преобразуют физическую величину – напор водяного столба в аналоговый выходной сигнал 4-20 мА. Подключение к аналого-цифровому преобразователю происходит по двухпроводной схеме на основе интерфейса RS-485. Длины кабелей, соединяющих датчики в АЦП, имеют значения от 5 до 100 метров, в зависимости от расположения, и не превышают 350 метров суммарно. </w:t>
      </w:r>
    </w:p>
    <w:p>
      <w:pPr>
        <w:pStyle w:val="Normal"/>
        <w:ind w:firstLine="567"/>
        <w:jc w:val="both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>Датчики давления установлены на напорных закладных трубопроводах, расположенных в следующих местах:</w:t>
      </w:r>
    </w:p>
    <w:p>
      <w:pPr>
        <w:pStyle w:val="Normal"/>
        <w:numPr>
          <w:ilvl w:val="0"/>
          <w:numId w:val="8"/>
        </w:numPr>
        <w:spacing w:before="0" w:after="0"/>
        <w:ind w:left="0" w:firstLine="567"/>
        <w:contextualSpacing/>
        <w:jc w:val="both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>Для измерения уровня воды в нижнем бьефе -  в Здании ГЭС на отм. 131,4 м., сторона А, С9, С15. Всего 3 штуки.</w:t>
      </w:r>
    </w:p>
    <w:p>
      <w:pPr>
        <w:pStyle w:val="Normal"/>
        <w:numPr>
          <w:ilvl w:val="0"/>
          <w:numId w:val="8"/>
        </w:numPr>
        <w:spacing w:before="0" w:after="0"/>
        <w:ind w:left="0" w:firstLine="567"/>
        <w:contextualSpacing/>
        <w:jc w:val="both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>Для измерения уровня воды в верхнем бьефе -  в галереях плотины на отметке 181,00 м. секция №17 и отметке 226,00 м. секции № 17, 20 и 22. Всего 4 штуки.</w:t>
      </w:r>
    </w:p>
    <w:p>
      <w:pPr>
        <w:pStyle w:val="Normal"/>
        <w:ind w:firstLine="567"/>
        <w:jc w:val="both"/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</w:pPr>
      <w:r>
        <w:rPr>
          <w:rFonts w:eastAsia="Calibri"/>
          <w:bCs/>
          <w:color w:val="000000" w:themeColor="text1"/>
          <w:sz w:val="24"/>
          <w:szCs w:val="24"/>
          <w:highlight w:val="white"/>
          <w:lang w:eastAsia="x-none"/>
        </w:rPr>
        <w:t>Трубопроводы имеют выводы в нижний бьеф в непосредственной близости от отсасывающей трубы, а в верхний бьеф на сороудерживающих решетках.</w:t>
      </w:r>
    </w:p>
    <w:p>
      <w:pPr>
        <w:pStyle w:val="Heading1"/>
        <w:numPr>
          <w:ilvl w:val="0"/>
          <w:numId w:val="0"/>
        </w:numPr>
        <w:ind w:left="0" w:hanging="0"/>
        <w:jc w:val="right"/>
        <w:rPr>
          <w:b w:val="false"/>
          <w:bCs/>
          <w:color w:val="000000" w:themeColor="text1"/>
          <w:sz w:val="24"/>
          <w:szCs w:val="24"/>
          <w:highlight w:val="white"/>
          <w:lang w:eastAsia="x-none"/>
        </w:rPr>
      </w:pPr>
      <w:bookmarkStart w:id="9" w:name="_Toc191735711"/>
      <w:bookmarkStart w:id="10" w:name="_Toc191908536"/>
      <w:r>
        <w:rPr>
          <w:b w:val="false"/>
          <w:bCs/>
          <w:color w:val="000000" w:themeColor="text1"/>
          <w:sz w:val="24"/>
          <w:szCs w:val="24"/>
          <w:highlight w:val="white"/>
          <w:lang w:eastAsia="x-none"/>
        </w:rPr>
        <w:t>Таблица 1. Перечень объектов заказчика</w:t>
      </w:r>
      <w:bookmarkEnd w:id="9"/>
      <w:bookmarkEnd w:id="10"/>
    </w:p>
    <w:tbl>
      <w:tblPr>
        <w:tblW w:w="992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76"/>
        <w:gridCol w:w="2551"/>
        <w:gridCol w:w="2804"/>
        <w:gridCol w:w="3693"/>
      </w:tblGrid>
      <w:tr>
        <w:trPr/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>№</w:t>
            </w:r>
          </w:p>
          <w:p>
            <w:pPr>
              <w:pStyle w:val="Normal"/>
              <w:widowControl w:val="false"/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 xml:space="preserve">Расположение объекта </w:t>
              <w:br/>
              <w:t>(место поставки МТР, производства работ, оказания услуг)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 xml:space="preserve">Наименование основного средства </w:t>
              <w:br/>
              <w:t>(в отношении которого выполняются работы, оказываются услуги)</w:t>
            </w:r>
          </w:p>
        </w:tc>
      </w:tr>
      <w:tr>
        <w:trPr/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>2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>3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ind w:left="720" w:hanging="0"/>
              <w:rPr>
                <w:bCs/>
                <w:color w:val="000000" w:themeColor="text1"/>
                <w:highlight w:val="white"/>
                <w:lang w:eastAsia="x-none"/>
              </w:rPr>
            </w:pPr>
            <w:r>
              <w:rPr>
                <w:bCs/>
                <w:color w:val="000000" w:themeColor="text1"/>
                <w:highlight w:val="white"/>
                <w:lang w:eastAsia="x-none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>Информационная система измерения уровней воды БурГЭС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>Бурейская ГЭС, 676731, Амурская область, Бурейский район, пгт. Талакан,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</w:pPr>
            <w:r>
              <w:rPr>
                <w:rFonts w:eastAsia="Calibri"/>
                <w:bCs/>
                <w:color w:val="000000" w:themeColor="text1"/>
                <w:sz w:val="24"/>
                <w:szCs w:val="24"/>
                <w:highlight w:val="white"/>
                <w:lang w:eastAsia="x-none"/>
              </w:rPr>
              <w:t>Информационная система измерения уровней воды БурГЭС (новый объект)</w:t>
            </w:r>
          </w:p>
        </w:tc>
      </w:tr>
    </w:tbl>
    <w:p>
      <w:pPr>
        <w:pStyle w:val="Heading4"/>
        <w:numPr>
          <w:ilvl w:val="1"/>
          <w:numId w:val="2"/>
        </w:numPr>
        <w:rPr>
          <w:rFonts w:eastAsia="Times New Roman"/>
          <w:b w:val="false"/>
          <w:bCs w:val="false"/>
        </w:rPr>
      </w:pPr>
      <w:bookmarkStart w:id="11" w:name="_Toc126749436"/>
      <w:r>
        <w:rPr/>
        <w:t>Заказчик (подразделение Заказчика)</w:t>
      </w:r>
      <w:bookmarkEnd w:id="11"/>
      <w:r>
        <w:rPr/>
        <w:t xml:space="preserve"> 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709" w:leader="none"/>
        </w:tabs>
        <w:spacing w:lineRule="auto" w:line="276"/>
        <w:jc w:val="both"/>
        <w:rPr>
          <w:i/>
          <w:i/>
          <w:sz w:val="24"/>
          <w:szCs w:val="24"/>
        </w:rPr>
      </w:pPr>
      <w:r>
        <w:rPr/>
        <w:tab/>
        <w:tab/>
      </w:r>
      <w:r>
        <w:rPr>
          <w:sz w:val="24"/>
          <w:szCs w:val="24"/>
        </w:rPr>
        <w:t>Заказчик: Филиал ПАО «РусГидро» - «Бурейская ГЭС»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Покупатель: АО «ВНИИГ им. Б.Е. Веденеева», 195220, г. Санкт-Петербург, </w:t>
        <w:br/>
        <w:t>ул. Гжатская, д.21.</w:t>
      </w:r>
    </w:p>
    <w:p>
      <w:pPr>
        <w:pStyle w:val="Heading4"/>
        <w:numPr>
          <w:ilvl w:val="1"/>
          <w:numId w:val="2"/>
        </w:numPr>
        <w:rPr>
          <w:i/>
          <w:i/>
        </w:rPr>
      </w:pPr>
      <w:r>
        <w:rPr/>
        <w:t>Иные требования и сведения общего характера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32" w:leader="none"/>
          <w:tab w:val="left" w:pos="1134" w:leader="none"/>
        </w:tabs>
        <w:spacing w:lineRule="auto" w:line="276"/>
        <w:jc w:val="both"/>
        <w:rPr/>
      </w:pPr>
      <w:r>
        <w:rPr>
          <w:sz w:val="24"/>
          <w:szCs w:val="24"/>
        </w:rPr>
        <w:tab/>
        <w:t xml:space="preserve">А) Закупка осуществляется на основании 223-фз п. 3 ч. 6.1 ст. 3 а) </w:t>
      </w:r>
      <w:r>
        <w:fldChar w:fldCharType="begin"/>
      </w:r>
      <w:r>
        <w:rPr>
          <w:rStyle w:val="Hyperlink"/>
          <w:sz w:val="24"/>
          <w:szCs w:val="24"/>
          <w:color w:val="00000A"/>
        </w:rPr>
        <w:instrText xml:space="preserve"> HYPERLINK "https://1gzakaz.ru/" \l "/document/99/902289896"</w:instrText>
      </w:r>
      <w:r>
        <w:rPr>
          <w:rStyle w:val="Hyperlink"/>
          <w:sz w:val="24"/>
          <w:szCs w:val="24"/>
          <w:color w:val="00000A"/>
        </w:rPr>
        <w:fldChar w:fldCharType="separate"/>
      </w:r>
      <w:r>
        <w:rPr>
          <w:rStyle w:val="Hyperlink"/>
          <w:color w:val="00000A"/>
          <w:sz w:val="24"/>
          <w:szCs w:val="24"/>
        </w:rPr>
        <w:t>Федерального закона от 18.07.2011 № 223-ФЗ</w:t>
      </w:r>
      <w:r>
        <w:rPr>
          <w:rStyle w:val="Hyperlink"/>
          <w:sz w:val="24"/>
          <w:szCs w:val="24"/>
          <w:color w:val="00000A"/>
        </w:rPr>
        <w:fldChar w:fldCharType="end"/>
      </w:r>
      <w:r>
        <w:rPr>
          <w:sz w:val="24"/>
          <w:szCs w:val="24"/>
        </w:rPr>
        <w:t xml:space="preserve"> О закупках товаров, работ, услуг отдельными видами юридических лиц. </w:t>
      </w:r>
    </w:p>
    <w:p>
      <w:pPr>
        <w:pStyle w:val="Normal"/>
        <w:spacing w:lineRule="auto" w:line="276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Поставка материально-технических ресурсов должна осуществляться в соответствии с рабочим проектом </w:t>
      </w:r>
      <w:r>
        <w:rPr>
          <w:bCs/>
          <w:sz w:val="24"/>
          <w:szCs w:val="24"/>
        </w:rPr>
        <w:t>ДКРЕ.421459.029.А</w:t>
      </w:r>
      <w:r>
        <w:rPr>
          <w:sz w:val="24"/>
          <w:szCs w:val="24"/>
        </w:rPr>
        <w:t>. Все изменения должны быть согласованы Покупателем.</w:t>
      </w:r>
    </w:p>
    <w:p>
      <w:pPr>
        <w:pStyle w:val="Normal"/>
        <w:spacing w:lineRule="auto" w:line="276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В) Поставка материалов должна осуществляться до места поставки оборудования (Таблица №3).</w:t>
      </w:r>
    </w:p>
    <w:p>
      <w:pPr>
        <w:pStyle w:val="Normal"/>
        <w:spacing w:lineRule="auto" w:line="276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Поставщик обязан провести входной контроль материалов перед отправкой: внешний осмотр, проверка комплектации, проверка качества сборки и отсутствие внешних повреждений. </w:t>
      </w:r>
    </w:p>
    <w:p>
      <w:pPr>
        <w:pStyle w:val="Normal"/>
        <w:shd w:val="clear" w:color="auto" w:fill="FFFFFF"/>
        <w:tabs>
          <w:tab w:val="clear" w:pos="708"/>
          <w:tab w:val="left" w:pos="426" w:leader="none"/>
          <w:tab w:val="left" w:pos="1418" w:leader="none"/>
        </w:tabs>
        <w:spacing w:lineRule="auto" w:line="276"/>
        <w:jc w:val="both"/>
        <w:rPr>
          <w:sz w:val="24"/>
          <w:szCs w:val="24"/>
        </w:rPr>
      </w:pPr>
      <w:bookmarkStart w:id="12" w:name="__DdeLink__6676_20437396801"/>
      <w:bookmarkEnd w:id="12"/>
      <w:r>
        <w:rPr>
          <w:sz w:val="24"/>
          <w:szCs w:val="24"/>
        </w:rPr>
        <w:tab/>
        <w:t>Д) Доставка материалов должна осуществляться до места поставки. Погрузка, доставка, разгрузка осуществляется Поставщиком. Стоимость погрузки, доставки, разгрузки включена в стоимость Товара.</w:t>
      </w:r>
    </w:p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4294952754"/>
        </w:sectPr>
        <w:pStyle w:val="ListParagraph"/>
        <w:spacing w:lineRule="auto" w:line="276"/>
        <w:ind w:left="0"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</w:r>
    </w:p>
    <w:p>
      <w:pPr>
        <w:pStyle w:val="Normal"/>
        <w:spacing w:lineRule="auto" w:line="276"/>
        <w:jc w:val="both"/>
        <w:rPr>
          <w:bCs/>
        </w:rPr>
      </w:pPr>
      <w:r>
        <w:rPr>
          <w:bCs/>
        </w:rPr>
      </w:r>
    </w:p>
    <w:p>
      <w:pPr>
        <w:pStyle w:val="Heading1"/>
        <w:keepLines/>
        <w:numPr>
          <w:ilvl w:val="0"/>
          <w:numId w:val="2"/>
        </w:numPr>
        <w:ind w:left="357" w:hanging="357"/>
        <w:jc w:val="center"/>
        <w:rPr>
          <w:iCs/>
          <w:caps/>
          <w:highlight w:val="white"/>
        </w:rPr>
      </w:pPr>
      <w:bookmarkStart w:id="13" w:name="_Toc7"/>
      <w:bookmarkEnd w:id="13"/>
      <w:r>
        <w:rPr>
          <w:highlight w:val="white"/>
        </w:rPr>
        <w:t>Требования к продукции</w:t>
      </w:r>
    </w:p>
    <w:p>
      <w:pPr>
        <w:pStyle w:val="Heading4"/>
        <w:numPr>
          <w:ilvl w:val="1"/>
          <w:numId w:val="5"/>
        </w:numPr>
        <w:rPr>
          <w:bCs w:val="false"/>
          <w:highlight w:val="white"/>
        </w:rPr>
      </w:pPr>
      <w:bookmarkStart w:id="14" w:name="_Toc8"/>
      <w:bookmarkEnd w:id="14"/>
      <w:r>
        <w:rPr>
          <w:highlight w:val="white"/>
        </w:rPr>
        <w:t>Требования к объемам и срокам поставки</w:t>
      </w:r>
    </w:p>
    <w:p>
      <w:pPr>
        <w:pStyle w:val="Heading3"/>
        <w:numPr>
          <w:ilvl w:val="2"/>
          <w:numId w:val="5"/>
        </w:numPr>
        <w:rPr>
          <w:highlight w:val="white"/>
        </w:rPr>
      </w:pPr>
      <w:bookmarkStart w:id="15" w:name="_Toc9"/>
      <w:bookmarkEnd w:id="15"/>
      <w:r>
        <w:rPr>
          <w:highlight w:val="white"/>
        </w:rPr>
        <w:t>Перечень и объем закупаемой 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highlight w:val="white"/>
        </w:rPr>
      </w:pPr>
      <w:bookmarkStart w:id="16" w:name="_Toc10"/>
      <w:bookmarkEnd w:id="16"/>
      <w:r>
        <w:rPr>
          <w:sz w:val="24"/>
          <w:szCs w:val="24"/>
          <w:highlight w:val="white"/>
        </w:rPr>
        <w:t>Таблица 1.1 Перечень и объем закупаемой продукции</w:t>
      </w:r>
    </w:p>
    <w:tbl>
      <w:tblPr>
        <w:tblW w:w="9812" w:type="dxa"/>
        <w:jc w:val="left"/>
        <w:tblInd w:w="93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4"/>
        <w:gridCol w:w="6132"/>
        <w:gridCol w:w="1418"/>
        <w:gridCol w:w="1417"/>
      </w:tblGrid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Кабель</w:t>
            </w:r>
            <w:r>
              <w:rPr>
                <w:sz w:val="24"/>
                <w:szCs w:val="24"/>
                <w:lang w:val="en-US"/>
              </w:rPr>
              <w:t xml:space="preserve"> FTP-5e 4x2x0.51 Cu (outdoor)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Hyperline 9/125 (SMF-28)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ВВГнг (А)-LS 3х2,5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ВВГнг (А)-LS 3х4,0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ТехноКИПнг(А)-FRHF 2x2x0.9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ТехноКИПнг(А)-FRHF 4x2x0.9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 ПУГВ (ПВ-3) ж/зел.1х10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 ПУГВ (ПВ-3) ж/зел.1х6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Саморегулирующийся нагревательный кабель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 гофрированная DN23 мм с протяжкой стойкая к УФ излучению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Heading3"/>
        <w:numPr>
          <w:ilvl w:val="2"/>
          <w:numId w:val="5"/>
        </w:numPr>
        <w:rPr>
          <w:highlight w:val="white"/>
        </w:rPr>
      </w:pPr>
      <w:bookmarkStart w:id="17" w:name="_Toc11"/>
      <w:bookmarkEnd w:id="17"/>
      <w:r>
        <w:rPr>
          <w:highlight w:val="white"/>
        </w:rPr>
        <w:t>Требования к срокам поставки продукции и оказания сопутствующих услуг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/>
      </w:pPr>
      <w:r>
        <w:rPr>
          <w:sz w:val="24"/>
          <w:szCs w:val="24"/>
          <w:highlight w:val="white"/>
        </w:rPr>
        <w:t xml:space="preserve">Таблица 1.2 </w:t>
      </w:r>
      <w:bookmarkStart w:id="18" w:name="_Hlk50465284"/>
      <w:r>
        <w:rPr>
          <w:sz w:val="24"/>
          <w:szCs w:val="24"/>
          <w:highlight w:val="white"/>
        </w:rPr>
        <w:t xml:space="preserve">Требования по срокам </w:t>
      </w:r>
      <w:bookmarkEnd w:id="18"/>
      <w:r>
        <w:rPr>
          <w:sz w:val="24"/>
          <w:szCs w:val="24"/>
          <w:highlight w:val="white"/>
        </w:rPr>
        <w:t xml:space="preserve">поставки продукции </w:t>
      </w:r>
    </w:p>
    <w:tbl>
      <w:tblPr>
        <w:tblW w:w="9776" w:type="dxa"/>
        <w:jc w:val="left"/>
        <w:tblInd w:w="-15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550"/>
        <w:gridCol w:w="2978"/>
        <w:gridCol w:w="3115"/>
      </w:tblGrid>
      <w:tr>
        <w:trPr/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№ </w:t>
            </w:r>
            <w:r>
              <w:rPr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4</w:t>
            </w:r>
          </w:p>
        </w:tc>
      </w:tr>
      <w:tr>
        <w:trPr>
          <w:trHeight w:val="956" w:hRule="atLeast"/>
        </w:trPr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Таблице №1.1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даты, следующей за датой подписания Договора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bookmarkStart w:id="19" w:name="_Toc46743511"/>
            <w:bookmarkEnd w:id="19"/>
            <w:r>
              <w:rPr>
                <w:color w:val="000000"/>
                <w:sz w:val="24"/>
                <w:szCs w:val="24"/>
                <w:shd w:fill="auto" w:val="clear"/>
              </w:rPr>
              <w:t>в течение 60 календарных дней</w:t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4294952754"/>
        </w:sectPr>
      </w:pPr>
    </w:p>
    <w:p>
      <w:pPr>
        <w:pStyle w:val="Heading4"/>
        <w:numPr>
          <w:ilvl w:val="1"/>
          <w:numId w:val="5"/>
        </w:numPr>
        <w:rPr>
          <w:bCs w:val="false"/>
          <w:highlight w:val="white"/>
        </w:rPr>
      </w:pPr>
      <w:bookmarkStart w:id="20" w:name="_Toc13"/>
      <w:bookmarkEnd w:id="20"/>
      <w:r>
        <w:rPr>
          <w:highlight w:val="white"/>
        </w:rPr>
        <w:t>Требования к качеству продукции</w:t>
      </w:r>
    </w:p>
    <w:p>
      <w:pPr>
        <w:pStyle w:val="Heading4"/>
        <w:numPr>
          <w:ilvl w:val="0"/>
          <w:numId w:val="0"/>
        </w:numPr>
        <w:ind w:left="432" w:hanging="0"/>
        <w:rPr>
          <w:highlight w:val="white"/>
        </w:rPr>
      </w:pPr>
      <w:r>
        <w:rPr>
          <w:highlight w:val="white"/>
        </w:rPr>
      </w:r>
    </w:p>
    <w:p>
      <w:pPr>
        <w:pStyle w:val="Normal"/>
        <w:jc w:val="both"/>
        <w:rPr/>
      </w:pPr>
      <w:r>
        <w:rPr>
          <w:b/>
          <w:bCs/>
          <w:i/>
          <w:iCs/>
          <w:sz w:val="24"/>
          <w:szCs w:val="24"/>
        </w:rPr>
        <w:t>Наименование продукции (позиция № 1-10 Таблицы 1.1): Кабельная продукция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tbl>
      <w:tblPr>
        <w:tblStyle w:val="affff2"/>
        <w:tblW w:w="15741" w:type="dxa"/>
        <w:jc w:val="left"/>
        <w:tblInd w:w="-40" w:type="dxa"/>
        <w:tblLayout w:type="fixed"/>
        <w:tblCellMar>
          <w:top w:w="0" w:type="dxa"/>
          <w:left w:w="7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805"/>
        <w:gridCol w:w="7743"/>
      </w:tblGrid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77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77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 поставляемых материалов</w:t>
            </w:r>
          </w:p>
        </w:tc>
        <w:tc>
          <w:tcPr>
            <w:tcW w:w="77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Объем, номенклатура и количество поставляемых материалов должно соответствовать Таблице №1.1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7743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Поставка материалов должны соответствовать РД 153.-34.0-03.301-00 "Правила пожарной безопасности для энергетических предприятий"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77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77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77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color w:val="000000" w:themeColor="text1"/>
                <w:kern w:val="0"/>
                <w:sz w:val="24"/>
                <w:szCs w:val="24"/>
                <w:highlight w:val="white"/>
                <w:lang w:val="ru-RU" w:eastAsia="x-none" w:bidi="ar-SA"/>
              </w:rPr>
              <w:t>Бурейская ГЭС, 676731, Амурская область, Бурейский район, пгт. Талакан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7743" w:type="dxa"/>
            <w:tcBorders/>
            <w:shd w:color="auto" w:fill="auto" w:val="clear"/>
          </w:tcPr>
          <w:p>
            <w:pPr>
              <w:pStyle w:val="NoSpacing"/>
              <w:widowControl w:val="false"/>
              <w:spacing w:lineRule="auto" w:line="240" w:before="0" w:after="0"/>
              <w:ind w:left="34" w:hanging="0"/>
              <w:jc w:val="both"/>
              <w:rPr>
                <w:rFonts w:eastAsia="Sylfaen"/>
              </w:rPr>
            </w:pPr>
            <w:r>
              <w:rPr>
                <w:rFonts w:eastAsia="Sylfaen" w:cs="Times New Roman"/>
                <w:kern w:val="0"/>
                <w:lang w:val="ru-RU" w:eastAsia="ru-RU" w:bidi="ar-SA"/>
              </w:rPr>
              <w:t xml:space="preserve">Организация доставки материалов и возможности их последующего хранения до начала монтажа должна учитывать сложные климатические условия района строительства </w:t>
            </w:r>
            <w:r>
              <w:rPr>
                <w:rFonts w:eastAsia="Sylfaen" w:cs="Times New Roman"/>
                <w:b/>
                <w:bCs/>
                <w:kern w:val="0"/>
                <w:lang w:val="ru-RU" w:eastAsia="ru-RU" w:bidi="ar-SA"/>
              </w:rPr>
              <w:t>Амурская область, Бурейский район, птг. Талакан</w:t>
            </w:r>
            <w:r>
              <w:rPr>
                <w:rFonts w:eastAsia="Sylfaen" w:cs="Times New Roman"/>
                <w:kern w:val="0"/>
                <w:lang w:val="ru-RU" w:eastAsia="ru-RU" w:bidi="ar-SA"/>
              </w:rPr>
              <w:t xml:space="preserve"> в зимнее и летнее время. Транспортировку, погрузочно-разгрузочные работы и монтаж выполнять в соответствии с климатическим исполнением изделий по ГОСТ 15150-69 и требованием заводов-изготовителей.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маркировке и упаковке</w:t>
            </w:r>
          </w:p>
        </w:tc>
        <w:tc>
          <w:tcPr>
            <w:tcW w:w="7743" w:type="dxa"/>
            <w:tcBorders/>
            <w:shd w:color="auto" w:fill="auto" w:val="clear"/>
          </w:tcPr>
          <w:p>
            <w:pPr>
              <w:pStyle w:val="NoSpacing"/>
              <w:widowControl w:val="false"/>
              <w:spacing w:lineRule="auto" w:line="240" w:before="0" w:after="0"/>
              <w:jc w:val="both"/>
              <w:rPr>
                <w:rFonts w:eastAsia="Sylfaen"/>
              </w:rPr>
            </w:pPr>
            <w:r>
              <w:rPr>
                <w:rFonts w:eastAsia="Sylfaen" w:cs="Times New Roman"/>
                <w:kern w:val="0"/>
                <w:lang w:val="ru-RU" w:eastAsia="ru-RU" w:bidi="ar-SA"/>
              </w:rPr>
              <w:t>Материалы должны быть промаркированы и упакованы в тару, обеспечивающую сохранность, предотвращающую повреждения при транспортировке и хранении с учетом возможных перегрузок, в том числе в местностях с неблагоприятными климатическими условиями, в соответствии с требованиями ГОСТа 15846-2002 «Продукция, отправляемая в районы Крайнего Севера и приравненные к ним местности. Упаковка, маркировка, транспортировка и хранение».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743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Sylfaen" w:cs="Times New Roman"/>
                <w:kern w:val="0"/>
                <w:sz w:val="24"/>
                <w:szCs w:val="24"/>
                <w:lang w:val="ru-RU" w:eastAsia="ru-RU" w:bidi="ar-SA"/>
              </w:rPr>
              <w:t>Упаковка, маркировка, временная антикоррозионная защита, транспортировка, условия и сроки хранения всех устройств, запасных частей и расходных материалов должны соответствовать указанным в технических условиях изготовителя изделия и требованиям ГОСТ 15150-69, ГОСТ 23216-78, ГОСТ 14192-96, ГОСТ 15543.1-89 и ГОСТ 18620-86.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774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180" w:hRule="atLeast"/>
        </w:trPr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гар</w:t>
            </w:r>
            <w:bookmarkStart w:id="21" w:name="_GoBack"/>
            <w:bookmarkEnd w:id="21"/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антийным обязательствам</w:t>
            </w:r>
          </w:p>
        </w:tc>
        <w:tc>
          <w:tcPr>
            <w:tcW w:w="7743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200"/>
              <w:jc w:val="both"/>
              <w:rPr>
                <w:rFonts w:eastAsia="Sylfae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36 (Тридцать шесть) месяцев и начинает течь с даты подписания Акта КС-11 Заказчиком и Подрядчиком (Покупателем по настоящему договору) по Генеральному договору</w:t>
            </w: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 заключенному с ПАО «Колымаэнерго»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7743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ind w:left="34" w:hanging="0"/>
              <w:contextualSpacing/>
              <w:jc w:val="both"/>
              <w:rPr>
                <w:rFonts w:eastAsia="Sylfaen"/>
              </w:rPr>
            </w:pPr>
            <w:r>
              <w:rPr>
                <w:rFonts w:eastAsia="Sylfaen" w:cs="Times New Roman"/>
                <w:kern w:val="0"/>
                <w:lang w:val="ru-RU" w:eastAsia="ru-RU" w:bidi="ar-SA"/>
              </w:rPr>
              <w:t>Поставляемые материалы должны сопровождаться полным комплектом технической и эксплуатационной документации на русском языке, в составе, необходимом для монтажа,  сдачи в эксплуатацию, обеспечения правильной и безопасной эксплуатации.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материалов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качества; сертификаты соответствия;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 (при наличии); протоколы испытаний (если требуется)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 накладная ТОРГ-12/УПД в 2 экз.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Поставка материалов должна осуществляться в соответствии, но не ограничиваясь: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743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ind w:left="34" w:hanging="0"/>
              <w:contextualSpacing/>
              <w:jc w:val="both"/>
              <w:rPr/>
            </w:pPr>
            <w:hyperlink r:id="rId6">
              <w:r>
                <w:rPr>
                  <w:rFonts w:cs="Times New Roman"/>
                  <w:kern w:val="0"/>
                  <w:shd w:fill="FFFFFF" w:val="clear"/>
                  <w:lang w:val="ru-RU" w:eastAsia="ru-RU" w:bidi="ar-SA"/>
                </w:rPr>
                <w:t xml:space="preserve"> </w:t>
              </w:r>
            </w:hyperlink>
            <w:r>
              <w:rPr>
                <w:rFonts w:cs="Times New Roman"/>
                <w:kern w:val="0"/>
                <w:lang w:val="ru-RU" w:eastAsia="ru-RU" w:bidi="ar-SA"/>
              </w:rPr>
              <w:t>РД 153.-34.0-03.301-00 "Правила пожарной безопасности для энергетических предприятий",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ind w:left="34" w:hanging="0"/>
              <w:contextualSpacing/>
              <w:jc w:val="both"/>
              <w:rPr/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Федеральный закон </w:t>
            </w:r>
            <w:r>
              <w:fldChar w:fldCharType="begin"/>
            </w:r>
            <w:r>
              <w:rPr>
                <w:rStyle w:val="14"/>
                <w:kern w:val="0"/>
                <w:rFonts w:cs="Times New Roman"/>
                <w:lang w:val="ru-RU" w:eastAsia="ru-RU" w:bidi="ar-SA"/>
              </w:rPr>
              <w:instrText xml:space="preserve"> HYPERLINK "https://normativ.kontur.ru/document?moduleId=1&amp;documentId=61397" \l "l0"</w:instrText>
            </w:r>
            <w:r>
              <w:rPr>
                <w:rStyle w:val="14"/>
                <w:kern w:val="0"/>
                <w:rFonts w:cs="Times New Roman"/>
                <w:lang w:val="ru-RU" w:eastAsia="ru-RU" w:bidi="ar-SA"/>
              </w:rPr>
              <w:fldChar w:fldCharType="separate"/>
            </w:r>
            <w:r>
              <w:rPr>
                <w:rStyle w:val="14"/>
                <w:rFonts w:cs="Times New Roman"/>
                <w:kern w:val="0"/>
                <w:lang w:val="ru-RU" w:eastAsia="ru-RU" w:bidi="ar-SA"/>
              </w:rPr>
              <w:t>от 10 января 2002 года N 7-ФЗ</w:t>
            </w:r>
            <w:r>
              <w:rPr>
                <w:rStyle w:val="14"/>
                <w:kern w:val="0"/>
                <w:rFonts w:cs="Times New Roman"/>
                <w:lang w:val="ru-RU" w:eastAsia="ru-RU" w:bidi="ar-SA"/>
              </w:rPr>
              <w:fldChar w:fldCharType="end"/>
            </w:r>
            <w:r>
              <w:rPr>
                <w:rFonts w:cs="Times New Roman"/>
                <w:kern w:val="0"/>
                <w:shd w:fill="FFFFFF" w:val="clear"/>
                <w:lang w:val="ru-RU" w:eastAsia="ru-RU" w:bidi="ar-SA"/>
              </w:rPr>
              <w:t> «</w:t>
            </w:r>
            <w:r>
              <w:rPr>
                <w:rFonts w:cs="Times New Roman"/>
                <w:kern w:val="0"/>
                <w:lang w:val="ru-RU" w:eastAsia="ru-RU" w:bidi="ar-SA"/>
              </w:rPr>
              <w:t>Об охране окружающей среды»,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ind w:left="34" w:hanging="0"/>
              <w:contextualSpacing/>
              <w:jc w:val="both"/>
              <w:rPr/>
            </w:pPr>
            <w:hyperlink r:id="rId7">
              <w:r>
                <w:rPr>
                  <w:rFonts w:cs="Times New Roman"/>
                  <w:kern w:val="0"/>
                  <w:lang w:val="ru-RU" w:eastAsia="ru-RU" w:bidi="ar-SA"/>
                </w:rPr>
                <w:t xml:space="preserve"> </w:t>
              </w:r>
            </w:hyperlink>
            <w:r>
              <w:rPr>
                <w:rFonts w:cs="Times New Roman"/>
                <w:spacing w:val="-11"/>
                <w:kern w:val="0"/>
                <w:lang w:val="ru-RU" w:eastAsia="ru-RU" w:bidi="ar-SA"/>
              </w:rPr>
              <w:t xml:space="preserve">№ </w:t>
            </w:r>
            <w:r>
              <w:rPr>
                <w:rFonts w:cs="Times New Roman"/>
                <w:spacing w:val="-11"/>
                <w:kern w:val="0"/>
                <w:lang w:val="ru-RU" w:eastAsia="ru-RU" w:bidi="ar-SA"/>
              </w:rPr>
              <w:t>89-ФЗ от 24.06.1998 г. «Об отходах производства и потребления»</w:t>
            </w:r>
            <w:r>
              <w:rPr>
                <w:rFonts w:cs="Times New Roman"/>
                <w:kern w:val="0"/>
                <w:lang w:val="ru-RU" w:eastAsia="ru-RU" w:bidi="ar-SA"/>
              </w:rPr>
              <w:t>,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ind w:left="34" w:hanging="0"/>
              <w:contextualSpacing/>
              <w:jc w:val="both"/>
              <w:rPr/>
            </w:pPr>
            <w:r>
              <w:fldChar w:fldCharType="begin"/>
            </w:r>
            <w:r>
              <w:rPr>
                <w:rStyle w:val="14"/>
                <w:kern w:val="0"/>
                <w:rFonts w:cs="Times New Roman"/>
                <w:lang w:val="ru-RU" w:eastAsia="ru-RU" w:bidi="ar-SA"/>
              </w:rPr>
              <w:instrText xml:space="preserve"> HYPERLINK "http://legalacts.ru/doc/federalnyi-zakon-ot-04051999-n-96-fz-ob/" \l "100299"</w:instrText>
            </w:r>
            <w:r>
              <w:rPr>
                <w:rStyle w:val="14"/>
                <w:kern w:val="0"/>
                <w:rFonts w:cs="Times New Roman"/>
                <w:lang w:val="ru-RU" w:eastAsia="ru-RU" w:bidi="ar-SA"/>
              </w:rPr>
              <w:fldChar w:fldCharType="separate"/>
            </w:r>
            <w:r>
              <w:rPr>
                <w:rStyle w:val="14"/>
                <w:rFonts w:cs="Times New Roman"/>
                <w:kern w:val="0"/>
                <w:lang w:val="ru-RU" w:eastAsia="ru-RU" w:bidi="ar-SA"/>
              </w:rPr>
              <w:t>Федеральный закон</w:t>
            </w:r>
            <w:r>
              <w:rPr>
                <w:rStyle w:val="14"/>
                <w:kern w:val="0"/>
                <w:rFonts w:cs="Times New Roman"/>
                <w:lang w:val="ru-RU" w:eastAsia="ru-RU" w:bidi="ar-SA"/>
              </w:rPr>
              <w:fldChar w:fldCharType="end"/>
            </w:r>
            <w:r>
              <w:rPr>
                <w:rFonts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spacing w:val="-11"/>
                <w:kern w:val="0"/>
                <w:lang w:val="ru-RU" w:eastAsia="ru-RU" w:bidi="ar-SA"/>
              </w:rPr>
              <w:t>№ 96-ФЗ от 04.05.1999 г. «Об охране атмосферного воздуха»</w:t>
            </w:r>
            <w:r>
              <w:rPr>
                <w:rFonts w:cs="Times New Roman"/>
                <w:kern w:val="0"/>
                <w:lang w:val="ru-RU" w:eastAsia="ru-RU" w:bidi="ar-SA"/>
              </w:rPr>
              <w:t>,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ind w:left="34" w:hanging="0"/>
              <w:contextualSpacing/>
              <w:jc w:val="both"/>
              <w:rPr/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Требований ФЗ </w:t>
            </w:r>
            <w:hyperlink r:id="rId8">
              <w:r>
                <w:rPr>
                  <w:rFonts w:cs="Times New Roman"/>
                  <w:kern w:val="0"/>
                  <w:lang w:val="ru-RU" w:eastAsia="ru-RU" w:bidi="ar-SA"/>
                </w:rPr>
                <w:t xml:space="preserve"> (в действующей редакции)";</w:t>
              </w:r>
            </w:hyperlink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ind w:left="34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spacing w:val="-11"/>
                <w:kern w:val="0"/>
                <w:lang w:val="ru-RU" w:eastAsia="ru-RU" w:bidi="ar-SA"/>
              </w:rPr>
              <w:t>Регламент процесса «Допуск персонала подрядных организаций на объекты ПАО «РусГидро» №300 от 28.04.2023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экономическим параметрам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77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сопутствующим услугам: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шефмонтажу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743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spacing w:before="0" w:after="0"/>
              <w:ind w:left="34" w:hanging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шефналадке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77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прочим услугам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7743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054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</w:tr>
      <w:tr>
        <w:trPr/>
        <w:tc>
          <w:tcPr>
            <w:tcW w:w="851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05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опыту Участника</w:t>
            </w:r>
          </w:p>
        </w:tc>
        <w:tc>
          <w:tcPr>
            <w:tcW w:w="7743" w:type="dxa"/>
            <w:tcBorders/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закупки должен обладать подтвержденным опытом выполнения аналогичных работ не менее 3 лет, подтвержденный справками и отзывами. При этом Участником закупки должен быть исполнены обязательства в общем/совокупном объеме не менее 30%  НМЦ лота за последние 3 года, предшествующие дате окончания срока подачи заявок на участие в конкурентной закупке.</w:t>
            </w:r>
          </w:p>
        </w:tc>
      </w:tr>
    </w:tbl>
    <w:p>
      <w:pPr>
        <w:sectPr>
          <w:headerReference w:type="default" r:id="rId9"/>
          <w:headerReference w:type="first" r:id="rId10"/>
          <w:type w:val="nextPage"/>
          <w:pgSz w:orient="landscape" w:w="16838" w:h="11906"/>
          <w:pgMar w:left="992" w:right="1134" w:gutter="0" w:header="680" w:top="737" w:footer="0" w:bottom="851"/>
          <w:pgNumType w:fmt="decimal"/>
          <w:formProt w:val="false"/>
          <w:titlePg/>
          <w:textDirection w:val="lrTb"/>
          <w:docGrid w:type="default" w:linePitch="381" w:charSpace="4294952754"/>
        </w:sectPr>
        <w:pStyle w:val="Normal"/>
        <w:ind w:left="357"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Heading4"/>
        <w:numPr>
          <w:ilvl w:val="0"/>
          <w:numId w:val="0"/>
        </w:numPr>
        <w:ind w:left="432" w:hanging="0"/>
        <w:rPr>
          <w:bCs w:val="false"/>
          <w:highlight w:val="white"/>
        </w:rPr>
      </w:pPr>
      <w:r>
        <w:rPr>
          <w:bCs w:val="false"/>
          <w:highlight w:val="white"/>
        </w:rPr>
      </w:r>
    </w:p>
    <w:p>
      <w:pPr>
        <w:pStyle w:val="Heading1"/>
        <w:keepLines/>
        <w:numPr>
          <w:ilvl w:val="0"/>
          <w:numId w:val="2"/>
        </w:numPr>
        <w:ind w:left="357" w:hanging="357"/>
        <w:jc w:val="center"/>
        <w:rPr>
          <w:highlight w:val="white"/>
        </w:rPr>
      </w:pPr>
      <w:r>
        <w:rPr>
          <w:iCs/>
          <w:highlight w:val="white"/>
        </w:rPr>
        <w:t>Приложения</w:t>
      </w:r>
    </w:p>
    <w:p>
      <w:pPr>
        <w:pStyle w:val="Normal"/>
        <w:spacing w:before="0" w:after="60"/>
        <w:contextualSpacing/>
        <w:rPr>
          <w:sz w:val="24"/>
          <w:szCs w:val="24"/>
        </w:rPr>
      </w:pPr>
      <w:r>
        <w:rPr>
          <w:sz w:val="24"/>
          <w:szCs w:val="24"/>
          <w:highlight w:val="white"/>
        </w:rPr>
        <w:t xml:space="preserve">Приложение № 1 </w:t>
      </w:r>
      <w:r>
        <w:rPr>
          <w:rFonts w:eastAsia="Symbol" w:cs="Symbol" w:ascii="Symbol" w:hAnsi="Symbol"/>
          <w:color w:val="000000" w:themeColor="text1"/>
          <w:sz w:val="24"/>
          <w:szCs w:val="24"/>
          <w:highlight w:val="white"/>
        </w:rPr>
        <w:t></w:t>
      </w:r>
      <w:r>
        <w:rPr>
          <w:sz w:val="24"/>
          <w:szCs w:val="24"/>
          <w:highlight w:val="white"/>
        </w:rPr>
        <w:t xml:space="preserve"> Спецификация.</w:t>
      </w:r>
    </w:p>
    <w:p>
      <w:pPr>
        <w:sectPr>
          <w:headerReference w:type="default" r:id="rId11"/>
          <w:headerReference w:type="first" r:id="rId12"/>
          <w:type w:val="nextPage"/>
          <w:pgSz w:w="11906" w:h="16838"/>
          <w:pgMar w:left="567" w:right="851" w:gutter="0" w:header="680" w:top="1134" w:footer="0" w:bottom="992"/>
          <w:pgNumType w:fmt="decimal"/>
          <w:formProt w:val="false"/>
          <w:textDirection w:val="lrTb"/>
          <w:docGrid w:type="default" w:linePitch="381" w:charSpace="4294952754"/>
        </w:sectPr>
        <w:pStyle w:val="Normal"/>
        <w:spacing w:before="0" w:after="6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6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5103" w:hanging="0"/>
        <w:jc w:val="right"/>
        <w:rPr>
          <w:highlight w:val="white"/>
        </w:rPr>
      </w:pPr>
      <w:r>
        <w:rPr>
          <w:sz w:val="24"/>
          <w:szCs w:val="24"/>
          <w:highlight w:val="white"/>
        </w:rPr>
        <w:t>Приложение № 2</w:t>
      </w:r>
      <w:r>
        <w:rPr>
          <w:highlight w:val="white"/>
        </w:rPr>
        <w:t xml:space="preserve"> </w:t>
      </w:r>
      <w:r>
        <w:rPr>
          <w:sz w:val="24"/>
          <w:szCs w:val="24"/>
          <w:highlight w:val="white"/>
        </w:rPr>
        <w:t>к Техническим требованиям</w:t>
      </w:r>
    </w:p>
    <w:p>
      <w:pPr>
        <w:pStyle w:val="Normal"/>
        <w:rPr>
          <w:highlight w:val="white"/>
        </w:rPr>
      </w:pPr>
      <w:r>
        <w:rPr>
          <w:highlight w:val="white"/>
        </w:rPr>
      </w:r>
    </w:p>
    <w:p>
      <w:pPr>
        <w:pStyle w:val="Normal"/>
        <w:jc w:val="center"/>
        <w:rPr>
          <w:highlight w:val="white"/>
        </w:rPr>
      </w:pPr>
      <w:r>
        <w:rPr>
          <w:b/>
          <w:sz w:val="24"/>
          <w:szCs w:val="24"/>
          <w:highlight w:val="white"/>
        </w:rPr>
        <w:t>СПЕЦИФИКАЦИЯ ОБОРУДОВАНИЯ</w:t>
      </w:r>
    </w:p>
    <w:tbl>
      <w:tblPr>
        <w:tblW w:w="5000" w:type="pct"/>
        <w:jc w:val="left"/>
        <w:tblInd w:w="-15" w:type="dxa"/>
        <w:tblLayout w:type="fixed"/>
        <w:tblCellMar>
          <w:top w:w="0" w:type="dxa"/>
          <w:left w:w="9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0"/>
        <w:gridCol w:w="531"/>
        <w:gridCol w:w="2008"/>
        <w:gridCol w:w="1070"/>
        <w:gridCol w:w="1165"/>
        <w:gridCol w:w="851"/>
        <w:gridCol w:w="8"/>
        <w:gridCol w:w="802"/>
        <w:gridCol w:w="8"/>
        <w:gridCol w:w="1177"/>
        <w:gridCol w:w="685"/>
        <w:gridCol w:w="9"/>
        <w:gridCol w:w="849"/>
        <w:gridCol w:w="9"/>
        <w:gridCol w:w="731"/>
        <w:gridCol w:w="800"/>
        <w:gridCol w:w="799"/>
        <w:gridCol w:w="1058"/>
        <w:gridCol w:w="1782"/>
      </w:tblGrid>
      <w:tr>
        <w:trPr>
          <w:tblHeader w:val="true"/>
          <w:trHeight w:val="543" w:hRule="atLeast"/>
        </w:trPr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 xml:space="preserve">№ </w:t>
            </w:r>
            <w:r>
              <w:rPr>
                <w:bCs/>
                <w:color w:val="000000"/>
                <w:sz w:val="18"/>
                <w:szCs w:val="18"/>
                <w:highlight w:val="white"/>
              </w:rPr>
              <w:t>партии</w:t>
            </w:r>
            <w:r>
              <w:rPr>
                <w:bCs/>
                <w:color w:val="000000"/>
                <w:sz w:val="18"/>
                <w:szCs w:val="18"/>
                <w:highlight w:val="white"/>
                <w:lang w:val="en-US"/>
              </w:rPr>
              <w:t>/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>этапа</w:t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 xml:space="preserve">№ </w:t>
            </w:r>
            <w:r>
              <w:rPr>
                <w:bCs/>
                <w:color w:val="000000"/>
                <w:sz w:val="18"/>
                <w:szCs w:val="18"/>
                <w:highlight w:val="white"/>
              </w:rPr>
              <w:t>поз.</w:t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>Наименование Оборудования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>Артикул, тип, марка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>Завод изготовитель</w:t>
            </w:r>
          </w:p>
        </w:tc>
        <w:tc>
          <w:tcPr>
            <w:tcW w:w="8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Страна происхождения Товара</w:t>
            </w:r>
            <w:r>
              <w:rPr>
                <w:sz w:val="18"/>
                <w:szCs w:val="18"/>
                <w:highlight w:val="white"/>
                <w:vertAlign w:val="superscript"/>
              </w:rPr>
              <w:t>1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Страна регистрации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производителя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Оборудования</w:t>
            </w:r>
          </w:p>
        </w:tc>
        <w:tc>
          <w:tcPr>
            <w:tcW w:w="1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Код ОКПД 2 (с наименованием)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>Единица измерения</w:t>
            </w:r>
          </w:p>
        </w:tc>
        <w:tc>
          <w:tcPr>
            <w:tcW w:w="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>Количество</w:t>
            </w:r>
          </w:p>
        </w:tc>
        <w:tc>
          <w:tcPr>
            <w:tcW w:w="7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>Цена за единицу, руб. без НДС</w:t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>Цена, руб. без НДС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>НДС, руб.</w:t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>Стоимость, руб., с НДС</w:t>
            </w:r>
          </w:p>
        </w:tc>
        <w:tc>
          <w:tcPr>
            <w:tcW w:w="1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  <w:t>Перечень сопроводительных документов (в том числе подтверждающих качество Оборудования)</w:t>
            </w:r>
          </w:p>
        </w:tc>
      </w:tr>
      <w:tr>
        <w:trPr>
          <w:trHeight w:val="259" w:hRule="atLeast"/>
        </w:trPr>
        <w:tc>
          <w:tcPr>
            <w:tcW w:w="14712" w:type="dxa"/>
            <w:gridSpan w:val="1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</w:rPr>
              <w:t>Филиал ПАО «РусГидро» - «Бурейская ГЭС»</w:t>
            </w:r>
          </w:p>
        </w:tc>
      </w:tr>
      <w:tr>
        <w:trPr>
          <w:trHeight w:val="733" w:hRule="atLeast"/>
        </w:trPr>
        <w:tc>
          <w:tcPr>
            <w:tcW w:w="3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Кабель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FTP-5e 4x2x0.51 Cu (outdoor)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FTP-5e 4x2x0.51 Cu (outdoor)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</w:t>
            </w:r>
          </w:p>
        </w:tc>
        <w:tc>
          <w:tcPr>
            <w:tcW w:w="11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27.32.13.190</w:t>
            </w:r>
          </w:p>
        </w:tc>
        <w:tc>
          <w:tcPr>
            <w:tcW w:w="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- сертификат качества в 1 экз.;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- паспорт качества на русском языке в 1 экз.;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-накладная ТОРГ-12/УПД в 2 экз.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-инструкция по эксплуатации на русском языке в 1 экз.;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-упаковочный лист в 1 экз.;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-иные документы (Сертификат соответствия, протоколы испытания и т.п.);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- товарно-транспортная накладная формы №1-Т (для учета товарно-материальных ценностей и расчетов за их перевозки) или транспортная железнодорожная накладная (форма </w:t>
              <w:br/>
              <w:t>№ ГУ-27) в 2 экз.;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417" w:hRule="atLeast"/>
        </w:trPr>
        <w:tc>
          <w:tcPr>
            <w:tcW w:w="37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Кабель Hyperline 9/125 (SMF-28)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Hyperline 9/125 (SMF-28)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</w:t>
            </w:r>
          </w:p>
        </w:tc>
        <w:tc>
          <w:tcPr>
            <w:tcW w:w="11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27.32.13.190</w:t>
            </w:r>
          </w:p>
        </w:tc>
        <w:tc>
          <w:tcPr>
            <w:tcW w:w="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3400,00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565" w:hRule="atLeast"/>
        </w:trPr>
        <w:tc>
          <w:tcPr>
            <w:tcW w:w="37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Кабель ВВГнг (А)-LS 3х2,5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ВВГнг (А)-LS 3х2,5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</w:t>
            </w:r>
          </w:p>
        </w:tc>
        <w:tc>
          <w:tcPr>
            <w:tcW w:w="11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27.32.13.190</w:t>
            </w:r>
          </w:p>
        </w:tc>
        <w:tc>
          <w:tcPr>
            <w:tcW w:w="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590,00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342" w:hRule="atLeast"/>
        </w:trPr>
        <w:tc>
          <w:tcPr>
            <w:tcW w:w="37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Кабель ВВГнг (А)-LS 3х4,0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ВВГнг (А)-LS 3х4,0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</w:t>
            </w:r>
          </w:p>
        </w:tc>
        <w:tc>
          <w:tcPr>
            <w:tcW w:w="11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27.32.13.190</w:t>
            </w:r>
          </w:p>
        </w:tc>
        <w:tc>
          <w:tcPr>
            <w:tcW w:w="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1830,00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85" w:hRule="atLeast"/>
        </w:trPr>
        <w:tc>
          <w:tcPr>
            <w:tcW w:w="37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Кабель ТехноКИПнг(А)-FRHF 2x2x0.9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ТехноКИПнг(А)-FRHF 2x2x0.9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</w:t>
            </w:r>
          </w:p>
        </w:tc>
        <w:tc>
          <w:tcPr>
            <w:tcW w:w="11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27.32.13.190</w:t>
            </w:r>
          </w:p>
        </w:tc>
        <w:tc>
          <w:tcPr>
            <w:tcW w:w="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</w:p>
        </w:tc>
        <w:tc>
          <w:tcPr>
            <w:tcW w:w="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460,00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726" w:hRule="atLeast"/>
        </w:trPr>
        <w:tc>
          <w:tcPr>
            <w:tcW w:w="37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Кабель ТехноКИПнг(А)-FRHF 4x2x0.9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ТехноКИПнг(А)-FRHF 4x2x0.9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</w:t>
            </w:r>
          </w:p>
        </w:tc>
        <w:tc>
          <w:tcPr>
            <w:tcW w:w="11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27.32.13.190</w:t>
            </w:r>
          </w:p>
        </w:tc>
        <w:tc>
          <w:tcPr>
            <w:tcW w:w="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м</w:t>
            </w:r>
          </w:p>
        </w:tc>
        <w:tc>
          <w:tcPr>
            <w:tcW w:w="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790,00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</w:p>
        </w:tc>
      </w:tr>
      <w:tr>
        <w:trPr>
          <w:trHeight w:val="783" w:hRule="atLeast"/>
        </w:trPr>
        <w:tc>
          <w:tcPr>
            <w:tcW w:w="37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ISOCPEUR" w:hAnsi="ISOCPEUR" w:cs="Calibri"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Провод ПУГВ (ПВ-3) ж/зел.1х10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ISOCPEUR" w:hAnsi="ISOCPEUR" w:cs="Calibri"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ПУГВ (ПВ-3) ж/зел.1х10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</w:t>
            </w:r>
          </w:p>
        </w:tc>
        <w:tc>
          <w:tcPr>
            <w:tcW w:w="11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27.32.13.190</w:t>
            </w:r>
          </w:p>
        </w:tc>
        <w:tc>
          <w:tcPr>
            <w:tcW w:w="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</w:p>
        </w:tc>
      </w:tr>
      <w:tr>
        <w:trPr>
          <w:trHeight w:val="739" w:hRule="atLeast"/>
        </w:trPr>
        <w:tc>
          <w:tcPr>
            <w:tcW w:w="37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Провод ПУГВ (ПВ-3) ж/зел.1х6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ISOCPEUR" w:hAnsi="ISOCPEUR" w:cs="Calibri"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ПУГВ (ПВ-3) ж/зел.1х6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</w:t>
            </w:r>
          </w:p>
        </w:tc>
        <w:tc>
          <w:tcPr>
            <w:tcW w:w="11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27.32.13.190</w:t>
            </w:r>
          </w:p>
        </w:tc>
        <w:tc>
          <w:tcPr>
            <w:tcW w:w="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35,00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</w:p>
        </w:tc>
      </w:tr>
      <w:tr>
        <w:trPr>
          <w:trHeight w:val="783" w:hRule="atLeast"/>
        </w:trPr>
        <w:tc>
          <w:tcPr>
            <w:tcW w:w="37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Саморегулирующийся нагревательный кабель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Freezstop-S10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«Теплолюкс»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</w:t>
            </w:r>
          </w:p>
        </w:tc>
        <w:tc>
          <w:tcPr>
            <w:tcW w:w="11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27.32.13.190</w:t>
            </w:r>
          </w:p>
        </w:tc>
        <w:tc>
          <w:tcPr>
            <w:tcW w:w="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</w:p>
        </w:tc>
      </w:tr>
      <w:tr>
        <w:trPr>
          <w:trHeight w:val="783" w:hRule="atLeast"/>
        </w:trPr>
        <w:tc>
          <w:tcPr>
            <w:tcW w:w="370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bCs/>
                <w:color w:val="000000"/>
                <w:sz w:val="18"/>
                <w:szCs w:val="18"/>
                <w:highlight w:val="white"/>
              </w:rPr>
            </w:pPr>
            <w:r>
              <w:rPr>
                <w:bCs/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20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Труба гофрированная DN23 мм с протяжкой стойкая к УФ излучению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PA612329F0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«DKC», (Россия)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643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РФ</w:t>
            </w:r>
          </w:p>
        </w:tc>
        <w:tc>
          <w:tcPr>
            <w:tcW w:w="11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18"/>
                <w:szCs w:val="18"/>
              </w:rPr>
              <w:t>27.32.13.190</w:t>
            </w:r>
          </w:p>
        </w:tc>
        <w:tc>
          <w:tcPr>
            <w:tcW w:w="6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</w:p>
        </w:tc>
        <w:tc>
          <w:tcPr>
            <w:tcW w:w="8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7096,00</w:t>
            </w:r>
          </w:p>
        </w:tc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782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</w:p>
        </w:tc>
      </w:tr>
      <w:tr>
        <w:trPr>
          <w:trHeight w:val="578" w:hRule="atLeast"/>
        </w:trPr>
        <w:tc>
          <w:tcPr>
            <w:tcW w:w="1027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Итого стоимость всего Товара (с учетом доставки), руб.</w:t>
            </w:r>
          </w:p>
        </w:tc>
        <w:tc>
          <w:tcPr>
            <w:tcW w:w="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</w:r>
          </w:p>
        </w:tc>
        <w:tc>
          <w:tcPr>
            <w:tcW w:w="1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</w:p>
        </w:tc>
      </w:tr>
    </w:tbl>
    <w:p>
      <w:pPr>
        <w:pStyle w:val="Normal"/>
        <w:jc w:val="center"/>
        <w:rPr>
          <w:highlight w:val="white"/>
        </w:rPr>
      </w:pPr>
      <w:r>
        <w:rPr>
          <w:highlight w:val="white"/>
        </w:rPr>
      </w:r>
    </w:p>
    <w:p>
      <w:pPr>
        <w:pStyle w:val="Normal"/>
        <w:jc w:val="both"/>
        <w:rPr>
          <w:highlight w:val="white"/>
        </w:rPr>
      </w:pPr>
      <w:r>
        <w:rPr>
          <w:sz w:val="20"/>
          <w:szCs w:val="20"/>
          <w:highlight w:val="white"/>
          <w:vertAlign w:val="superscript"/>
        </w:rPr>
        <w:t>1</w:t>
      </w:r>
      <w:r>
        <w:rPr>
          <w:sz w:val="20"/>
          <w:szCs w:val="20"/>
          <w:highlight w:val="white"/>
        </w:rPr>
        <w:t>В соответствии с Общероссийским классификатором стран мира (утв. Постановлением Госстандарта России от 14.12.2001 N 529-ст.)</w:t>
      </w:r>
    </w:p>
    <w:p>
      <w:pPr>
        <w:pStyle w:val="Normal"/>
        <w:widowControl w:val="false"/>
        <w:rPr>
          <w:highlight w:val="white"/>
        </w:rPr>
      </w:pPr>
      <w:r>
        <w:rPr>
          <w:i/>
          <w:sz w:val="20"/>
          <w:szCs w:val="20"/>
          <w:highlight w:val="white"/>
        </w:rPr>
        <w:t>[В спецификацию при необходимости включаются требования к Оборудованию, таре/упаковке, перечень нормативных документов, которым должно соответствовать оборудование (ГОСТ, ТУ) и иные сведения, имеющие значение для Договора]</w:t>
      </w:r>
    </w:p>
    <w:p>
      <w:pPr>
        <w:pStyle w:val="Normal"/>
        <w:widowControl w:val="false"/>
        <w:rPr>
          <w:b/>
          <w:bCs/>
          <w:sz w:val="20"/>
          <w:szCs w:val="20"/>
          <w:highlight w:val="white"/>
        </w:rPr>
      </w:pPr>
      <w:r>
        <w:rPr>
          <w:i/>
          <w:sz w:val="20"/>
          <w:szCs w:val="20"/>
          <w:highlight w:val="white"/>
        </w:rPr>
        <w:t xml:space="preserve">*По требованию Заказчика Поставщик обязан представить запрашиваемую информацию/документы, расчеты, обосновывающие стоимость доставки. </w:t>
      </w:r>
    </w:p>
    <w:sectPr>
      <w:headerReference w:type="default" r:id="rId13"/>
      <w:headerReference w:type="first" r:id="rId14"/>
      <w:type w:val="nextPage"/>
      <w:pgSz w:orient="landscape" w:w="16838" w:h="11906"/>
      <w:pgMar w:left="992" w:right="1134" w:gutter="0" w:header="680" w:top="737" w:footer="0" w:bottom="851"/>
      <w:pgNumType w:fmt="decimal"/>
      <w:formProt w:val="false"/>
      <w:titlePg/>
      <w:textDirection w:val="lrTb"/>
      <w:docGrid w:type="default" w:linePitch="381" w:charSpace="429495275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Calibri">
    <w:charset w:val="01"/>
    <w:family w:val="roman"/>
    <w:pitch w:val="default"/>
  </w:font>
  <w:font w:name="TimesNewRomanPSMT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ahoma">
    <w:charset w:val="01"/>
    <w:family w:val="roman"/>
    <w:pitch w:val="default"/>
  </w:font>
  <w:font w:name="Arial Unicode MS">
    <w:charset w:val="01"/>
    <w:family w:val="roman"/>
    <w:pitch w:val="default"/>
  </w:font>
  <w:font w:name="Verdana">
    <w:charset w:val="01"/>
    <w:family w:val="roman"/>
    <w:pitch w:val="default"/>
  </w:font>
  <w:font w:name="Garamond">
    <w:charset w:val="01"/>
    <w:family w:val="roman"/>
    <w:pitch w:val="default"/>
  </w:font>
  <w:font w:name="Symbol">
    <w:charset w:val="01"/>
    <w:family w:val="roman"/>
    <w:pitch w:val="default"/>
  </w:font>
  <w:font w:name="ISOCPEUR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szCs w:val="28"/>
        <w:iCs w:val="false"/>
        <w:bCs w:val="fals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cs="Times New Roman"/>
        <w:color w:val="00000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2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11.1.%1."/>
      <w:lvlJc w:val="right"/>
      <w:pPr>
        <w:tabs>
          <w:tab w:val="num" w:pos="0"/>
        </w:tabs>
        <w:ind w:left="110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qFormat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link w:val="2"/>
    <w:qFormat/>
    <w:pPr>
      <w:numPr>
        <w:ilvl w:val="0"/>
        <w:numId w:val="0"/>
      </w:numPr>
      <w:outlineLvl w:val="1"/>
    </w:pPr>
    <w:rPr/>
  </w:style>
  <w:style w:type="paragraph" w:styleId="Heading3">
    <w:name w:val="Heading 3"/>
    <w:basedOn w:val="Normal"/>
    <w:link w:val="3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link w:val="4"/>
    <w:qFormat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link w:val="5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link w:val="6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link w:val="7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link w:val="8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link w:val="9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CaptionChar" w:customStyle="1">
    <w:name w:val="Caption Char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" w:customStyle="1">
    <w:name w:val="Название Знак1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" w:customStyle="1">
    <w:name w:val="Нижний колонтитул Знак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 w:customStyle="1">
    <w:name w:val="Hyperlink"/>
    <w:uiPriority w:val="99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2" w:customStyle="1">
    <w:name w:val="Название Знак"/>
    <w:uiPriority w:val="10"/>
    <w:qFormat/>
    <w:rPr>
      <w:sz w:val="28"/>
    </w:rPr>
  </w:style>
  <w:style w:type="character" w:styleId="Style3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31" w:customStyle="1">
    <w:name w:val="Название Знак3"/>
    <w:uiPriority w:val="29"/>
    <w:qFormat/>
    <w:rPr>
      <w:rFonts w:ascii="Calibri" w:hAnsi="Calibri" w:eastAsia="Calibri"/>
      <w:i/>
      <w:iCs/>
      <w:color w:val="000000"/>
    </w:rPr>
  </w:style>
  <w:style w:type="character" w:styleId="Style4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5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21" w:customStyle="1">
    <w:name w:val="Название Знак2"/>
    <w:qFormat/>
    <w:rPr>
      <w:sz w:val="28"/>
    </w:rPr>
  </w:style>
  <w:style w:type="character" w:styleId="Style6" w:customStyle="1">
    <w:name w:val="Текст сноски Знак"/>
    <w:uiPriority w:val="99"/>
    <w:qFormat/>
    <w:rPr/>
  </w:style>
  <w:style w:type="character" w:styleId="Style7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8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9" w:customStyle="1">
    <w:name w:val="комментарий"/>
    <w:qFormat/>
    <w:rPr>
      <w:i/>
      <w:shd w:fill="FFFF99" w:val="clear"/>
    </w:rPr>
  </w:style>
  <w:style w:type="character" w:styleId="Style10" w:customStyle="1">
    <w:name w:val="Подподпункт Знак"/>
    <w:qFormat/>
    <w:rPr>
      <w:sz w:val="26"/>
      <w:szCs w:val="26"/>
    </w:rPr>
  </w:style>
  <w:style w:type="character" w:styleId="311" w:customStyle="1">
    <w:name w:val="Заголовок 3 Знак1"/>
    <w:qFormat/>
    <w:rPr>
      <w:rFonts w:eastAsia="Calibri"/>
      <w:b/>
      <w:sz w:val="24"/>
      <w:szCs w:val="24"/>
    </w:rPr>
  </w:style>
  <w:style w:type="character" w:styleId="Style11" w:customStyle="1">
    <w:name w:val="Верхний колонтитул Знак"/>
    <w:uiPriority w:val="99"/>
    <w:qFormat/>
    <w:rPr>
      <w:sz w:val="24"/>
      <w:szCs w:val="24"/>
    </w:rPr>
  </w:style>
  <w:style w:type="character" w:styleId="Style12" w:customStyle="1">
    <w:name w:val="Текст примечания Знак"/>
    <w:semiHidden/>
    <w:qFormat/>
    <w:rPr/>
  </w:style>
  <w:style w:type="character" w:styleId="Style13" w:customStyle="1">
    <w:name w:val="Текст концевой сноски Знак"/>
    <w:basedOn w:val="DefaultParagraphFont"/>
    <w:qFormat/>
    <w:rPr/>
  </w:style>
  <w:style w:type="character" w:styleId="Style14">
    <w:name w:val="Символ концевой сноски"/>
    <w:basedOn w:val="DefaultParagraphFont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qFormat/>
    <w:rPr>
      <w:b/>
      <w:sz w:val="28"/>
    </w:rPr>
  </w:style>
  <w:style w:type="character" w:styleId="12" w:customStyle="1">
    <w:name w:val="УРОВЕНЬ_1. Знак"/>
    <w:link w:val="Style22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главление 3 Знак"/>
    <w:link w:val="33"/>
    <w:qFormat/>
    <w:rPr>
      <w:sz w:val="16"/>
      <w:szCs w:val="16"/>
    </w:rPr>
  </w:style>
  <w:style w:type="character" w:styleId="Fontstyle01" w:customStyle="1">
    <w:name w:val="fontstyle01"/>
    <w:basedOn w:val="DefaultParagraphFont"/>
    <w:qFormat/>
    <w:rsid w:val="004e3dff"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5" w:customStyle="1">
    <w:name w:val="Ссылка указателя"/>
    <w:qFormat/>
    <w:rPr/>
  </w:style>
  <w:style w:type="character" w:styleId="14" w:customStyle="1">
    <w:name w:val="Гиперссылка1"/>
    <w:uiPriority w:val="99"/>
    <w:qFormat/>
    <w:rsid w:val="00de7be1"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</w:rPr>
  </w:style>
  <w:style w:type="paragraph" w:styleId="Caption1">
    <w:name w:val="caption1"/>
    <w:basedOn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link w:val="3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Style18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19" w:customStyle="1">
    <w:name w:val="Раздел положения"/>
    <w:basedOn w:val="Normal"/>
    <w:qFormat/>
    <w:p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qFormat/>
    <w:pPr>
      <w:spacing w:before="80" w:after="80"/>
      <w:jc w:val="both"/>
    </w:pPr>
    <w:rPr/>
  </w:style>
  <w:style w:type="paragraph" w:styleId="FootnoteText">
    <w:name w:val="Footnote Text"/>
    <w:basedOn w:val="Normal"/>
    <w:uiPriority w:val="99"/>
    <w:qFormat/>
    <w:pPr/>
    <w:rPr>
      <w:sz w:val="20"/>
      <w:szCs w:val="20"/>
    </w:rPr>
  </w:style>
  <w:style w:type="paragraph" w:styleId="16" w:customStyle="1">
    <w:name w:val="Шапка 1"/>
    <w:basedOn w:val="Normal"/>
    <w:qFormat/>
    <w:pPr>
      <w:pBdr>
        <w:bottom w:val="single" w:sz="24" w:space="1" w:color="00000A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Заголовок 2 Знак1"/>
    <w:basedOn w:val="Normal"/>
    <w:qFormat/>
    <w:pPr>
      <w:pBdr>
        <w:bottom w:val="single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link w:val="32"/>
    <w:qFormat/>
    <w:pPr>
      <w:pBdr>
        <w:bottom w:val="single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3" w:customStyle="1">
    <w:name w:val="Пункт2"/>
    <w:basedOn w:val="Normal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pPr/>
    <w:rPr/>
  </w:style>
  <w:style w:type="paragraph" w:styleId="Style24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4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uiPriority w:val="39"/>
    <w:qFormat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2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Основной текст с отступом 3 Знак"/>
    <w:basedOn w:val="Normal"/>
    <w:qFormat/>
    <w:pPr>
      <w:jc w:val="both"/>
    </w:pPr>
    <w:rPr>
      <w:rFonts w:ascii="Garamond" w:hAnsi="Garamond"/>
      <w:sz w:val="24"/>
      <w:szCs w:val="20"/>
    </w:rPr>
  </w:style>
  <w:style w:type="paragraph" w:styleId="312" w:customStyle="1">
    <w:name w:val="Список 31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5" w:customStyle="1">
    <w:name w:val="Нумерованный список ур2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bidi w:val="0"/>
      <w:spacing w:before="0" w:after="0"/>
      <w:jc w:val="left"/>
    </w:pPr>
    <w:rPr>
      <w:rFonts w:eastAsia="Calibri" w:ascii="Times New Roman" w:hAnsi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00000A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29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qFormat/>
    <w:pPr>
      <w:tabs>
        <w:tab w:val="left" w:pos="1134" w:leader="none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31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6" w:customStyle="1">
    <w:name w:val="Оглавление 2 Знак"/>
    <w:basedOn w:val="ListParagraph"/>
    <w:qFormat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13" w:customStyle="1">
    <w:name w:val="Основной текст с отступом 3 Знак1"/>
    <w:basedOn w:val="ListParagraph"/>
    <w:qFormat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</w:rPr>
  </w:style>
  <w:style w:type="paragraph" w:styleId="EndnoteText">
    <w:name w:val="Endnote Text"/>
    <w:basedOn w:val="Normal"/>
    <w:qFormat/>
    <w:pPr/>
    <w:rPr>
      <w:sz w:val="20"/>
      <w:szCs w:val="20"/>
    </w:rPr>
  </w:style>
  <w:style w:type="paragraph" w:styleId="27" w:customStyle="1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sz w:val="24"/>
      <w:szCs w:val="20"/>
    </w:rPr>
  </w:style>
  <w:style w:type="paragraph" w:styleId="Style33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11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</w:style>
  <w:style w:type="numbering" w:styleId="28" w:customStyle="1">
    <w:name w:val="Стиль2"/>
    <w:uiPriority w:val="9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3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2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yperlink" Target="http://files.stroyinf.ru/Index2/1/4294849/4294849606.htm" TargetMode="External"/><Relationship Id="rId7" Type="http://schemas.openxmlformats.org/officeDocument/2006/relationships/hyperlink" Target="http://legalacts.ru/doc/FZ-ob-othodah-proizvodstva-i-potreblenija/" TargetMode="External"/><Relationship Id="rId8" Type="http://schemas.openxmlformats.org/officeDocument/2006/relationships/hyperlink" Target="http://www.consultant.ru/document/cons_doc_LAW_34823/" TargetMode="Externa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header" Target="header10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E73FE-7F85-4B3E-9A5F-DD7C25DB6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Application>AlterOffice/3.4.0.8$Linux_X86_64 LibreOffice_project/8f3f3c847f0b8d6fea24e251d3d8ed4f23cbe23c</Application>
  <AppVersion>15.0000</AppVersion>
  <DocSecurity>0</DocSecurity>
  <Pages>12</Pages>
  <Words>1852</Words>
  <Characters>12278</Characters>
  <CharactersWithSpaces>13781</CharactersWithSpaces>
  <Paragraphs>355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2026-07-29T08:08:00Z</dcterms:created>
  <dc:creator>Быстров Олег Геннадьевич</dc:creator>
  <dc:description/>
  <dc:language>ru-RU</dc:language>
  <cp:lastModifiedBy>yuhimchukvs</cp:lastModifiedBy>
  <dcterms:modified xsi:type="dcterms:W3CDTF">2026-07-29T15:42:34Z</dcterms:modified>
  <cp:revision>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