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szCs w:val="24"/>
        </w:rPr>
      </w:pPr>
      <w:r>
        <w:rPr>
          <w:rFonts w:cs="Times New Roman"/>
          <w:b/>
          <w:color w:val="000000"/>
          <w:szCs w:val="24"/>
        </w:rPr>
        <w:t>ТЕХНИЧЕСКИЕ ТРЕБОВАНИЯ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center"/>
        <w:outlineLvl w:val="0"/>
        <w:rPr>
          <w:szCs w:val="24"/>
          <w:highlight w:val="yellow"/>
        </w:rPr>
      </w:pPr>
      <w:r>
        <w:rPr>
          <w:szCs w:val="24"/>
          <w:highlight w:val="yellow"/>
        </w:rPr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center"/>
        <w:outlineLvl w:val="0"/>
        <w:rPr>
          <w:highlight w:val="none"/>
          <w:shd w:fill="auto" w:val="clear"/>
        </w:rPr>
      </w:pPr>
      <w:r>
        <w:rPr>
          <w:rFonts w:cs="Times New Roman" w:ascii="Times New Roman;Times;serif" w:hAnsi="Times New Roman;Times;serif"/>
          <w:color w:val="000000"/>
          <w:szCs w:val="24"/>
          <w:shd w:fill="auto" w:val="clear"/>
        </w:rPr>
        <w:t>ОКПД2 28.14.13 Поставка запорной арматуры для выполнения работ на Новосибирской ГЭС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center"/>
        <w:outlineLvl w:val="0"/>
        <w:rPr>
          <w:highlight w:val="none"/>
          <w:shd w:fill="auto" w:val="clear"/>
        </w:rPr>
      </w:pPr>
      <w:r>
        <w:rPr>
          <w:rFonts w:cs="Times New Roman" w:ascii="Times New Roman;Times;serif" w:hAnsi="Times New Roman;Times;serif"/>
          <w:color w:val="000000"/>
          <w:szCs w:val="24"/>
          <w:shd w:fill="auto" w:val="clear"/>
        </w:rPr>
        <w:t>(Лот №0065-ТПИР ОБСЛ ДОХ-2026-ГРВКК-СШФ)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center"/>
        <w:outlineLvl w:val="0"/>
        <w:rPr>
          <w:rFonts w:eastAsia="Geneva" w:cs="Times New Roman"/>
          <w:color w:val="000000"/>
          <w:szCs w:val="24"/>
        </w:rPr>
      </w:pPr>
      <w:r>
        <w:rPr>
          <w:rFonts w:eastAsia="Geneva" w:cs="Times New Roman"/>
          <w:color w:val="000000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center"/>
        <w:outlineLvl w:val="0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outlineLvl w:val="0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</w:r>
    </w:p>
    <w:p>
      <w:pPr>
        <w:pStyle w:val="Normal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center"/>
        <w:outlineLvl w:val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jc w:val="center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keepNext w:val="true"/>
        <w:keepLines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  <w:r>
        <w:br w:type="page"/>
      </w:r>
    </w:p>
    <w:p>
      <w:pPr>
        <w:pStyle w:val="Heading4"/>
        <w:numPr>
          <w:ilvl w:val="0"/>
          <w:numId w:val="5"/>
        </w:numPr>
        <w:tabs>
          <w:tab w:val="clear" w:pos="709"/>
          <w:tab w:val="left" w:pos="0" w:leader="none"/>
        </w:tabs>
        <w:ind w:left="426" w:hanging="360"/>
        <w:jc w:val="center"/>
        <w:rPr/>
      </w:pPr>
      <w:r>
        <w:rPr>
          <w:color w:val="000000"/>
        </w:rPr>
        <w:t>Общие сведения</w:t>
      </w:r>
    </w:p>
    <w:p>
      <w:pPr>
        <w:pStyle w:val="Normal"/>
        <w:tabs>
          <w:tab w:val="clear" w:pos="720"/>
          <w:tab w:val="left" w:pos="0" w:leader="none"/>
        </w:tabs>
        <w:ind w:left="426" w:hanging="36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p>
      <w:pPr>
        <w:pStyle w:val="Heading4"/>
        <w:numPr>
          <w:ilvl w:val="1"/>
          <w:numId w:val="6"/>
        </w:numPr>
        <w:ind w:left="0" w:firstLine="709"/>
        <w:rPr/>
      </w:pPr>
      <w:bookmarkStart w:id="0" w:name="_Toc46743506"/>
      <w:bookmarkStart w:id="1" w:name="_Toc75446568"/>
      <w:bookmarkStart w:id="2" w:name="_Toc75446569"/>
      <w:bookmarkEnd w:id="2"/>
      <w:r>
        <w:rPr>
          <w:color w:val="000000"/>
        </w:rPr>
        <w:t>Наименование закупаемой продукции</w:t>
      </w:r>
      <w:bookmarkEnd w:id="0"/>
      <w:bookmarkEnd w:id="1"/>
    </w:p>
    <w:p>
      <w:pPr>
        <w:pStyle w:val="Normal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both"/>
        <w:outlineLvl w:val="0"/>
        <w:rPr>
          <w:szCs w:val="24"/>
        </w:rPr>
      </w:pPr>
      <w:r>
        <w:rPr>
          <w:rFonts w:cs="Times New Roman" w:ascii="Times New Roman;Times;serif" w:hAnsi="Times New Roman;Times;serif"/>
          <w:color w:val="000000"/>
          <w:szCs w:val="24"/>
          <w:lang w:val="x-none"/>
        </w:rPr>
        <w:tab/>
      </w:r>
      <w:r>
        <w:rPr>
          <w:rFonts w:cs="Times New Roman" w:ascii="Times New Roman;Times;serif" w:hAnsi="Times New Roman;Times;serif"/>
          <w:color w:val="000000"/>
          <w:szCs w:val="24"/>
          <w:shd w:fill="auto" w:val="clear"/>
          <w:lang w:val="x-none"/>
        </w:rPr>
        <w:t>ОКПД2 28.14.13 Поставка запорной арматуры для выполнения работ на Новосибирской ГЭС</w:t>
      </w:r>
      <w:r>
        <w:rPr>
          <w:color w:val="000000"/>
          <w:szCs w:val="24"/>
        </w:rPr>
        <w:t xml:space="preserve"> (далее – продукция).</w:t>
      </w:r>
    </w:p>
    <w:p>
      <w:pPr>
        <w:pStyle w:val="Normal"/>
        <w:ind w:firstLine="419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p>
      <w:pPr>
        <w:pStyle w:val="Heading4"/>
        <w:numPr>
          <w:ilvl w:val="1"/>
          <w:numId w:val="6"/>
        </w:numPr>
        <w:ind w:left="0" w:firstLine="709"/>
        <w:rPr/>
      </w:pPr>
      <w:bookmarkStart w:id="3" w:name="_Toc46743507"/>
      <w:bookmarkStart w:id="4" w:name="_Toc75446569_Копия_1"/>
      <w:bookmarkEnd w:id="4"/>
      <w:r>
        <w:rPr>
          <w:color w:val="000000"/>
        </w:rPr>
        <w:t xml:space="preserve">Цель </w:t>
      </w:r>
      <w:bookmarkEnd w:id="3"/>
      <w:r>
        <w:rPr>
          <w:color w:val="000000"/>
        </w:rPr>
        <w:t xml:space="preserve">использования закупаемой продукции </w:t>
      </w:r>
    </w:p>
    <w:p>
      <w:pPr>
        <w:pStyle w:val="Heading4"/>
        <w:jc w:val="both"/>
        <w:rPr/>
      </w:pPr>
      <w:r>
        <w:rPr>
          <w:rStyle w:val="Style"/>
          <w:b w:val="false"/>
          <w:bCs w:val="false"/>
          <w:i w:val="false"/>
          <w:color w:val="000000"/>
          <w:shd w:fill="FFFFFF" w:val="clear"/>
        </w:rPr>
        <w:t>Исполнение обязательств по Договору подряда</w:t>
      </w:r>
      <w:r>
        <w:rPr>
          <w:b w:val="false"/>
          <w:bCs w:val="false"/>
          <w:color w:val="000000"/>
        </w:rPr>
        <w:t xml:space="preserve"> 8-ТПиР-2025 от 29.07.2025 «Монтаж и наладка оборудования системы маслохозяйства Новосибирской ГЭС в рамках инвестиционного проекта I_T-1260-022»,</w:t>
      </w:r>
      <w:r>
        <w:rPr>
          <w:rStyle w:val="Style"/>
          <w:b w:val="false"/>
          <w:bCs w:val="false"/>
          <w:i w:val="false"/>
          <w:color w:val="000000"/>
          <w:szCs w:val="24"/>
          <w:shd w:fill="auto" w:val="clear"/>
        </w:rPr>
        <w:t xml:space="preserve"> заключенного между ф</w:t>
      </w:r>
      <w:r>
        <w:rPr>
          <w:b w:val="false"/>
          <w:bCs w:val="false"/>
        </w:rPr>
        <w:t>илиалом ПАО «РусГидро» - «Новосибирская ГЭС» и АО «Гидроремонт-ВКК».</w:t>
      </w:r>
    </w:p>
    <w:p>
      <w:pPr>
        <w:pStyle w:val="Normal"/>
        <w:ind w:firstLine="454"/>
        <w:rPr>
          <w:rFonts w:cs="Times New Roman"/>
          <w:bCs/>
          <w:color w:val="000000"/>
          <w:sz w:val="16"/>
          <w:szCs w:val="16"/>
          <w:shd w:fill="FFFFFF" w:val="clear"/>
        </w:rPr>
      </w:pPr>
      <w:r>
        <w:rPr>
          <w:rFonts w:cs="Times New Roman"/>
          <w:bCs/>
          <w:color w:val="000000"/>
          <w:sz w:val="16"/>
          <w:szCs w:val="16"/>
          <w:shd w:fill="FFFFFF" w:val="clear"/>
        </w:rPr>
      </w:r>
    </w:p>
    <w:p>
      <w:pPr>
        <w:pStyle w:val="Heading1"/>
        <w:numPr>
          <w:ilvl w:val="0"/>
          <w:numId w:val="5"/>
        </w:numPr>
        <w:tabs>
          <w:tab w:val="clear" w:pos="0"/>
          <w:tab w:val="clear" w:pos="709"/>
        </w:tabs>
        <w:ind w:left="426" w:hanging="360"/>
        <w:jc w:val="center"/>
        <w:rPr>
          <w:sz w:val="24"/>
          <w:szCs w:val="24"/>
        </w:rPr>
      </w:pPr>
      <w:bookmarkStart w:id="5" w:name="_Toc75446573"/>
      <w:bookmarkStart w:id="6" w:name="_Toc51339693"/>
      <w:r>
        <w:rPr>
          <w:color w:val="000000"/>
          <w:sz w:val="24"/>
          <w:szCs w:val="24"/>
        </w:rPr>
        <w:t>Требования к продукции</w:t>
      </w:r>
      <w:bookmarkEnd w:id="5"/>
      <w:bookmarkEnd w:id="6"/>
    </w:p>
    <w:p>
      <w:pPr>
        <w:pStyle w:val="Normal"/>
        <w:rPr>
          <w:rFonts w:cs="Times New Roman"/>
          <w:color w:val="000000"/>
          <w:sz w:val="16"/>
          <w:szCs w:val="16"/>
          <w:lang w:eastAsia="x-none"/>
        </w:rPr>
      </w:pPr>
      <w:r>
        <w:rPr>
          <w:rFonts w:cs="Times New Roman"/>
          <w:color w:val="000000"/>
          <w:sz w:val="16"/>
          <w:szCs w:val="16"/>
          <w:lang w:eastAsia="x-none"/>
        </w:rPr>
      </w:r>
    </w:p>
    <w:p>
      <w:pPr>
        <w:pStyle w:val="Heading4"/>
        <w:numPr>
          <w:ilvl w:val="1"/>
          <w:numId w:val="5"/>
        </w:numPr>
        <w:tabs>
          <w:tab w:val="clear" w:pos="0"/>
          <w:tab w:val="left" w:pos="709" w:leader="none"/>
        </w:tabs>
        <w:ind w:left="1134" w:hanging="360"/>
        <w:rPr/>
      </w:pPr>
      <w:bookmarkStart w:id="7" w:name="_Toc75446574"/>
      <w:r>
        <w:rPr>
          <w:color w:val="000000"/>
        </w:rPr>
        <w:t xml:space="preserve">Требования к объемам и срокам </w:t>
      </w:r>
      <w:r>
        <w:rPr>
          <w:color w:val="000000"/>
          <w:lang w:val="ru-RU"/>
        </w:rPr>
        <w:t>поставки</w:t>
      </w:r>
      <w:bookmarkEnd w:id="7"/>
    </w:p>
    <w:p>
      <w:pPr>
        <w:pStyle w:val="Heading3"/>
        <w:numPr>
          <w:ilvl w:val="2"/>
          <w:numId w:val="5"/>
        </w:numPr>
        <w:tabs>
          <w:tab w:val="clear" w:pos="0"/>
          <w:tab w:val="left" w:pos="709" w:leader="none"/>
        </w:tabs>
        <w:ind w:left="0" w:firstLine="709"/>
        <w:rPr/>
      </w:pPr>
      <w:bookmarkStart w:id="8" w:name="_Toc75446575"/>
      <w:r>
        <w:rPr>
          <w:color w:val="000000"/>
        </w:rPr>
        <w:t>Перечень и объем закупаемой продукции</w:t>
      </w:r>
      <w:bookmarkEnd w:id="8"/>
    </w:p>
    <w:p>
      <w:pPr>
        <w:pStyle w:val="Normal"/>
        <w:rPr>
          <w:rFonts w:cs="Times New Roman"/>
          <w:color w:val="000000"/>
          <w:sz w:val="16"/>
          <w:szCs w:val="16"/>
          <w:lang w:val="x-none" w:eastAsia="x-none"/>
        </w:rPr>
      </w:pPr>
      <w:r>
        <w:rPr>
          <w:rFonts w:cs="Times New Roman"/>
          <w:color w:val="000000"/>
          <w:sz w:val="16"/>
          <w:szCs w:val="16"/>
          <w:lang w:val="x-none" w:eastAsia="x-none"/>
        </w:rPr>
      </w:r>
    </w:p>
    <w:p>
      <w:pPr>
        <w:pStyle w:val="Normal"/>
        <w:jc w:val="both"/>
        <w:rPr>
          <w:szCs w:val="24"/>
        </w:rPr>
      </w:pPr>
      <w:bookmarkStart w:id="9" w:name="_Toc75446576"/>
      <w:bookmarkStart w:id="10" w:name="_Toc51339695"/>
      <w:r>
        <w:rPr>
          <w:rFonts w:cs="Times New Roman"/>
          <w:color w:val="000000"/>
          <w:szCs w:val="24"/>
        </w:rPr>
        <w:t xml:space="preserve">Таблица 2.1 Перечень </w:t>
      </w:r>
      <w:bookmarkEnd w:id="10"/>
      <w:r>
        <w:rPr>
          <w:rFonts w:cs="Times New Roman"/>
          <w:color w:val="000000"/>
          <w:szCs w:val="24"/>
        </w:rPr>
        <w:t>и объем закупаемой продукци</w:t>
      </w:r>
      <w:bookmarkEnd w:id="9"/>
      <w:r>
        <w:rPr>
          <w:rFonts w:cs="Times New Roman"/>
          <w:color w:val="000000"/>
          <w:szCs w:val="24"/>
        </w:rPr>
        <w:t>и</w:t>
      </w:r>
    </w:p>
    <w:tbl>
      <w:tblPr>
        <w:tblW w:w="964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4"/>
        <w:gridCol w:w="7104"/>
        <w:gridCol w:w="998"/>
        <w:gridCol w:w="946"/>
      </w:tblGrid>
      <w:tr>
        <w:trPr>
          <w:trHeight w:val="691" w:hRule="atLeast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п/п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Наименование продукции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</w:rPr>
              <w:t>Ед</w:t>
            </w:r>
            <w:r>
              <w:rPr>
                <w:rFonts w:cs="Times New Roman"/>
                <w:color w:val="000000"/>
                <w:szCs w:val="24"/>
                <w:lang w:val="en-US"/>
              </w:rPr>
              <w:t>.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  <w:lang w:val="en-US"/>
              </w:rPr>
              <w:t>и</w:t>
            </w:r>
            <w:r>
              <w:rPr>
                <w:rFonts w:cs="Times New Roman"/>
                <w:color w:val="000000"/>
                <w:szCs w:val="24"/>
              </w:rPr>
              <w:t>зм</w:t>
            </w:r>
            <w:r>
              <w:rPr>
                <w:rFonts w:cs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Кол</w:t>
            </w:r>
            <w:r>
              <w:rPr>
                <w:rFonts w:cs="Times New Roman"/>
                <w:color w:val="000000"/>
                <w:szCs w:val="24"/>
                <w:lang w:val="en-US"/>
              </w:rPr>
              <w:t>-</w:t>
            </w:r>
            <w:r>
              <w:rPr>
                <w:rFonts w:cs="Times New Roman"/>
                <w:color w:val="000000"/>
                <w:szCs w:val="24"/>
              </w:rPr>
              <w:t>во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4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0" w:hanging="0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false"/>
              <w:jc w:val="both"/>
              <w:rPr>
                <w:color w:val="000000"/>
              </w:rPr>
            </w:pPr>
            <w:r>
              <w:rPr>
                <w:color w:val="000000"/>
                <w:sz w:val="22"/>
              </w:rPr>
              <w:t>Кран шаровой муфтовый Ду 25; Ру 1,6МПа, КШ.М.025.016-00.00, ЗАО Гирас</w:t>
            </w: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шт</w:t>
            </w:r>
          </w:p>
        </w:tc>
        <w:tc>
          <w:tcPr>
            <w:tcW w:w="9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21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0" w:hanging="0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7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2"/>
              </w:rPr>
              <w:t>Кран шаровой фланцевый с редуктором Ду 80; Ру 1,6 МПа ВД2.611.44Ф3-ЕЛ с БКВ А 250 в комплекте с ответными фланцами исп.2, прокладками и крепежом, ЗАО АРМАТЭК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комп.</w:t>
            </w:r>
          </w:p>
        </w:tc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0" w:hanging="0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7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2"/>
              </w:rPr>
              <w:t>Кран шаровой фланцевый с рукояткой Ду 25; Ру 1,6МПа  в комплекте с ответными   фланцами исп.2, прокладками и крепежом ВД1.606.44Ф7-ЕU, ЗАО АРМАТЭК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комп.</w:t>
            </w:r>
          </w:p>
        </w:tc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7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0" w:hanging="0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7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2"/>
              </w:rPr>
              <w:t>Кран шаровой фланцевый с рукояткой Ду 80; Ру 1,6МПа в комплекте с ответными фланцами исп.2, прокладками и крепежом ВД1.611.44Ф7-ЕU, ЗАО АРМАТЭК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комп.</w:t>
            </w:r>
          </w:p>
        </w:tc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35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0" w:hanging="0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7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2"/>
              </w:rPr>
              <w:t>Кран трехходовой для манометра Ду 15; Ру 1,6 МПа, Модель 910.10, АО "ВИКА МЕРА"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шт</w:t>
            </w:r>
          </w:p>
        </w:tc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0" w:hanging="0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7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2"/>
              </w:rPr>
              <w:t>Кран шаровой фланцевый Ду 25; Ру 1,6МПа, КШ.Ф.025.016-00, ЗАО "ГИРАС"</w:t>
            </w:r>
            <w:bookmarkStart w:id="11" w:name="_GoBack"/>
            <w:bookmarkEnd w:id="11"/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шт</w:t>
            </w:r>
          </w:p>
        </w:tc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0" w:hanging="0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7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2"/>
              </w:rPr>
              <w:t>Кран шаровой фланцевый с редуктором Ду 50 Ру 1,6МПа  в комплекте с БКВ  А250 с ответными фланцами, исп.2, прокладками и крепежом, ВД2.609.44ФЗ-ЕЛ, ЗАО"АРМАТЭК"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комп.</w:t>
            </w:r>
          </w:p>
        </w:tc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0" w:hanging="0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7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2"/>
              </w:rPr>
              <w:t>Клапан обратный фланцевый, 16нж10n, Ду 50; Ру 1,6 Мпа,</w:t>
            </w:r>
            <w:bookmarkStart w:id="12" w:name="_GoBack_Копия_1"/>
            <w:bookmarkEnd w:id="12"/>
            <w:r>
              <w:rPr>
                <w:color w:val="000000"/>
                <w:sz w:val="22"/>
              </w:rPr>
              <w:t xml:space="preserve"> в комплекте с ответными фланцами и крепежом, Пермский трубопроводный завод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ком-т</w:t>
            </w:r>
          </w:p>
        </w:tc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0" w:hanging="0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7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2"/>
              </w:rPr>
              <w:t>Задвижка клиновая с выдвижным шпинделем фланцевая   Ду100, Ру1,6 МПа 30с41нж в комплекте с ответными фланцами, прокладками и крепежом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шт</w:t>
            </w:r>
          </w:p>
        </w:tc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0" w:hanging="0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7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2"/>
              </w:rPr>
              <w:t>Кран шаровый спускной с наружной резьбой латунный  Ду 15; Ру 1,0 МПа с изогнутым спуском «Ридан», артикул 065B8300RG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компл.</w:t>
            </w:r>
          </w:p>
        </w:tc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0" w:hanging="0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7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2"/>
              </w:rPr>
              <w:t>Кран шаровой фланцевый с рукояткой, Ду 25; Ру 1,6МПа, КШ.Ф.025.016-01, ГИРАС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шт</w:t>
            </w:r>
          </w:p>
        </w:tc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3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0" w:hanging="0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7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2"/>
              </w:rPr>
              <w:t>Кран шаровой фланцевый Ду 50; Ру 1,6 МПа с рукояткой в комплекте с ответными фланцами, прокладками и крепежом  ВД1.609.44Ф7-ЕU, ЗАО АРМАТЭК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компл.</w:t>
            </w:r>
          </w:p>
        </w:tc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0" w:hanging="0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7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2"/>
              </w:rPr>
              <w:t>Кран шаровой фланцевый с редуктором Ду 50; Ру 1,6 МПа ВД2.609.44Ф7-EUс БКВ А250, в комплекте с ответными фланцами, прокладками и крепежом, ЗАО АРМАТЭК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комп.</w:t>
            </w:r>
          </w:p>
        </w:tc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</w:t>
            </w:r>
          </w:p>
        </w:tc>
      </w:tr>
    </w:tbl>
    <w:p>
      <w:pPr>
        <w:pStyle w:val="Normal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Heading3"/>
        <w:numPr>
          <w:ilvl w:val="2"/>
          <w:numId w:val="5"/>
        </w:numPr>
        <w:tabs>
          <w:tab w:val="clear" w:pos="0"/>
          <w:tab w:val="left" w:pos="709" w:leader="none"/>
        </w:tabs>
        <w:ind w:left="0" w:firstLine="709"/>
        <w:rPr/>
      </w:pPr>
      <w:bookmarkStart w:id="13" w:name="_Toc75446578"/>
      <w:bookmarkStart w:id="14" w:name="_Toc51339696"/>
      <w:r>
        <w:rPr>
          <w:color w:val="000000"/>
        </w:rPr>
        <w:t xml:space="preserve">Требования </w:t>
      </w:r>
      <w:bookmarkEnd w:id="14"/>
      <w:r>
        <w:rPr>
          <w:color w:val="000000"/>
        </w:rPr>
        <w:t xml:space="preserve">к срокам поставки продукции </w:t>
      </w:r>
      <w:bookmarkEnd w:id="13"/>
    </w:p>
    <w:p>
      <w:pPr>
        <w:pStyle w:val="Normal"/>
        <w:rPr>
          <w:szCs w:val="24"/>
        </w:rPr>
      </w:pPr>
      <w:bookmarkStart w:id="15" w:name="_Toc75446579"/>
      <w:bookmarkStart w:id="16" w:name="_Toc50125127"/>
      <w:bookmarkStart w:id="17" w:name="_Toc51339697"/>
      <w:r>
        <w:rPr>
          <w:rFonts w:cs="Times New Roman"/>
          <w:color w:val="000000"/>
          <w:szCs w:val="24"/>
          <w:lang w:eastAsia="x-none"/>
        </w:rPr>
        <w:t xml:space="preserve">Таблица 2.2 </w:t>
      </w:r>
      <w:bookmarkStart w:id="18" w:name="_Hlk50465284"/>
      <w:r>
        <w:rPr>
          <w:rFonts w:cs="Times New Roman"/>
          <w:color w:val="000000"/>
          <w:szCs w:val="24"/>
          <w:lang w:eastAsia="x-none"/>
        </w:rPr>
        <w:t xml:space="preserve">Требования по срокам </w:t>
      </w:r>
      <w:bookmarkEnd w:id="16"/>
      <w:bookmarkEnd w:id="17"/>
      <w:bookmarkEnd w:id="18"/>
      <w:r>
        <w:rPr>
          <w:rFonts w:cs="Times New Roman"/>
          <w:color w:val="000000"/>
          <w:szCs w:val="24"/>
          <w:lang w:eastAsia="x-none"/>
        </w:rPr>
        <w:t>поставки продукции</w:t>
      </w:r>
      <w:bookmarkEnd w:id="15"/>
      <w:r>
        <w:rPr>
          <w:rFonts w:cs="Times New Roman"/>
          <w:color w:val="000000"/>
          <w:szCs w:val="24"/>
          <w:lang w:eastAsia="x-none"/>
        </w:rPr>
        <w:t xml:space="preserve"> </w:t>
      </w:r>
    </w:p>
    <w:tbl>
      <w:tblPr>
        <w:tblW w:w="9944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89"/>
        <w:gridCol w:w="4802"/>
        <w:gridCol w:w="1771"/>
        <w:gridCol w:w="2481"/>
      </w:tblGrid>
      <w:tr>
        <w:trPr/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№ </w:t>
            </w:r>
            <w:r>
              <w:rPr>
                <w:rFonts w:cs="Times New Roman"/>
                <w:color w:val="000000"/>
                <w:szCs w:val="24"/>
              </w:rPr>
              <w:t>п/п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Наименование продукции / партии продукции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3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4</w:t>
            </w:r>
          </w:p>
        </w:tc>
      </w:tr>
      <w:tr>
        <w:trPr>
          <w:trHeight w:val="925" w:hRule="atLeast"/>
        </w:trPr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70" w:hanging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1.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900" w:leader="none"/>
              </w:tabs>
              <w:spacing w:lineRule="auto" w:line="276"/>
              <w:ind w:left="0" w:hanging="0"/>
              <w:jc w:val="center"/>
              <w:outlineLvl w:val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;Times;serif" w:hAnsi="Times New Roman;Times;serif"/>
                <w:color w:val="000000"/>
                <w:szCs w:val="24"/>
                <w:shd w:fill="auto" w:val="clear"/>
              </w:rPr>
              <w:t>ОКПД2 28.14.13 Поставка запорной арматуры для выполнения работ на Новосибирской ГЭС</w:t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С даты подписания договора</w:t>
            </w: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В течение 210 дней с даты подписания договора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418" w:right="707" w:gutter="0" w:header="0" w:top="567" w:footer="78" w:bottom="567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ListParagraph"/>
        <w:numPr>
          <w:ilvl w:val="1"/>
          <w:numId w:val="5"/>
        </w:numPr>
        <w:spacing w:before="0" w:after="0"/>
        <w:ind w:left="1077" w:hanging="340"/>
        <w:contextualSpacing/>
        <w:rPr>
          <w:szCs w:val="24"/>
        </w:rPr>
      </w:pPr>
      <w:r>
        <w:rPr>
          <w:rFonts w:cs="Times New Roman"/>
          <w:b/>
          <w:bCs/>
          <w:color w:val="000000"/>
          <w:szCs w:val="24"/>
          <w:lang w:eastAsia="x-none"/>
        </w:rPr>
        <w:t xml:space="preserve">Требования к качеству продукции </w:t>
      </w:r>
    </w:p>
    <w:p>
      <w:pPr>
        <w:pStyle w:val="Normal"/>
        <w:rPr>
          <w:rFonts w:cs="Times New Roman"/>
          <w:color w:val="000000"/>
          <w:sz w:val="16"/>
          <w:szCs w:val="16"/>
          <w:lang w:eastAsia="x-none"/>
        </w:rPr>
      </w:pPr>
      <w:r>
        <w:rPr>
          <w:rFonts w:cs="Times New Roman"/>
          <w:color w:val="000000"/>
          <w:sz w:val="16"/>
          <w:szCs w:val="16"/>
          <w:lang w:eastAsia="x-none"/>
        </w:rPr>
      </w:r>
    </w:p>
    <w:p>
      <w:pPr>
        <w:pStyle w:val="Normal"/>
        <w:ind w:left="0" w:right="0" w:hanging="0"/>
        <w:rPr>
          <w:rFonts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eastAsia="x-none"/>
        </w:rPr>
        <w:t xml:space="preserve">     </w:t>
      </w:r>
      <w:r>
        <w:rPr>
          <w:rFonts w:cs="Times New Roman"/>
          <w:color w:val="000000"/>
          <w:sz w:val="24"/>
          <w:szCs w:val="24"/>
          <w:lang w:eastAsia="x-none"/>
        </w:rPr>
        <w:t>Наименование продукции (Таблицы 2.1):</w:t>
      </w:r>
      <w:r>
        <w:rPr>
          <w:rFonts w:eastAsia="Calibri" w:cs="Times New Roman" w:ascii="Times New Roman;Times;serif" w:hAnsi="Times New Roman;Times;serif"/>
          <w:color w:val="000000"/>
          <w:sz w:val="24"/>
          <w:szCs w:val="24"/>
          <w:shd w:fill="auto" w:val="clear"/>
          <w:lang w:eastAsia="en-US"/>
        </w:rPr>
        <w:t>ОКПД2 28.14.13 Поставка запорной арматуры для выполнения работ на Новосибирской ГЭС</w:t>
      </w:r>
    </w:p>
    <w:tbl>
      <w:tblPr>
        <w:tblW w:w="1453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2744"/>
        <w:gridCol w:w="2565"/>
        <w:gridCol w:w="2634"/>
        <w:gridCol w:w="3036"/>
        <w:gridCol w:w="2853"/>
      </w:tblGrid>
      <w:tr>
        <w:trPr>
          <w:trHeight w:val="1241" w:hRule="atLeast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2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2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Требование заказчика</w:t>
            </w:r>
          </w:p>
        </w:tc>
        <w:tc>
          <w:tcPr>
            <w:tcW w:w="5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7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0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23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DotumChe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</w:tr>
      <w:tr>
        <w:trPr>
          <w:trHeight w:val="23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</w:t>
            </w:r>
          </w:p>
        </w:tc>
      </w:tr>
      <w:tr>
        <w:trPr>
          <w:trHeight w:val="215" w:hRule="atLeast"/>
        </w:trPr>
        <w:tc>
          <w:tcPr>
            <w:tcW w:w="7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</w:t>
            </w:r>
          </w:p>
        </w:tc>
        <w:tc>
          <w:tcPr>
            <w:tcW w:w="27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41"/>
              <w:widowControl w:val="false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Кран шаровой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Производитель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ЗАО Гирас</w:t>
            </w:r>
          </w:p>
        </w:tc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Тип присоединения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муфтовый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Обозначение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КШ.М.025.016-00.00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Давление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Ру 1,6 МПа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Диаметр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Ду 25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1.2</w:t>
            </w:r>
          </w:p>
        </w:tc>
        <w:tc>
          <w:tcPr>
            <w:tcW w:w="27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2"/>
              </w:rPr>
              <w:t>Кран шаровой с редуктором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Производитель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ЗАО АРМАТЭК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Тип присоединения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Фланцевый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Обозначение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ВД2.611.44Ф3-ЕЛ с БКВ А 250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Давление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Ру 1,6 МПа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Диаметр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Ду 80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Состав комплекта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Ответные фланцы исп.2, прокладки и крепеж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1.3</w:t>
            </w:r>
          </w:p>
        </w:tc>
        <w:tc>
          <w:tcPr>
            <w:tcW w:w="27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2"/>
              </w:rPr>
              <w:t>Кран шаровой с рукояткой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Производитель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ЗАО АРМАТЭК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Тип присоединения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Фланцевый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Обозначение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ВД1.606.44Ф7-ЕU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Давление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Ру 1,6 МПа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Диаметр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Ду 25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Состав комплекта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Ответные фланцы исп.2, прокладки и крепеж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1.4</w:t>
            </w:r>
          </w:p>
        </w:tc>
        <w:tc>
          <w:tcPr>
            <w:tcW w:w="27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2"/>
              </w:rPr>
              <w:t>Кран шаровой с рукояткой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Производитель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ЗАО АРМАТЭК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Тип присоединения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Фланцевый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Обозначение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ВД1.611.44Ф7-ЕU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Давление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Ру 1,6 МПа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Диаметр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Ду 80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Состав комплекта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Ответные фланцы исп.2, прокладки и крепеж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1.5</w:t>
            </w:r>
          </w:p>
        </w:tc>
        <w:tc>
          <w:tcPr>
            <w:tcW w:w="27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sz w:val="22"/>
              </w:rPr>
              <w:t>Кран трехходовой для манометра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Производитель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АО "ВИКА МЕРА"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Модель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910.10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Давление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Ру 1,6 МПа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Диаметр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Ду 15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1.6</w:t>
            </w:r>
          </w:p>
        </w:tc>
        <w:tc>
          <w:tcPr>
            <w:tcW w:w="27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2"/>
              </w:rPr>
              <w:t>Кран шаровой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Производитель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ЗАО Гирас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Тип присоединения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Фланцевый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Обозначение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КШ.Ф.025.016-00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Давление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Ру 1,6 МПа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Диаметр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Ду 25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1.7</w:t>
            </w:r>
          </w:p>
        </w:tc>
        <w:tc>
          <w:tcPr>
            <w:tcW w:w="27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2"/>
              </w:rPr>
              <w:t>Кран шаровой с редуктором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Производитель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ЗАО АРМАТЭК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Тип присоединения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Фланцевый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Обозначение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ВД2.609.44ФЗ-ЕЛ в комплекте с БКВ  А250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Давление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Ру 1,6 МПа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Диаметр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Ду 50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Состав комплекта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Ответные фланцы исп.2, прокладки и крепеж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1.8</w:t>
            </w:r>
          </w:p>
        </w:tc>
        <w:tc>
          <w:tcPr>
            <w:tcW w:w="27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2"/>
              </w:rPr>
              <w:t>Клапан обратный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Производитель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Пермский трубопроводный завод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Маркировка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16нж10n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Давление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Ру 1,6 МПа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Диаметр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Ду 50</w:t>
            </w:r>
          </w:p>
        </w:tc>
        <w:tc>
          <w:tcPr>
            <w:tcW w:w="30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Тип присоединения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Фланцевый</w:t>
            </w:r>
          </w:p>
        </w:tc>
        <w:tc>
          <w:tcPr>
            <w:tcW w:w="30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Состав комплекта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Ответные фланцы, прокладки и крепеж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1.9</w:t>
            </w:r>
          </w:p>
        </w:tc>
        <w:tc>
          <w:tcPr>
            <w:tcW w:w="27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2"/>
              </w:rPr>
              <w:t>Задвижка клиновая с выдвижным шпинделем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Маркировка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30с41нж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Тип присоединения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Фланцевая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Давление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Не ниже Ру 1,6 МПа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Диаметр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Ду 100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Состав комплекта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Ответные фланцы, прокладки и крепеж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1.10</w:t>
            </w:r>
          </w:p>
        </w:tc>
        <w:tc>
          <w:tcPr>
            <w:tcW w:w="27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2"/>
              </w:rPr>
              <w:t>Кран шаровый спускной с изогнутым спуском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Производитель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Ридан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Артикул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065B8300RG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Присоединение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Наружная резьба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Давление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Ру 1,0 МПа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Диаметр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Ду 15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Материал корпуса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Латунь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1.11</w:t>
            </w:r>
          </w:p>
        </w:tc>
        <w:tc>
          <w:tcPr>
            <w:tcW w:w="27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</w:rPr>
              <w:t>Кран шаровой с рукоят</w:t>
            </w:r>
            <w:r>
              <w:rPr>
                <w:color w:val="000000"/>
                <w:sz w:val="22"/>
                <w:lang w:val="en-US"/>
              </w:rPr>
              <w:t>кой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Производитель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ЗАО Гирас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Тип присоединения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Фланцевый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Обозначение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КШ.Ф.025.016-01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Давление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Ру 1,6 МПа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Диаметр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Ду 25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1.12</w:t>
            </w:r>
          </w:p>
        </w:tc>
        <w:tc>
          <w:tcPr>
            <w:tcW w:w="27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2"/>
              </w:rPr>
              <w:t>Кран шаровой с рукояткой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Производитель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ЗАО АРМАТЭК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Тип присоединения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Фланцевый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Обозначение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ВД1.609.44Ф7-ЕU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Давление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Ру 1,6 МПа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Диаметр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</w:rPr>
              <w:t>Ду 5</w:t>
            </w:r>
            <w:r>
              <w:rPr>
                <w:color w:val="000000"/>
                <w:sz w:val="22"/>
                <w:lang w:val="en-US"/>
              </w:rPr>
              <w:t>0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Состав комплекта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Ответные фланцы, прокладки и крепеж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1.13</w:t>
            </w:r>
          </w:p>
        </w:tc>
        <w:tc>
          <w:tcPr>
            <w:tcW w:w="27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2"/>
              </w:rPr>
              <w:t>Кран шаровой с редуктором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Производитель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ЗАО АРМАТЭК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Тип присоединения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Фланцевый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Обозначение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ВД2.609.44Ф7-EUс БКВ А250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Давление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Ру 1,6 МПа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Диаметр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</w:rPr>
              <w:t>Ду 5</w:t>
            </w:r>
            <w:r>
              <w:rPr>
                <w:color w:val="000000"/>
                <w:sz w:val="22"/>
                <w:lang w:val="en-US"/>
              </w:rPr>
              <w:t>0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Состав комплекта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Ответные фланцы, прокладки и крепеж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-//-</w:t>
            </w:r>
          </w:p>
        </w:tc>
      </w:tr>
      <w:tr>
        <w:trPr>
          <w:trHeight w:val="151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151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lang w:eastAsia="x-none"/>
              </w:rPr>
              <w:t>Место поставки</w:t>
            </w:r>
          </w:p>
        </w:tc>
        <w:tc>
          <w:tcPr>
            <w:tcW w:w="5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color w:val="000000"/>
                <w:sz w:val="24"/>
                <w:szCs w:val="24"/>
              </w:rPr>
              <w:t>Производственный участок АО «Гидроремонт-ВКК» в г. Новосибирск, 630056, Новосибирская обл., г. Новосибирск, ул. Новоморская, д. 4 (территория Новосибирской ГЭС).</w:t>
            </w:r>
          </w:p>
        </w:tc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151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lang w:eastAsia="x-none"/>
              </w:rPr>
              <w:t>Приемка продукции</w:t>
            </w:r>
          </w:p>
        </w:tc>
        <w:tc>
          <w:tcPr>
            <w:tcW w:w="5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color w:val="000000"/>
                <w:sz w:val="24"/>
                <w:szCs w:val="24"/>
              </w:rPr>
              <w:t>Приемка продукции осуществляется только в рабочие дни с 9-00 до 11-00 и с 13-00 до 16-00.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151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151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b/>
                <w:i w:val="false"/>
                <w:i w:val="false"/>
                <w:iCs w:val="false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1137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3.1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lang w:eastAsia="x-none"/>
              </w:rPr>
              <w:t>Сроки гарантии</w:t>
            </w:r>
          </w:p>
        </w:tc>
        <w:tc>
          <w:tcPr>
            <w:tcW w:w="5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1134" w:leader="none"/>
                <w:tab w:val="left" w:pos="1276" w:leader="none"/>
              </w:tabs>
              <w:suppressAutoHyphens w:val="true"/>
              <w:overflowPunct w:val="false"/>
              <w:bidi w:val="0"/>
              <w:spacing w:before="0" w:after="120"/>
              <w:ind w:left="0" w:right="0" w:hanging="0"/>
              <w:jc w:val="both"/>
              <w:rPr/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lang w:eastAsia="x-none"/>
              </w:rPr>
              <w:t xml:space="preserve">На продукцию устанавливается гарантийный срок не менее </w:t>
            </w: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shd w:fill="auto" w:val="clear"/>
                <w:lang w:eastAsia="x-none"/>
              </w:rPr>
              <w:t>12 (</w:t>
            </w: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lang w:eastAsia="x-none"/>
              </w:rPr>
              <w:t>двенадцати)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151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13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b/>
                <w:i w:val="false"/>
                <w:i w:val="false"/>
                <w:iCs w:val="false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151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4.1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5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руководства по эксплуатации; товарную накладную (форма ТОРГ-12) или универсальный передаточный документ (УПД) на продукцию в 2-х экз., транспортную накладную.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151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113" w:right="0" w:hanging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13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b/>
                <w:i w:val="false"/>
                <w:i w:val="false"/>
                <w:iCs w:val="false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sz w:val="24"/>
                <w:szCs w:val="24"/>
                <w:lang w:eastAsia="ru-RU"/>
              </w:rPr>
              <w:t>Прочие (дополнительные) требования к продукции</w:t>
            </w:r>
          </w:p>
        </w:tc>
      </w:tr>
      <w:tr>
        <w:trPr>
          <w:trHeight w:val="151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5.1</w:t>
            </w:r>
          </w:p>
        </w:tc>
        <w:tc>
          <w:tcPr>
            <w:tcW w:w="7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cs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color w:val="000000"/>
                <w:sz w:val="24"/>
                <w:szCs w:val="24"/>
              </w:rPr>
              <w:t>Продукция должна быть новой, ранее не использовавшейся.</w:t>
            </w:r>
          </w:p>
          <w:p>
            <w:pPr>
              <w:pStyle w:val="ListParagraph"/>
              <w:widowControl w:val="false"/>
              <w:ind w:left="0" w:right="0" w:hanging="0"/>
              <w:rPr>
                <w:rFonts w:cs="Times New Roman"/>
                <w:bCs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i w:val="false"/>
                <w:iCs w:val="false"/>
                <w:color w:val="000000"/>
                <w:sz w:val="24"/>
                <w:szCs w:val="24"/>
              </w:rPr>
              <w:t>Способ укладки и транспортировки продукции должен предотвратить его повреждение или порчу во время перевозки и погрузке/разгрузке, а также воздействие осадков во время перевозки и при открытом хранении.</w:t>
            </w:r>
          </w:p>
        </w:tc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151" w:hRule="atLeast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113" w:right="0" w:hanging="0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5.2</w:t>
            </w:r>
          </w:p>
        </w:tc>
        <w:tc>
          <w:tcPr>
            <w:tcW w:w="794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cs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color w:val="000000"/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</w:tbl>
    <w:p>
      <w:pPr>
        <w:pStyle w:val="Heading1"/>
        <w:ind w:left="1080" w:hanging="0"/>
        <w:rPr>
          <w:b w:val="false"/>
        </w:rPr>
      </w:pPr>
      <w:r>
        <w:rPr/>
        <w:t>3.</w:t>
        <w:tab/>
        <w:t>Требования к документации по ценообразованию на этапе закупки</w:t>
      </w:r>
    </w:p>
    <w:p>
      <w:pPr>
        <w:pStyle w:val="Normal"/>
        <w:ind w:left="1080" w:hanging="0"/>
        <w:rPr/>
      </w:pPr>
      <w:r>
        <w:rPr/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ind w:left="1080" w:hanging="0"/>
        <w:rPr/>
      </w:pPr>
      <w:r>
        <w:rPr/>
        <w:t>3.2. Дополнительные документы по ценообразованию в состав заявки не включаются.</w:t>
      </w:r>
    </w:p>
    <w:sectPr>
      <w:footerReference w:type="default" r:id="rId3"/>
      <w:footerReference w:type="first" r:id="rId4"/>
      <w:type w:val="nextPage"/>
      <w:pgSz w:orient="landscape" w:w="16838" w:h="11906"/>
      <w:pgMar w:left="1134" w:right="566" w:gutter="0" w:header="0" w:top="567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altName w:val="Times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3</w:t>
    </w:r>
    <w:r>
      <w:rPr>
        <w:sz w:val="24"/>
        <w:b/>
        <w:szCs w:val="24"/>
        <w:bCs/>
      </w:rPr>
      <w:fldChar w:fldCharType="end"/>
    </w:r>
    <w:r>
      <w:rPr/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7</w:t>
    </w:r>
    <w:r>
      <w:rPr>
        <w:sz w:val="24"/>
        <w:b/>
        <w:szCs w:val="24"/>
        <w:bCs/>
      </w:rPr>
      <w:fldChar w:fldCharType="end"/>
    </w:r>
  </w:p>
  <w:p>
    <w:pPr>
      <w:pStyle w:val="Footer"/>
      <w:rPr>
        <w:sz w:val="24"/>
        <w:szCs w:val="24"/>
      </w:rPr>
    </w:pPr>
    <w:r>
      <w:rPr>
        <w:sz w:val="24"/>
        <w:szCs w:val="24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7</w:t>
    </w:r>
    <w:r>
      <w:rPr>
        <w:sz w:val="24"/>
        <w:b/>
        <w:szCs w:val="24"/>
        <w:bCs/>
      </w:rPr>
      <w:fldChar w:fldCharType="end"/>
    </w:r>
    <w:r>
      <w:rPr/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7</w:t>
    </w:r>
    <w:r>
      <w:rPr>
        <w:sz w:val="24"/>
        <w:b/>
        <w:szCs w:val="24"/>
        <w:bCs/>
      </w:rPr>
      <w:fldChar w:fldCharType="end"/>
    </w:r>
  </w:p>
  <w:p>
    <w:pPr>
      <w:pStyle w:val="Footer"/>
      <w:rPr>
        <w:sz w:val="24"/>
        <w:szCs w:val="24"/>
      </w:rPr>
    </w:pPr>
    <w:r>
      <w:rPr>
        <w:sz w:val="24"/>
        <w:szCs w:val="24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436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ahoma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tabs>
        <w:tab w:val="clear" w:pos="720"/>
        <w:tab w:val="left" w:pos="0" w:leader="none"/>
        <w:tab w:val="left" w:pos="709" w:leader="none"/>
      </w:tabs>
      <w:ind w:firstLine="709"/>
      <w:outlineLvl w:val="2"/>
    </w:pPr>
    <w:rPr>
      <w:rFonts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qFormat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qFormat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qFormat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qFormat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qFormat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1" w:customStyle="1">
    <w:name w:val="Strong1"/>
    <w:qFormat/>
    <w:rPr>
      <w:b/>
      <w:bCs/>
    </w:rPr>
  </w:style>
  <w:style w:type="character" w:styleId="Style10" w:customStyle="1">
    <w:name w:val="Название Знак"/>
    <w:link w:val="15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qFormat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3" w:customStyle="1">
    <w:name w:val="Цитата 2 Знак"/>
    <w:basedOn w:val="DefaultParagraphFont"/>
    <w:link w:val="Quote"/>
    <w:qFormat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qFormat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qFormat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 w:customStyle="1">
    <w:name w:val="Подпункт Знак1"/>
    <w:link w:val="Style26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Pr/>
  </w:style>
  <w:style w:type="character" w:styleId="Style14" w:customStyle="1">
    <w:name w:val="Абзац списка Знак"/>
    <w:link w:val="ListParagraph"/>
    <w:qFormat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3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24" w:customStyle="1">
    <w:name w:val="Пункт2 Знак"/>
    <w:link w:val="26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 w:customStyle="1">
    <w:name w:val="УРОВЕНЬ_1. Знак"/>
    <w:link w:val="19"/>
    <w:qFormat/>
    <w:rPr>
      <w:rFonts w:ascii="Times New Roman" w:hAnsi="Times New Roman" w:eastAsia="Calibri" w:cs="Times New Roman"/>
      <w:caps/>
      <w:sz w:val="28"/>
      <w:szCs w:val="28"/>
    </w:rPr>
  </w:style>
  <w:style w:type="character" w:styleId="13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FontStyle16" w:customStyle="1">
    <w:name w:val="Font Style16"/>
    <w:qFormat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Pr/>
  </w:style>
  <w:style w:type="character" w:styleId="Value" w:customStyle="1">
    <w:name w:val="value"/>
    <w:qFormat/>
    <w:rPr/>
  </w:style>
  <w:style w:type="character" w:styleId="C-gruppedpropsprop-value" w:customStyle="1">
    <w:name w:val="c-gruppedprops__prop-value"/>
    <w:basedOn w:val="DefaultParagraphFont"/>
    <w:qFormat/>
    <w:rPr/>
  </w:style>
  <w:style w:type="character" w:styleId="Label" w:customStyle="1">
    <w:name w:val="label"/>
    <w:basedOn w:val="DefaultParagraphFont"/>
    <w:qFormat/>
    <w:rPr/>
  </w:style>
  <w:style w:type="character" w:styleId="Strong2" w:customStyle="1">
    <w:name w:val="Strong2"/>
    <w:qFormat/>
    <w:rPr>
      <w:b/>
      <w:bCs/>
    </w:rPr>
  </w:style>
  <w:style w:type="character" w:styleId="Strong">
    <w:name w:val="Strong"/>
    <w:uiPriority w:val="22"/>
    <w:qFormat/>
    <w:rPr>
      <w:b/>
      <w:bCs/>
    </w:rPr>
  </w:style>
  <w:style w:type="character" w:styleId="Style18" w:customStyle="1">
    <w:name w:val="Маркеры"/>
    <w:qFormat/>
    <w:rPr>
      <w:rFonts w:ascii="OpenSymbol" w:hAnsi="OpenSymbol" w:eastAsia="OpenSymbol" w:cs="OpenSymbol"/>
    </w:rPr>
  </w:style>
  <w:style w:type="character" w:styleId="Extrafieldsname" w:customStyle="1">
    <w:name w:val="extra_fields_name"/>
    <w:basedOn w:val="DefaultParagraphFont"/>
    <w:qFormat/>
    <w:rsid w:val="00c163dc"/>
    <w:rPr/>
  </w:style>
  <w:style w:type="character" w:styleId="Extrafieldsvalue" w:customStyle="1">
    <w:name w:val="extra_fields_value"/>
    <w:basedOn w:val="DefaultParagraphFont"/>
    <w:qFormat/>
    <w:rsid w:val="00c163dc"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1" w:customStyle="1">
    <w:name w:val="index heading11111111"/>
    <w:basedOn w:val="Title"/>
    <w:qFormat/>
    <w:pPr/>
    <w:rPr/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11" w:customStyle="1">
    <w:name w:val="index heading111111111"/>
    <w:basedOn w:val="Title"/>
    <w:qFormat/>
    <w:pPr/>
    <w:rPr/>
  </w:style>
  <w:style w:type="paragraph" w:styleId="Caption1111111111" w:customStyle="1">
    <w:name w:val="caption1111111111"/>
    <w:basedOn w:val="Normal"/>
    <w:next w:val="Normal"/>
    <w:qFormat/>
    <w:pPr/>
    <w:rPr>
      <w:rFonts w:cs="Times New Roman"/>
      <w:b/>
      <w:bCs/>
      <w:color w:val="4F81BD"/>
      <w:sz w:val="18"/>
      <w:szCs w:val="18"/>
      <w:lang w:eastAsia="ru-RU"/>
    </w:rPr>
  </w:style>
  <w:style w:type="paragraph" w:styleId="Indexheading1111111111" w:customStyle="1">
    <w:name w:val="index heading1111111111"/>
    <w:basedOn w:val="Title"/>
    <w:qFormat/>
    <w:pPr/>
    <w:rPr/>
  </w:style>
  <w:style w:type="paragraph" w:styleId="Style21" w:customStyle="1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2" w:customStyle="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3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4" w:customStyle="1">
    <w:name w:val="Название раздела инструкции"/>
    <w:basedOn w:val="Normal"/>
    <w:autoRedefine/>
    <w:qFormat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pPr/>
    <w:rPr>
      <w:rFonts w:eastAsia="Times New Roman" w:cs="Times New Roman"/>
      <w:sz w:val="20"/>
      <w:szCs w:val="20"/>
      <w:lang w:eastAsia="ru-RU"/>
    </w:rPr>
  </w:style>
  <w:style w:type="paragraph" w:styleId="14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5" w:customStyle="1">
    <w:name w:val="Название1"/>
    <w:basedOn w:val="Normal"/>
    <w:link w:val="Style10"/>
    <w:qFormat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pPr>
      <w:tabs>
        <w:tab w:val="clear" w:pos="720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pPr>
      <w:tabs>
        <w:tab w:val="clear" w:pos="720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6" w:customStyle="1">
    <w:name w:val="Подпункт"/>
    <w:basedOn w:val="Normal"/>
    <w:link w:val="11"/>
    <w:qFormat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pPr>
      <w:ind w:left="280" w:hanging="0"/>
    </w:pPr>
    <w:rPr>
      <w:rFonts w:eastAsia="Times New Roman" w:cs="Calibri"/>
      <w:sz w:val="20"/>
      <w:szCs w:val="20"/>
      <w:lang w:eastAsia="ru-RU"/>
    </w:rPr>
  </w:style>
  <w:style w:type="paragraph" w:styleId="Style27" w:customStyle="1">
    <w:name w:val="Раздел регламента"/>
    <w:basedOn w:val="Normal"/>
    <w:qFormat/>
    <w:pPr/>
    <w:rPr>
      <w:rFonts w:eastAsia="Times New Roman" w:cs="Times New Roman"/>
      <w:sz w:val="28"/>
      <w:szCs w:val="28"/>
      <w:lang w:eastAsia="ru-RU"/>
    </w:rPr>
  </w:style>
  <w:style w:type="paragraph" w:styleId="Style28" w:customStyle="1">
    <w:name w:val="Приложение к регламенту"/>
    <w:basedOn w:val="Normal"/>
    <w:qFormat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pPr>
      <w:spacing w:before="240" w:after="0"/>
    </w:pPr>
    <w:rPr>
      <w:rFonts w:eastAsia="Times New Roman" w:cs="Calibr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qFormat/>
    <w:pPr/>
    <w:rPr>
      <w:rFonts w:ascii="Tahoma" w:hAnsi="Tahoma" w:eastAsia="Times New Roman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pPr/>
    <w:rPr>
      <w:b/>
      <w:bCs/>
    </w:rPr>
  </w:style>
  <w:style w:type="paragraph" w:styleId="16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pPr>
      <w:ind w:left="560" w:hanging="0"/>
    </w:pPr>
    <w:rPr>
      <w:rFonts w:eastAsia="Times New Roman" w:cs="Calibri"/>
      <w:sz w:val="20"/>
      <w:szCs w:val="20"/>
      <w:lang w:eastAsia="ru-RU"/>
    </w:rPr>
  </w:style>
  <w:style w:type="paragraph" w:styleId="27" w:customStyle="1">
    <w:name w:val="Раздел положения 2"/>
    <w:basedOn w:val="Normal"/>
    <w:qFormat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29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NoSpacing">
    <w:name w:val="No Spacing"/>
    <w:basedOn w:val="Normal"/>
    <w:qFormat/>
    <w:pPr>
      <w:spacing w:lineRule="auto" w:line="360"/>
    </w:pPr>
    <w:rPr>
      <w:rFonts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qFormat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qFormat/>
    <w:pPr>
      <w:ind w:left="708" w:hanging="0"/>
    </w:pPr>
    <w:rPr/>
  </w:style>
  <w:style w:type="paragraph" w:styleId="Quote">
    <w:name w:val="Quote"/>
    <w:basedOn w:val="Normal"/>
    <w:next w:val="Normal"/>
    <w:link w:val="23"/>
    <w:qFormat/>
    <w:pPr/>
    <w:rPr>
      <w:rFonts w:ascii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qFormat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qFormat/>
    <w:pPr/>
    <w:rPr>
      <w:rFonts w:cs="Times New Roman"/>
      <w:szCs w:val="24"/>
      <w:lang w:val="x-none" w:eastAsia="x-none"/>
    </w:rPr>
  </w:style>
  <w:style w:type="paragraph" w:styleId="Style30" w:customStyle="1">
    <w:name w:val="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 w:customStyle="1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overflowPunct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1" w:customStyle="1">
    <w:name w:val="Пункт"/>
    <w:basedOn w:val="Normal"/>
    <w:qFormat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7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2" w:customStyle="1">
    <w:name w:val="Таблица"/>
    <w:basedOn w:val="Normal"/>
    <w:qFormat/>
    <w:pPr>
      <w:keepNext w:val="true"/>
      <w:spacing w:before="60" w:after="60"/>
      <w:jc w:val="center"/>
    </w:pPr>
    <w:rPr>
      <w:rFonts w:cs="Times New Roman"/>
      <w:b/>
      <w:szCs w:val="24"/>
      <w:lang w:val="x-none" w:eastAsia="x-none"/>
    </w:rPr>
  </w:style>
  <w:style w:type="paragraph" w:styleId="Style33" w:customStyle="1">
    <w:name w:val="Подподпункт"/>
    <w:basedOn w:val="Style26"/>
    <w:link w:val="Style15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4" w:customStyle="1">
    <w:name w:val="УРОВЕНЬ_(а)"/>
    <w:basedOn w:val="ListParagraph"/>
    <w:qFormat/>
    <w:pPr>
      <w:numPr>
        <w:ilvl w:val="3"/>
        <w:numId w:val="3"/>
      </w:numPr>
      <w:spacing w:lineRule="exact" w:line="360" w:before="120" w:after="0"/>
      <w:ind w:left="1728" w:hanging="648"/>
      <w:jc w:val="both"/>
      <w:outlineLvl w:val="3"/>
    </w:pPr>
    <w:rPr>
      <w:sz w:val="26"/>
      <w:szCs w:val="28"/>
    </w:rPr>
  </w:style>
  <w:style w:type="paragraph" w:styleId="-" w:customStyle="1">
    <w:name w:val="УРОВЕНЬ_-"/>
    <w:basedOn w:val="ListParagraph"/>
    <w:qFormat/>
    <w:pPr>
      <w:numPr>
        <w:ilvl w:val="4"/>
        <w:numId w:val="3"/>
      </w:numPr>
      <w:spacing w:lineRule="exact" w:line="360" w:before="120" w:after="0"/>
      <w:ind w:left="2232" w:hanging="792"/>
      <w:jc w:val="both"/>
      <w:outlineLvl w:val="4"/>
    </w:pPr>
    <w:rPr>
      <w:sz w:val="26"/>
      <w:szCs w:val="28"/>
    </w:rPr>
  </w:style>
  <w:style w:type="paragraph" w:styleId="29" w:customStyle="1">
    <w:name w:val="УРОВЕНЬ_Абзац_тип2"/>
    <w:basedOn w:val="ListParagraph"/>
    <w:qFormat/>
    <w:pPr>
      <w:numPr>
        <w:ilvl w:val="6"/>
        <w:numId w:val="3"/>
      </w:numPr>
      <w:spacing w:lineRule="exact" w:line="360" w:before="120" w:after="0"/>
      <w:ind w:left="3240" w:hanging="1080"/>
      <w:jc w:val="both"/>
    </w:pPr>
    <w:rPr>
      <w:sz w:val="26"/>
      <w:szCs w:val="28"/>
    </w:rPr>
  </w:style>
  <w:style w:type="paragraph" w:styleId="37" w:customStyle="1">
    <w:name w:val="УРОВЕНЬ_Абзац_тип3"/>
    <w:basedOn w:val="ListParagraph"/>
    <w:link w:val="33"/>
    <w:qFormat/>
    <w:pPr>
      <w:numPr>
        <w:ilvl w:val="7"/>
        <w:numId w:val="3"/>
      </w:numPr>
      <w:spacing w:lineRule="exact" w:line="360" w:before="120" w:after="0"/>
      <w:jc w:val="both"/>
    </w:pPr>
    <w:rPr>
      <w:sz w:val="26"/>
      <w:szCs w:val="28"/>
    </w:rPr>
  </w:style>
  <w:style w:type="paragraph" w:styleId="Style35" w:customStyle="1">
    <w:name w:val="УРОВЕНЬ_Подпись"/>
    <w:basedOn w:val="ListParagraph"/>
    <w:qFormat/>
    <w:pPr>
      <w:keepNext w:val="true"/>
      <w:numPr>
        <w:ilvl w:val="5"/>
        <w:numId w:val="3"/>
      </w:numPr>
      <w:spacing w:lineRule="exact" w:line="360" w:before="120" w:after="120"/>
      <w:ind w:left="2736" w:hanging="936"/>
      <w:jc w:val="right"/>
      <w:outlineLvl w:val="3"/>
    </w:pPr>
    <w:rPr>
      <w:sz w:val="26"/>
      <w:szCs w:val="28"/>
    </w:rPr>
  </w:style>
  <w:style w:type="paragraph" w:styleId="18" w:customStyle="1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pPr/>
    <w:rPr>
      <w:rFonts w:eastAsia="Times New Roman" w:cs="Times New Roman"/>
      <w:sz w:val="20"/>
      <w:szCs w:val="20"/>
      <w:lang w:eastAsia="ru-RU"/>
    </w:rPr>
  </w:style>
  <w:style w:type="paragraph" w:styleId="210" w:customStyle="1">
    <w:name w:val="Заголовок 2 КВВ"/>
    <w:basedOn w:val="Normal"/>
    <w:qFormat/>
    <w:pPr>
      <w:keepNext w:val="true"/>
      <w:numPr>
        <w:ilvl w:val="0"/>
        <w:numId w:val="4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6" w:customStyle="1">
    <w:name w:val="Таблица текст"/>
    <w:basedOn w:val="Normal"/>
    <w:qFormat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styleId="19" w:customStyle="1">
    <w:name w:val="УРОВЕНЬ_1."/>
    <w:basedOn w:val="ListParagraph"/>
    <w:link w:val="12"/>
    <w:qFormat/>
    <w:pPr>
      <w:keepNext w:val="true"/>
      <w:keepLines/>
      <w:spacing w:lineRule="auto" w:line="276" w:before="240" w:after="120"/>
      <w:ind w:left="0" w:hanging="0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Style37" w:customStyle="1">
    <w:name w:val="Знак Знак Знак Знак"/>
    <w:basedOn w:val="Normal"/>
    <w:qFormat/>
    <w:pPr>
      <w:suppressAutoHyphens w:val="false"/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pPr>
      <w:keepNext w:val="true"/>
      <w:keepLines/>
      <w:tabs>
        <w:tab w:val="clear" w:pos="720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pPr>
      <w:tabs>
        <w:tab w:val="clear" w:pos="720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0" w:customStyle="1">
    <w:name w:val="Обычный1"/>
    <w:qFormat/>
    <w:pPr>
      <w:widowControl w:val="false"/>
      <w:suppressAutoHyphens w:val="true"/>
      <w:overflowPunct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8" w:customStyle="1">
    <w:name w:val="Пункт договора"/>
    <w:basedOn w:val="Normal"/>
    <w:qFormat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39" w:customStyle="1">
    <w:name w:val="Подпункт договора"/>
    <w:basedOn w:val="Normal"/>
    <w:qFormat/>
    <w:pPr>
      <w:tabs>
        <w:tab w:val="clear" w:pos="720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40" w:customStyle="1">
    <w:name w:val="Обычный+ без отступа"/>
    <w:basedOn w:val="Normal"/>
    <w:qFormat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111" w:customStyle="1">
    <w:name w:val="Знак Знак Знак Знак1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211" w:customStyle="1">
    <w:name w:val="Обычный2"/>
    <w:qFormat/>
    <w:pPr>
      <w:widowControl w:val="false"/>
      <w:suppressAutoHyphens w:val="true"/>
      <w:overflowPunct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Jss308" w:customStyle="1">
    <w:name w:val="jss308"/>
    <w:basedOn w:val="Normal"/>
    <w:qFormat/>
    <w:pPr>
      <w:suppressAutoHyphens w:val="false"/>
      <w:spacing w:before="280" w:after="280"/>
    </w:pPr>
    <w:rPr>
      <w:rFonts w:eastAsia="Times New Roman" w:cs="Times New Roman"/>
      <w:szCs w:val="24"/>
      <w:lang w:eastAsia="ru-RU"/>
    </w:rPr>
  </w:style>
  <w:style w:type="paragraph" w:styleId="Style4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2" w:customStyle="1">
    <w:name w:val="Заголовок таблицы"/>
    <w:basedOn w:val="Style41"/>
    <w:qFormat/>
    <w:pPr>
      <w:jc w:val="center"/>
    </w:pPr>
    <w:rPr>
      <w:b/>
      <w:bCs/>
    </w:rPr>
  </w:style>
  <w:style w:type="paragraph" w:styleId="Style43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qFormat/>
  </w:style>
  <w:style w:type="numbering" w:styleId="212" w:customStyle="1">
    <w:name w:val="Стиль2"/>
    <w:qFormat/>
  </w:style>
  <w:style w:type="numbering" w:styleId="113" w:customStyle="1">
    <w:name w:val="Нет списка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16647-E016-4282-95DB-BE86A57BA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15215</TotalTime>
  <Application>AlterOffice/3.4.0.9$Linux_X86_64 LibreOffice_project/b8daf9e823b1a5463a2f48435ddc2e8696e7d4fc</Application>
  <AppVersion>15.0000</AppVersion>
  <Pages>7</Pages>
  <Words>1306</Words>
  <Characters>8186</Characters>
  <CharactersWithSpaces>9115</CharactersWithSpaces>
  <Paragraphs>390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2023-12-07T06:27:00Z</dcterms:created>
  <dc:creator>Вашкевич Ольга Владимировна</dc:creator>
  <dc:description/>
  <dc:language>ru-RU</dc:language>
  <cp:lastModifiedBy/>
  <cp:lastPrinted>2024-07-22T18:15:00Z</cp:lastPrinted>
  <dcterms:modified xsi:type="dcterms:W3CDTF">2026-07-30T14:31:17Z</dcterms:modified>
  <cp:revision>1975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