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360" w:after="360"/>
        <w:ind w:hanging="0" w:left="0"/>
        <w:rPr/>
      </w:pPr>
      <w:r>
        <w:rPr/>
        <w:t>«ОКПД2: 46.69.</w:t>
      </w:r>
      <w:r>
        <w:rPr/>
        <w:t>1</w:t>
      </w:r>
      <w:r>
        <w:rPr/>
        <w:t>9 Поставка оборудования для замеров разности электрических потенциалов элементов технического водоснабжения».</w:t>
      </w:r>
    </w:p>
    <w:p>
      <w:pPr>
        <w:pStyle w:val="11"/>
        <w:pageBreakBefore w:val="false"/>
        <w:numPr>
          <w:ilvl w:val="0"/>
          <w:numId w:val="2"/>
        </w:numPr>
        <w:rPr>
          <w:rFonts w:ascii="Times New Roman" w:hAnsi="Times New Roman" w:eastAsia="" w:cs=""/>
          <w:b/>
          <w:bCs w:val="false"/>
          <w:color w:val="000000" w:themeColor="text1"/>
          <w:sz w:val="28"/>
          <w:szCs w:val="32"/>
        </w:rPr>
      </w:pPr>
      <w:bookmarkStart w:id="0" w:name="_Toc234483263"/>
      <w:bookmarkStart w:id="1" w:name="_GoBack"/>
      <w:bookmarkEnd w:id="1"/>
      <w:r>
        <w:rPr>
          <w:rFonts w:eastAsia="" w:cs=""/>
          <w:b/>
          <w:bCs w:val="false"/>
          <w:color w:val="000000" w:themeColor="text1"/>
          <w:sz w:val="28"/>
          <w:szCs w:val="32"/>
        </w:rPr>
        <w:t>Технические требования к оборудованию</w:t>
      </w:r>
      <w:bookmarkEnd w:id="0"/>
      <w:r>
        <w:rPr>
          <w:rFonts w:eastAsia="" w:cs=""/>
          <w:b/>
          <w:bCs w:val="false"/>
          <w:color w:val="000000" w:themeColor="text1"/>
          <w:sz w:val="28"/>
          <w:szCs w:val="32"/>
        </w:rPr>
        <w:t xml:space="preserve"> </w:t>
      </w:r>
    </w:p>
    <w:p>
      <w:pPr>
        <w:pStyle w:val="22"/>
        <w:numPr>
          <w:ilvl w:val="1"/>
          <w:numId w:val="2"/>
        </w:numPr>
        <w:rPr/>
      </w:pPr>
      <w:bookmarkStart w:id="2" w:name="_Toc234483264"/>
      <w:r>
        <w:rPr/>
        <w:t>Общие требования</w:t>
      </w:r>
      <w:bookmarkEnd w:id="2"/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Оборудование должно производить замеры потенциалов и управляться с помощью встроенных микропроцессорных устройств и специализированного программного обеспечения. Оно должно иметь интерфейсы к рабочим станциям для передачи данных.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Продавец должен гарантировать продажу запасных частей по всей номенклатуре поставляемого оборудования в течение всего срока службы аппаратуры.</w:t>
      </w:r>
    </w:p>
    <w:p>
      <w:pPr>
        <w:pStyle w:val="Normal"/>
        <w:spacing w:lineRule="auto" w:line="276" w:before="0" w:after="0"/>
        <w:ind w:firstLine="709"/>
        <w:contextualSpacing/>
        <w:jc w:val="both"/>
        <w:rPr/>
      </w:pPr>
      <w:r>
        <w:rPr/>
        <w:t>Оборудование систем связи должно быть выбрано с учетом действующих нормативных документов РФ. Приоритет должен отдаваться оборудованию, произведённому на территории Российской Федерации и имеющему статус телекоммуникационного оборудования российского происхождения в соответствии с Постановлением Правительства от 10.07.2019 № 878, включенного в Единый реестр российской радиоэлектронной продукции, и телекоммуникационным аппаратно-программным комплексам, программное обеспечение которых включено в Реестр российских программ для электронных вычислительных машин и баз данных в соответствии с Постановлением Правительства Российской Федерации от 16.11.2015 № 1236 «</w:t>
      </w:r>
      <w:r>
        <w:rPr>
          <w:color w:val="22272F"/>
          <w:shd w:fill="FFFFFF" w:val="clear"/>
        </w:rPr>
        <w:t>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</w:t>
      </w:r>
      <w:r>
        <w:rPr/>
        <w:t>» и приказом Министерства цифрового развития, связи и массовых коммуникаций Российской Федерации от 20.09.2018 № 486 «Об утверждении методических рекомендаций по переходу государственных компаний на преимущественное использование отечественного программного обеспечения, в том числе отечественного офисного программного обеспечения».</w:t>
      </w:r>
    </w:p>
    <w:p>
      <w:pPr>
        <w:pStyle w:val="Normal"/>
        <w:spacing w:lineRule="auto" w:line="276" w:before="0" w:after="0"/>
        <w:ind w:firstLine="709"/>
        <w:contextualSpacing/>
        <w:jc w:val="both"/>
        <w:rPr/>
      </w:pPr>
      <w:r>
        <w:rPr/>
      </w:r>
    </w:p>
    <w:p>
      <w:pPr>
        <w:pStyle w:val="22"/>
        <w:numPr>
          <w:ilvl w:val="1"/>
          <w:numId w:val="2"/>
        </w:numPr>
        <w:rPr/>
      </w:pPr>
      <w:bookmarkStart w:id="3" w:name="_Toc234483265"/>
      <w:r>
        <w:rPr/>
        <w:t>Требования к оборудованию</w:t>
      </w:r>
      <w:bookmarkEnd w:id="3"/>
    </w:p>
    <w:p>
      <w:pPr>
        <w:pStyle w:val="Normal"/>
        <w:spacing w:lineRule="auto" w:line="240" w:before="0" w:after="240"/>
        <w:jc w:val="center"/>
        <w:textAlignment w:val="baseline"/>
        <w:rPr>
          <w:rFonts w:ascii="Arial" w:hAnsi="Arial" w:eastAsia="Times New Roman" w:cs="Arial"/>
          <w:b/>
          <w:bCs/>
          <w:color w:val="2F3236"/>
          <w:lang w:eastAsia="ru-RU"/>
        </w:rPr>
      </w:pPr>
      <w:r>
        <w:rPr>
          <w:rFonts w:eastAsia="Times New Roman" w:cs="Arial" w:ascii="Arial" w:hAnsi="Arial"/>
          <w:b/>
          <w:bCs/>
          <w:color w:val="2F3236"/>
          <w:lang w:eastAsia="ru-RU"/>
        </w:rPr>
        <w:t>Регистратор автономный долговременный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Регистратор обеспечивает: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/>
      </w:pPr>
      <w:r>
        <w:rPr/>
        <w:t>измерение напряжения постоянного тока на 3 каналах (режим регистратора);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/>
      </w:pPr>
      <w:r>
        <w:rPr/>
        <w:t>измерение поляризационного потенциала (режим ИПП);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/>
      </w:pPr>
      <w:r>
        <w:rPr/>
        <w:t>запись значений измеренных напряжений во внутреннюю энергонезависимую память с программируемой частотой;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/>
      </w:pPr>
      <w:r>
        <w:rPr/>
        <w:t>гальваническую развязку третьего канала;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/>
      </w:pPr>
      <w:r>
        <w:rPr/>
        <w:t>возможность привязки измерений ко времени и координатам в системе ГЛОНАСС/GPS (через коммуникатор/смартфон);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/>
      </w:pPr>
      <w:r>
        <w:rPr/>
        <w:t>автономную работу в течение 2 суток с питанием от встроенного аккумулятора;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/>
      </w:pPr>
      <w:r>
        <w:rPr/>
        <w:t>работу от внешнего источника питания напряжением 5 В.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Регистратор имеет компактные размеры, которые позволяют разместить его практически в любом месте, например, внутри стойки КИП. Корпус прибора обеспечивает степень защиты от внешних воздействий IP65 по ГОСТ 14254.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Корпус прибора оснащен клеммами для подключения к измеряемой цепи, разъемами USB и питания (зарядки), а также блоком из трех кнопок: - включение/отключение устройства, - включение/отключение Bluetooth, - старт/стоп измерений. Регистратор ИР-2М оснащен модулем Bluetooth, который обеспечивает беспроводной обмен информацией со смартфонами на базе Android. Это позволяет осуществлять управление, настройку и контроль работы регистратора с телефона.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Cs/>
          <w:color w:val="292F33"/>
          <w:sz w:val="21"/>
          <w:szCs w:val="21"/>
          <w:lang w:eastAsia="ru-RU"/>
        </w:rPr>
      </w:pPr>
      <w:r>
        <w:rPr>
          <w:rFonts w:eastAsia="Times New Roman" w:cs="Arial" w:ascii="Arial" w:hAnsi="Arial"/>
          <w:b/>
          <w:bCs/>
          <w:color w:val="292F33"/>
          <w:sz w:val="21"/>
          <w:szCs w:val="21"/>
          <w:lang w:eastAsia="ru-RU"/>
        </w:rPr>
        <w:t>Технические характеристики</w:t>
      </w:r>
    </w:p>
    <w:tbl>
      <w:tblPr>
        <w:tblW w:w="9856" w:type="dxa"/>
        <w:jc w:val="left"/>
        <w:tblInd w:w="75" w:type="dxa"/>
        <w:tblLayout w:type="fixed"/>
        <w:tblCellMar>
          <w:top w:w="90" w:type="dxa"/>
          <w:left w:w="75" w:type="dxa"/>
          <w:bottom w:w="90" w:type="dxa"/>
          <w:right w:w="75" w:type="dxa"/>
        </w:tblCellMar>
        <w:tblLook w:val="04a0" w:noHBand="0" w:noVBand="1" w:firstColumn="1" w:lastRow="0" w:lastColumn="0" w:firstRow="1"/>
      </w:tblPr>
      <w:tblGrid>
        <w:gridCol w:w="4610"/>
        <w:gridCol w:w="5245"/>
      </w:tblGrid>
      <w:tr>
        <w:trPr/>
        <w:tc>
          <w:tcPr>
            <w:tcW w:w="4610" w:type="dxa"/>
            <w:tcBorders>
              <w:top w:val="single" w:sz="6" w:space="0" w:color="808080"/>
            </w:tcBorders>
            <w:shd w:color="auto" w:fill="F5F5F5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b/>
                <w:bCs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464646"/>
                <w:sz w:val="18"/>
                <w:szCs w:val="18"/>
                <w:lang w:eastAsia="ru-RU"/>
              </w:rPr>
              <w:t>Параметр</w:t>
            </w:r>
          </w:p>
        </w:tc>
        <w:tc>
          <w:tcPr>
            <w:tcW w:w="5245" w:type="dxa"/>
            <w:tcBorders>
              <w:top w:val="single" w:sz="6" w:space="0" w:color="808080"/>
            </w:tcBorders>
            <w:shd w:color="auto" w:fill="F5F5F5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b/>
                <w:bCs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464646"/>
                <w:sz w:val="18"/>
                <w:szCs w:val="18"/>
                <w:lang w:eastAsia="ru-RU"/>
              </w:rPr>
              <w:t>Значение</w:t>
            </w:r>
          </w:p>
        </w:tc>
      </w:tr>
      <w:tr>
        <w:trPr/>
        <w:tc>
          <w:tcPr>
            <w:tcW w:w="461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Количество каналов измерений</w:t>
            </w:r>
          </w:p>
        </w:tc>
        <w:tc>
          <w:tcPr>
            <w:tcW w:w="5245" w:type="dxa"/>
            <w:tcBorders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3</w:t>
            </w:r>
          </w:p>
        </w:tc>
      </w:tr>
      <w:tr>
        <w:trPr/>
        <w:tc>
          <w:tcPr>
            <w:tcW w:w="461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Диапазон измерения:</w:t>
              <w:br/>
              <w:t>- 1 канал, В</w:t>
              <w:br/>
              <w:t>- 2 канал, В</w:t>
              <w:br/>
              <w:t>- 3 канал, мВ</w:t>
            </w:r>
          </w:p>
        </w:tc>
        <w:tc>
          <w:tcPr>
            <w:tcW w:w="5245" w:type="dxa"/>
            <w:tcBorders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br/>
              <w:t>±1; ±10; ±100;</w:t>
              <w:br/>
              <w:t>±1; ±10;</w:t>
              <w:br/>
              <w:t>±100; ±1000</w:t>
            </w:r>
          </w:p>
        </w:tc>
      </w:tr>
      <w:tr>
        <w:trPr/>
        <w:tc>
          <w:tcPr>
            <w:tcW w:w="461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Периоды записи измеренных напряжений</w:t>
            </w:r>
          </w:p>
        </w:tc>
        <w:tc>
          <w:tcPr>
            <w:tcW w:w="5245" w:type="dxa"/>
            <w:tcBorders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0,25; 0,5; 1; 2; 5; 10;</w:t>
              <w:br/>
              <w:t>20; 30 секунд;</w:t>
              <w:br/>
              <w:t>1; 2; 10; 30; 60 минут</w:t>
            </w:r>
          </w:p>
        </w:tc>
      </w:tr>
      <w:tr>
        <w:trPr/>
        <w:tc>
          <w:tcPr>
            <w:tcW w:w="461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Входное сопротивление, МОм, не менее:</w:t>
              <w:br/>
              <w:t>- все каналы, кроме предела 100 В на первом канале</w:t>
              <w:br/>
              <w:t>- первый канал на пределе 100 В</w:t>
            </w:r>
          </w:p>
        </w:tc>
        <w:tc>
          <w:tcPr>
            <w:tcW w:w="5245" w:type="dxa"/>
            <w:tcBorders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br/>
              <w:t>400</w:t>
              <w:br/>
              <w:t>10</w:t>
            </w:r>
          </w:p>
        </w:tc>
      </w:tr>
      <w:tr>
        <w:trPr/>
        <w:tc>
          <w:tcPr>
            <w:tcW w:w="461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Питание регистратора</w:t>
            </w:r>
          </w:p>
        </w:tc>
        <w:tc>
          <w:tcPr>
            <w:tcW w:w="5245" w:type="dxa"/>
            <w:tcBorders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Li-Pol аккумулятор</w:t>
            </w:r>
          </w:p>
        </w:tc>
      </w:tr>
      <w:tr>
        <w:trPr/>
        <w:tc>
          <w:tcPr>
            <w:tcW w:w="461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Время автономной работы, ч, не менее</w:t>
            </w:r>
          </w:p>
        </w:tc>
        <w:tc>
          <w:tcPr>
            <w:tcW w:w="5245" w:type="dxa"/>
            <w:tcBorders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48</w:t>
            </w:r>
          </w:p>
        </w:tc>
      </w:tr>
      <w:tr>
        <w:trPr/>
        <w:tc>
          <w:tcPr>
            <w:tcW w:w="461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Объем внутренней энергонезависимой памяти, Мбайт</w:t>
            </w:r>
          </w:p>
        </w:tc>
        <w:tc>
          <w:tcPr>
            <w:tcW w:w="5245" w:type="dxa"/>
            <w:tcBorders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16</w:t>
            </w:r>
          </w:p>
        </w:tc>
      </w:tr>
      <w:tr>
        <w:trPr/>
        <w:tc>
          <w:tcPr>
            <w:tcW w:w="461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Габаритные размеры регистратора (длина х ширина х высота), мм,</w:t>
              <w:br/>
              <w:t>не более</w:t>
            </w:r>
          </w:p>
        </w:tc>
        <w:tc>
          <w:tcPr>
            <w:tcW w:w="5245" w:type="dxa"/>
            <w:tcBorders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140 х 80 х 30</w:t>
            </w:r>
          </w:p>
        </w:tc>
      </w:tr>
      <w:tr>
        <w:trPr/>
        <w:tc>
          <w:tcPr>
            <w:tcW w:w="461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Масса регистратора, кг, не более</w:t>
            </w:r>
          </w:p>
        </w:tc>
        <w:tc>
          <w:tcPr>
            <w:tcW w:w="5245" w:type="dxa"/>
            <w:tcBorders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0,25</w:t>
            </w:r>
          </w:p>
        </w:tc>
      </w:tr>
      <w:tr>
        <w:trPr/>
        <w:tc>
          <w:tcPr>
            <w:tcW w:w="461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Диапазон рабочих температур, °С</w:t>
            </w:r>
          </w:p>
        </w:tc>
        <w:tc>
          <w:tcPr>
            <w:tcW w:w="5245" w:type="dxa"/>
            <w:tcBorders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-20 ... +55</w:t>
            </w:r>
          </w:p>
        </w:tc>
      </w:tr>
      <w:tr>
        <w:trPr/>
        <w:tc>
          <w:tcPr>
            <w:tcW w:w="461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Срок службы, лет, не менее</w:t>
            </w:r>
          </w:p>
        </w:tc>
        <w:tc>
          <w:tcPr>
            <w:tcW w:w="5245" w:type="dxa"/>
            <w:tcBorders>
              <w:bottom w:val="single" w:sz="6" w:space="0" w:color="808080"/>
              <w:right w:val="single" w:sz="6" w:space="0" w:color="80808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25" w:before="0" w:after="0"/>
              <w:jc w:val="center"/>
              <w:rPr>
                <w:rFonts w:ascii="Arial" w:hAnsi="Arial" w:eastAsia="Times New Roman" w:cs="Arial"/>
                <w:color w:val="464646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color w:val="464646"/>
                <w:sz w:val="18"/>
                <w:szCs w:val="18"/>
                <w:lang w:eastAsia="ru-RU"/>
              </w:rPr>
              <w:t>5</w:t>
            </w:r>
          </w:p>
        </w:tc>
      </w:tr>
    </w:tbl>
    <w:p>
      <w:pPr>
        <w:pStyle w:val="Normal"/>
        <w:spacing w:lineRule="auto" w:line="240" w:before="0" w:after="12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240"/>
        <w:jc w:val="center"/>
        <w:textAlignment w:val="baseline"/>
        <w:rPr>
          <w:rFonts w:ascii="Arial" w:hAnsi="Arial" w:eastAsia="Times New Roman" w:cs="Arial"/>
          <w:b/>
          <w:bCs/>
          <w:color w:val="2F3236"/>
          <w:lang w:eastAsia="ru-RU"/>
        </w:rPr>
      </w:pPr>
      <w:r>
        <w:rPr>
          <w:rFonts w:eastAsia="Times New Roman" w:cs="Arial" w:ascii="Arial" w:hAnsi="Arial"/>
          <w:b/>
          <w:bCs/>
          <w:color w:val="2F3236"/>
          <w:lang w:eastAsia="ru-RU"/>
        </w:rPr>
        <w:t>ПКВ установка для припайки катодных выводов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Установка ПКВ применяется для высокотемпературной припайки катодных, дренажных и измерительных выводов к трубопроводу как альтернатива термитной приварке. Благодаря автоматическому контролю процесса припайки получается надежное соединение кабеля с металлическим сооружением.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Пайку можно осуществлять на сооружениях с толщиной стенки от 2 мм. Для работы не требуется специальных навыков персонала, прибор практически исключает «человеческий фактор» и позволяет работать при различных погодных условиях. Используется совместно с электродами ЭВП.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Технические характеристики:</w:t>
      </w:r>
    </w:p>
    <w:tbl>
      <w:tblPr>
        <w:tblW w:w="9835" w:type="dxa"/>
        <w:jc w:val="left"/>
        <w:tblInd w:w="233" w:type="dxa"/>
        <w:tblLayout w:type="fixed"/>
        <w:tblCellMar>
          <w:top w:w="168" w:type="dxa"/>
          <w:left w:w="240" w:type="dxa"/>
          <w:bottom w:w="168" w:type="dxa"/>
          <w:right w:w="240" w:type="dxa"/>
        </w:tblCellMar>
        <w:tblLook w:val="04a0" w:noHBand="0" w:noVBand="1" w:firstColumn="1" w:lastRow="0" w:lastColumn="0" w:firstRow="1"/>
      </w:tblPr>
      <w:tblGrid>
        <w:gridCol w:w="7650"/>
        <w:gridCol w:w="2184"/>
      </w:tblGrid>
      <w:tr>
        <w:trPr>
          <w:tblHeader w:val="true"/>
        </w:trPr>
        <w:tc>
          <w:tcPr>
            <w:tcW w:w="7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99999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FFFFFF"/>
                <w:sz w:val="22"/>
                <w:szCs w:val="22"/>
              </w:rPr>
              <w:t>Наименование</w:t>
            </w:r>
          </w:p>
        </w:tc>
        <w:tc>
          <w:tcPr>
            <w:tcW w:w="21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99999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FFFFFF"/>
                <w:sz w:val="22"/>
                <w:szCs w:val="22"/>
              </w:rPr>
              <w:t>Значение</w:t>
            </w:r>
          </w:p>
        </w:tc>
      </w:tr>
      <w:tr>
        <w:trPr/>
        <w:tc>
          <w:tcPr>
            <w:tcW w:w="7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EEEEE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Номинальный диаметр трубопровода для припайки (аттестовано ВНИИГАЗ*)</w:t>
            </w:r>
          </w:p>
        </w:tc>
        <w:tc>
          <w:tcPr>
            <w:tcW w:w="21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EEEEE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от DN80 до DN1400</w:t>
            </w:r>
          </w:p>
        </w:tc>
      </w:tr>
      <w:tr>
        <w:trPr/>
        <w:tc>
          <w:tcPr>
            <w:tcW w:w="7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FAFAFA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Номинальная толщина стенки трубопровода для припайки (аттестовано ВНИИГАЗ**), мм</w:t>
            </w:r>
          </w:p>
        </w:tc>
        <w:tc>
          <w:tcPr>
            <w:tcW w:w="21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FAFAFA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от 4 до 42</w:t>
            </w:r>
          </w:p>
        </w:tc>
      </w:tr>
      <w:tr>
        <w:trPr/>
        <w:tc>
          <w:tcPr>
            <w:tcW w:w="7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EEEEE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Прочность пайки***, кН, не менее</w:t>
            </w:r>
          </w:p>
        </w:tc>
        <w:tc>
          <w:tcPr>
            <w:tcW w:w="21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EEEEE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7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FAFAFA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Количество паек от одной зарядки аккумулятора при температуре окружающей среды 25±2 ºС, шт., не менее</w:t>
            </w:r>
          </w:p>
        </w:tc>
        <w:tc>
          <w:tcPr>
            <w:tcW w:w="21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FAFAFA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40</w:t>
            </w:r>
          </w:p>
        </w:tc>
      </w:tr>
      <w:tr>
        <w:trPr/>
        <w:tc>
          <w:tcPr>
            <w:tcW w:w="7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EEEEE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Время зарядки, ч, не более</w:t>
            </w:r>
          </w:p>
        </w:tc>
        <w:tc>
          <w:tcPr>
            <w:tcW w:w="21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EEEEE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7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FAFAFA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Степень защиты, обеспечиваемая оболочкой</w:t>
            </w:r>
          </w:p>
        </w:tc>
        <w:tc>
          <w:tcPr>
            <w:tcW w:w="21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FAFAFA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IP20</w:t>
            </w:r>
          </w:p>
        </w:tc>
      </w:tr>
      <w:tr>
        <w:trPr/>
        <w:tc>
          <w:tcPr>
            <w:tcW w:w="7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EEEEE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Рабочая температура окружающего воздуха</w:t>
            </w:r>
          </w:p>
        </w:tc>
        <w:tc>
          <w:tcPr>
            <w:tcW w:w="21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EEEEE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от –20 до +40 ºС</w:t>
            </w:r>
          </w:p>
        </w:tc>
      </w:tr>
      <w:tr>
        <w:trPr/>
        <w:tc>
          <w:tcPr>
            <w:tcW w:w="7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FAFAFA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Относительная влажность воздуха, при температуре плюс 25 ºС, %, не более</w:t>
            </w:r>
          </w:p>
        </w:tc>
        <w:tc>
          <w:tcPr>
            <w:tcW w:w="21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FAFAFA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95</w:t>
            </w:r>
          </w:p>
        </w:tc>
      </w:tr>
      <w:tr>
        <w:trPr/>
        <w:tc>
          <w:tcPr>
            <w:tcW w:w="7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EEEEE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Группа исполнения по стойкости к механическим факторам по ГОСТ 25467</w:t>
            </w:r>
          </w:p>
        </w:tc>
        <w:tc>
          <w:tcPr>
            <w:tcW w:w="21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EEEEE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М2</w:t>
            </w:r>
          </w:p>
        </w:tc>
      </w:tr>
      <w:tr>
        <w:trPr/>
        <w:tc>
          <w:tcPr>
            <w:tcW w:w="7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FAFAFA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Габаритные размеры (Д х Ш х В), мм, не более</w:t>
            </w:r>
          </w:p>
        </w:tc>
        <w:tc>
          <w:tcPr>
            <w:tcW w:w="21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FAFAFA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440х250х350</w:t>
            </w:r>
          </w:p>
        </w:tc>
      </w:tr>
      <w:tr>
        <w:trPr/>
        <w:tc>
          <w:tcPr>
            <w:tcW w:w="7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EEEEE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Масса установки, кг, не более</w:t>
            </w:r>
          </w:p>
        </w:tc>
        <w:tc>
          <w:tcPr>
            <w:tcW w:w="21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EEEEE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cs="Arial" w:ascii="Arial" w:hAnsi="Arial"/>
                <w:color w:val="333333"/>
                <w:sz w:val="22"/>
                <w:szCs w:val="22"/>
              </w:rPr>
              <w:t>16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240"/>
        <w:jc w:val="center"/>
        <w:textAlignment w:val="baseline"/>
        <w:rPr>
          <w:rFonts w:ascii="Arial" w:hAnsi="Arial" w:eastAsia="Times New Roman" w:cs="Arial"/>
          <w:b/>
          <w:bCs/>
          <w:color w:val="2F3236"/>
          <w:lang w:eastAsia="ru-RU"/>
        </w:rPr>
      </w:pPr>
      <w:r>
        <w:rPr>
          <w:rFonts w:eastAsia="Times New Roman" w:cs="Arial" w:ascii="Arial" w:hAnsi="Arial"/>
          <w:b/>
          <w:bCs/>
          <w:color w:val="2F3236"/>
          <w:lang w:eastAsia="ru-RU"/>
        </w:rPr>
        <w:t>ЭВП электроды для припайки катодных выводов</w:t>
      </w:r>
    </w:p>
    <w:p>
      <w:pPr>
        <w:pStyle w:val="Normal"/>
        <w:rPr/>
      </w:pPr>
      <w:r>
        <w:rPr/>
        <w:t>Электроды ЭВП предназначены для высокотемпературной припайки контактов к стальному сооружению. Пайка осуществляется установкой ПКВ или аналогичной.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Техническое описание</w:t>
      </w:r>
    </w:p>
    <w:p>
      <w:pPr>
        <w:pStyle w:val="Normal"/>
        <w:rPr/>
      </w:pPr>
      <w:r>
        <w:rPr/>
        <w:t>В зависимости от конструктивного исполнения различают два типа электродов:</w:t>
      </w:r>
    </w:p>
    <w:p>
      <w:pPr>
        <w:pStyle w:val="Normal"/>
        <w:rPr/>
      </w:pPr>
      <w:r>
        <w:rPr/>
        <w:t>ЭВП-Д8 – для пайки медных кабельных наконечников (ГОСТ 7386) без защитного металлопокрытия с контрольным отверстием под контактный стержень диаметром 8 мм (см. рисунок, поз. А);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ЭВП-М8 (М10; М12) – для резьбового подключения медных (ГОСТ 7386) и медно–алюминиевых (ГОСТ 9581) кабельных наконечников под контактный стержень диаметром 8 (10; 12) мм (см. рисунок, поз. Б).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709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Таблица %1.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space"/>
      <w:lvlText w:val="Рисунок %1.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space"/>
      <w:lvlText w:val="(%1.%7)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0" w:firstLine="851"/>
      </w:pPr>
      <w:rPr/>
    </w:lvl>
    <w:lvl w:ilvl="8">
      <w:start w:val="1"/>
      <w:numFmt w:val="decimal"/>
      <w:suff w:val="space"/>
      <w:lvlText w:val="%9."/>
      <w:lvlJc w:val="left"/>
      <w:pPr>
        <w:tabs>
          <w:tab w:val="num" w:pos="0"/>
        </w:tabs>
        <w:ind w:left="0" w:firstLine="851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1203d"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1203d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1203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1203d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Абзац списка Знак"/>
    <w:basedOn w:val="DefaultParagraphFont"/>
    <w:link w:val="ListParagraph"/>
    <w:uiPriority w:val="1"/>
    <w:qFormat/>
    <w:rsid w:val="00e1203d"/>
    <w:rPr>
      <w:rFonts w:ascii="Times New Roman" w:hAnsi="Times New Roman" w:cs="Times New Roman"/>
      <w:sz w:val="24"/>
      <w:szCs w:val="24"/>
    </w:rPr>
  </w:style>
  <w:style w:type="character" w:styleId="1" w:customStyle="1">
    <w:name w:val="Заголовок 1 Знак"/>
    <w:basedOn w:val="DefaultParagraphFont"/>
    <w:uiPriority w:val="9"/>
    <w:qFormat/>
    <w:rsid w:val="00e1203d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7" w:customStyle="1">
    <w:name w:val="Основной текст Знак"/>
    <w:basedOn w:val="DefaultParagraphFont"/>
    <w:uiPriority w:val="99"/>
    <w:semiHidden/>
    <w:qFormat/>
    <w:rsid w:val="00e1203d"/>
    <w:rPr>
      <w:rFonts w:ascii="Times New Roman" w:hAnsi="Times New Roman" w:cs="Times New Roman"/>
      <w:sz w:val="24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1203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1203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4"/>
      <w:szCs w:val="24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7"/>
    <w:uiPriority w:val="99"/>
    <w:semiHidden/>
    <w:unhideWhenUsed/>
    <w:rsid w:val="00e1203d"/>
    <w:pPr>
      <w:spacing w:before="0" w:after="120"/>
    </w:pPr>
    <w:rPr/>
  </w:style>
  <w:style w:type="paragraph" w:styleId="List">
    <w:name w:val="List"/>
    <w:basedOn w:val="BodyText"/>
    <w:pPr/>
    <w:rPr>
      <w:rFonts w:ascii="Times New Roman" w:hAnsi="Times New Roman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11" w:customStyle="1">
    <w:name w:val="Заголовок Раздел 1  (Заголовок 1)"/>
    <w:basedOn w:val="Heading1"/>
    <w:next w:val="BodyText"/>
    <w:qFormat/>
    <w:rsid w:val="00e1203d"/>
    <w:pPr>
      <w:keepLines w:val="false"/>
      <w:pageBreakBefore/>
      <w:numPr>
        <w:ilvl w:val="0"/>
        <w:numId w:val="2"/>
      </w:numPr>
      <w:spacing w:lineRule="auto" w:line="276" w:before="360" w:after="360"/>
      <w:jc w:val="both"/>
    </w:pPr>
    <w:rPr>
      <w:rFonts w:ascii="Times New Roman" w:hAnsi="Times New Roman"/>
      <w:bCs w:val="false"/>
      <w:color w:val="000000" w:themeColor="text1"/>
      <w:szCs w:val="32"/>
    </w:rPr>
  </w:style>
  <w:style w:type="paragraph" w:styleId="22" w:customStyle="1">
    <w:name w:val="Заголовок Раздел 2  (Заголовок 2)"/>
    <w:basedOn w:val="Heading2"/>
    <w:next w:val="BodyText"/>
    <w:qFormat/>
    <w:rsid w:val="00e1203d"/>
    <w:pPr>
      <w:keepLines w:val="false"/>
      <w:numPr>
        <w:ilvl w:val="1"/>
        <w:numId w:val="2"/>
      </w:numPr>
      <w:spacing w:lineRule="auto" w:line="276" w:before="240" w:after="240"/>
      <w:jc w:val="both"/>
    </w:pPr>
    <w:rPr>
      <w:rFonts w:ascii="Times New Roman" w:hAnsi="Times New Roman"/>
      <w:bCs w:val="false"/>
      <w:color w:val="000000" w:themeColor="text1"/>
      <w:sz w:val="24"/>
    </w:rPr>
  </w:style>
  <w:style w:type="paragraph" w:styleId="33" w:customStyle="1">
    <w:name w:val="Заголовок Раздел 3  (Заголовок 3)"/>
    <w:basedOn w:val="Heading3"/>
    <w:next w:val="BodyText"/>
    <w:qFormat/>
    <w:rsid w:val="00e1203d"/>
    <w:pPr>
      <w:keepLines w:val="false"/>
      <w:numPr>
        <w:ilvl w:val="2"/>
        <w:numId w:val="2"/>
      </w:numPr>
      <w:spacing w:lineRule="auto" w:line="276" w:before="240" w:after="240"/>
      <w:jc w:val="both"/>
    </w:pPr>
    <w:rPr>
      <w:rFonts w:ascii="Times New Roman" w:hAnsi="Times New Roman"/>
      <w:bCs w:val="false"/>
      <w:color w:val="000000" w:themeColor="text1"/>
    </w:rPr>
  </w:style>
  <w:style w:type="paragraph" w:styleId="4" w:customStyle="1">
    <w:name w:val="Пункт 4"/>
    <w:qFormat/>
    <w:rsid w:val="00e1203d"/>
    <w:pPr>
      <w:widowControl/>
      <w:numPr>
        <w:ilvl w:val="3"/>
        <w:numId w:val="2"/>
      </w:numPr>
      <w:suppressAutoHyphens w:val="true"/>
      <w:bidi w:val="0"/>
      <w:spacing w:lineRule="auto" w:line="276" w:before="12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en-US" w:bidi="ar-SA"/>
    </w:rPr>
  </w:style>
  <w:style w:type="paragraph" w:styleId="ListParagraph">
    <w:name w:val="List Paragraph"/>
    <w:basedOn w:val="Normal"/>
    <w:link w:val="Style6"/>
    <w:uiPriority w:val="1"/>
    <w:qFormat/>
    <w:rsid w:val="00e1203d"/>
    <w:pPr>
      <w:spacing w:before="0" w:after="160"/>
      <w:ind w:hanging="0" w:left="720"/>
      <w:contextualSpacing/>
    </w:pPr>
    <w:rPr/>
  </w:style>
  <w:style w:type="paragraph" w:styleId="Style10" w:customStyle="1">
    <w:name w:val="Таблица (номер в разделе)"/>
    <w:basedOn w:val="Normal"/>
    <w:next w:val="BodyText"/>
    <w:qFormat/>
    <w:rsid w:val="00e1203d"/>
    <w:pPr>
      <w:keepNext w:val="true"/>
      <w:numPr>
        <w:ilvl w:val="4"/>
        <w:numId w:val="2"/>
      </w:numPr>
      <w:spacing w:lineRule="auto" w:line="276" w:before="120" w:after="120"/>
    </w:pPr>
    <w:rPr/>
  </w:style>
  <w:style w:type="paragraph" w:styleId="Style11" w:customStyle="1">
    <w:name w:val="Рисунок (номер в разделе)"/>
    <w:basedOn w:val="Normal"/>
    <w:next w:val="BodyText"/>
    <w:qFormat/>
    <w:rsid w:val="00e1203d"/>
    <w:pPr>
      <w:numPr>
        <w:ilvl w:val="5"/>
        <w:numId w:val="2"/>
      </w:numPr>
      <w:spacing w:lineRule="auto" w:line="276" w:before="120" w:after="120"/>
      <w:jc w:val="center"/>
    </w:pPr>
    <w:rPr/>
  </w:style>
  <w:style w:type="paragraph" w:styleId="Style12" w:customStyle="1">
    <w:name w:val="Формула (номер в разделе)"/>
    <w:basedOn w:val="Normal"/>
    <w:qFormat/>
    <w:rsid w:val="00e1203d"/>
    <w:pPr>
      <w:numPr>
        <w:ilvl w:val="6"/>
        <w:numId w:val="2"/>
      </w:numPr>
      <w:spacing w:lineRule="auto" w:line="276" w:before="120" w:after="0"/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CDD77-F7D4-4930-B042-09FA93F0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AlterOffice/2026.2.0.0$Linux_X86_64 LibreOffice_project/bc4ef1adf80b36c7a6365f8ed6cbf29021361edd</Application>
  <AppVersion>15.0000</AppVersion>
  <Pages>4</Pages>
  <Words>742</Words>
  <Characters>4990</Characters>
  <CharactersWithSpaces>5649</CharactersWithSpaces>
  <Paragraphs>77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2026-07-29T10:10:00Z</dcterms:created>
  <dc:creator>Смирнов Сергей Владимирович</dc:creator>
  <dc:description/>
  <dc:language>ru-RU</dc:language>
  <cp:lastModifiedBy/>
  <dcterms:modified xsi:type="dcterms:W3CDTF">2026-07-30T11:06:51Z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