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360" w:after="360"/>
        <w:ind w:hanging="0" w:left="0"/>
        <w:rPr/>
      </w:pPr>
      <w:r>
        <w:rPr/>
        <w:t>«ОКПД2: 46.69.</w:t>
      </w:r>
      <w:r>
        <w:rPr/>
        <w:t>1</w:t>
      </w:r>
      <w:r>
        <w:rPr/>
        <w:t>9 Комплектующие к поставке оборудования для замеров разности электрических потенциалов элементов технического водоснабжения».</w:t>
      </w:r>
    </w:p>
    <w:p>
      <w:pPr>
        <w:pStyle w:val="11"/>
        <w:pageBreakBefore w:val="false"/>
        <w:numPr>
          <w:ilvl w:val="0"/>
          <w:numId w:val="2"/>
        </w:numPr>
        <w:rPr/>
      </w:pPr>
      <w:bookmarkStart w:id="0" w:name="_Toc234483263"/>
      <w:bookmarkStart w:id="1" w:name="_GoBack"/>
      <w:bookmarkEnd w:id="1"/>
      <w:r>
        <w:rPr/>
        <w:t>Технические требования к оборудованию</w:t>
      </w:r>
      <w:bookmarkEnd w:id="0"/>
      <w:r>
        <w:rPr/>
        <w:t xml:space="preserve"> </w:t>
      </w:r>
    </w:p>
    <w:p>
      <w:pPr>
        <w:pStyle w:val="22"/>
        <w:numPr>
          <w:ilvl w:val="1"/>
          <w:numId w:val="2"/>
        </w:numPr>
        <w:rPr/>
      </w:pPr>
      <w:bookmarkStart w:id="2" w:name="_Toc234483264"/>
      <w:r>
        <w:rPr/>
        <w:t>Общие требования</w:t>
      </w:r>
      <w:bookmarkEnd w:id="2"/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Оборудование должно производить замеры потенциалов и управляться с помощью встроенных микропроцессорных устройств и специализированного программного обеспечения. Оно должно иметь интерфейсы к рабочим станциям для передачи данных.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Продавец должен гарантировать продажу запасных частей по всей номенклатуре поставляемого оборудования в течение всего срока службы аппаратуры.</w:t>
      </w:r>
    </w:p>
    <w:p>
      <w:pPr>
        <w:pStyle w:val="Normal"/>
        <w:spacing w:lineRule="auto" w:line="276" w:before="0" w:after="0"/>
        <w:ind w:firstLine="709"/>
        <w:contextualSpacing/>
        <w:jc w:val="both"/>
        <w:rPr/>
      </w:pPr>
      <w:r>
        <w:rPr/>
        <w:t>Оборудование систем связи должно быть выбрано с учетом действующих нормативных документов РФ. Приоритет должен отдаваться оборудованию, произведённому на территории Российской Федерации и имеющему статус телекоммуникационного оборудования российского происхождения в соответствии с Постановлением Правительства от 10.07.2019 № 878, включенного в Единый реестр российской радиоэлектронной продукции, и телекоммуникационным аппаратно-программным комплексам, программное обеспечение которых включено в Реестр российских программ для электронных вычислительных машин и баз данных в соответствии с Постановлением Правительства Российской Федерации от 16.11.2015 № 1236 «</w:t>
      </w:r>
      <w:r>
        <w:rPr>
          <w:color w:val="22272F"/>
          <w:shd w:fill="FFFFFF" w:val="clear"/>
        </w:rPr>
        <w:t>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</w:t>
      </w:r>
      <w:r>
        <w:rPr/>
        <w:t>» и приказом Министерства цифрового развития, связи и массовых коммуникаций Российской Федерации от 20.09.2018 № 486 «Об утверждении методических рекомендаций по переходу государственных компаний на преимущественное использование отечественного программного обеспечения, в том числе отечественного офисного программного обеспечения».</w:t>
      </w:r>
    </w:p>
    <w:p>
      <w:pPr>
        <w:pStyle w:val="Normal"/>
        <w:spacing w:lineRule="auto" w:line="276" w:before="0" w:after="0"/>
        <w:ind w:firstLine="709"/>
        <w:contextualSpacing/>
        <w:jc w:val="both"/>
        <w:rPr/>
      </w:pPr>
      <w:r>
        <w:rPr/>
      </w:r>
    </w:p>
    <w:p>
      <w:pPr>
        <w:pStyle w:val="22"/>
        <w:numPr>
          <w:ilvl w:val="1"/>
          <w:numId w:val="2"/>
        </w:numPr>
        <w:rPr/>
      </w:pPr>
      <w:bookmarkStart w:id="3" w:name="_Toc234483265"/>
      <w:r>
        <w:rPr/>
        <w:t>Требования к оборудованию</w:t>
      </w:r>
      <w:bookmarkEnd w:id="3"/>
    </w:p>
    <w:p>
      <w:pPr>
        <w:pStyle w:val="Normal"/>
        <w:spacing w:lineRule="auto" w:line="240" w:before="0" w:after="240"/>
        <w:jc w:val="center"/>
        <w:textAlignment w:val="baseline"/>
        <w:rPr>
          <w:rFonts w:ascii="Arial" w:hAnsi="Arial" w:eastAsia="Times New Roman" w:cs="Arial"/>
          <w:b/>
          <w:bCs/>
          <w:color w:val="2F3236"/>
          <w:lang w:eastAsia="ru-RU"/>
        </w:rPr>
      </w:pPr>
      <w:r>
        <w:rPr>
          <w:rFonts w:eastAsia="Times New Roman" w:cs="Arial" w:ascii="Arial" w:hAnsi="Arial"/>
          <w:b/>
          <w:bCs/>
          <w:color w:val="2F3236"/>
          <w:lang w:eastAsia="ru-RU"/>
        </w:rPr>
        <w:t>Электроды сравнения ЭС-ТСТ-СТЭЛС-Р40-</w:t>
      </w:r>
      <w:r>
        <w:rPr>
          <w:rFonts w:eastAsia="Times New Roman" w:cs="Arial" w:ascii="Arial" w:hAnsi="Arial"/>
          <w:b/>
          <w:bCs/>
          <w:color w:val="2F3236"/>
          <w:lang w:val="en-US" w:eastAsia="ru-RU"/>
        </w:rPr>
        <w:t>Ag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 xml:space="preserve">Электрод сравнения — это электрод с устойчивым и воспроизводимым потенциалом, который может быть использован для измерения других электродных потенциалов. Стационарные электроды сравнения используются для мониторинга и контроля уровня катодной защиты. 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Стационарный электрод сравнения СТЭЛС разработан для подземной работы и не требует специальной засыпки, а также для работы в воде (жидкости) и в затопленных зонах. При этом электрод сравнения будет сохранять стабильность работы в пустынных сухих почвах и в почвах с высоким содержанием влаги. Замерзание не влияет на производительность электродов сравнения.</w:t>
      </w:r>
    </w:p>
    <w:p>
      <w:pPr>
        <w:pStyle w:val="Normal"/>
        <w:spacing w:lineRule="auto" w:line="240" w:before="0" w:after="240"/>
        <w:jc w:val="center"/>
        <w:textAlignment w:val="baseline"/>
        <w:rPr>
          <w:rFonts w:ascii="Arial" w:hAnsi="Arial" w:eastAsia="Times New Roman" w:cs="Arial"/>
          <w:b/>
          <w:bCs/>
          <w:color w:val="2F3236"/>
          <w:lang w:eastAsia="ru-RU"/>
        </w:rPr>
      </w:pPr>
      <w:r>
        <w:rPr>
          <w:rFonts w:eastAsia="Times New Roman" w:cs="Arial" w:ascii="Arial" w:hAnsi="Arial"/>
          <w:b/>
          <w:bCs/>
          <w:color w:val="2F3236"/>
          <w:lang w:eastAsia="ru-RU"/>
        </w:rPr>
      </w:r>
    </w:p>
    <w:tbl>
      <w:tblPr>
        <w:tblW w:w="4350" w:type="pct"/>
        <w:jc w:val="left"/>
        <w:tblInd w:w="800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noHBand="0" w:noVBand="1" w:firstColumn="1" w:lastRow="0" w:lastColumn="0" w:firstRow="1"/>
      </w:tblPr>
      <w:tblGrid>
        <w:gridCol w:w="5834"/>
        <w:gridCol w:w="2303"/>
      </w:tblGrid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Площадь чувствительной поверхности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838 мм</w:t>
            </w: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Площадь поверхности медного стержня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123 мм</w:t>
            </w: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Средний размер пор сенсорной зоны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17 мкм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Стабильность при нагрузке 3 мкА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5 мВ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Внутреннее сопротивление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48 Ом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Диапазон рабочих температур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 xml:space="preserve">— </w:t>
            </w: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18…+85 °С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Диапазон температур хранения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 xml:space="preserve">— </w:t>
            </w: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40…+85 °С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Габаритные размеры, длина/диаметр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20 см / 5,1 см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Минимальный расчетный срок службы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30 лет</w:t>
            </w:r>
          </w:p>
        </w:tc>
      </w:tr>
      <w:tr>
        <w:trPr/>
        <w:tc>
          <w:tcPr>
            <w:tcW w:w="5834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Срок хранения (без ограничения условий)</w:t>
            </w:r>
          </w:p>
        </w:tc>
        <w:tc>
          <w:tcPr>
            <w:tcW w:w="2303" w:type="dxa"/>
            <w:tcBorders>
              <w:top w:val="single" w:sz="6" w:space="0" w:color="4C4C4C"/>
              <w:left w:val="single" w:sz="6" w:space="0" w:color="4C4C4C"/>
              <w:bottom w:val="single" w:sz="6" w:space="0" w:color="4C4C4C"/>
              <w:right w:val="single" w:sz="6" w:space="0" w:color="4C4C4C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300" w:beforeAutospacing="1" w:after="0"/>
              <w:jc w:val="center"/>
              <w:textAlignment w:val="baseline"/>
              <w:rPr>
                <w:rFonts w:eastAsia="Times New Roman"/>
                <w:color w:val="555555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555555"/>
                <w:sz w:val="20"/>
                <w:szCs w:val="20"/>
                <w:lang w:eastAsia="ru-RU"/>
              </w:rPr>
              <w:t>Неограничен</w:t>
            </w:r>
          </w:p>
        </w:tc>
      </w:tr>
    </w:tbl>
    <w:p>
      <w:pPr>
        <w:pStyle w:val="Normal"/>
        <w:spacing w:lineRule="auto" w:line="276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ВСПОМОГАТЕЛЬНЫЙ ЭЛЕКТРОД: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Площадь рабочей поверхности – 1 см2.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Длина кабеля – 7 м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Материал электрода – трубная сталь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Параметры для контроля (в составе подсистем ПКМ-ТСТ):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Поляризационный потенциал;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Постоянный (защитный) ток сооружение – ВЭ;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Переменный ток сооружение – ВЭ;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Плотность постоянного и переменного токов;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contextualSpacing/>
        <w:jc w:val="both"/>
        <w:rPr>
          <w:spacing w:val="2"/>
        </w:rPr>
      </w:pPr>
      <w:r>
        <w:rPr>
          <w:spacing w:val="2"/>
        </w:rPr>
        <w:t>Сопротивление растеканию переменного тока.</w:t>
      </w:r>
    </w:p>
    <w:p>
      <w:pPr>
        <w:pStyle w:val="Normal"/>
        <w:spacing w:lineRule="auto" w:line="276" w:before="0" w:after="0"/>
        <w:ind w:hanging="0" w:left="720"/>
        <w:textAlignment w:val="baseline"/>
        <w:rPr>
          <w:rFonts w:eastAsia="Times New Roman"/>
          <w:spacing w:val="-2"/>
          <w:lang w:val="en-US" w:eastAsia="ru-RU"/>
        </w:rPr>
      </w:pPr>
      <w:r>
        <w:rPr>
          <w:rFonts w:eastAsia="Times New Roman"/>
          <w:spacing w:val="-2"/>
          <w:lang w:val="en-US" w:eastAsia="ru-RU"/>
        </w:rPr>
      </w:r>
    </w:p>
    <w:p>
      <w:pPr>
        <w:pStyle w:val="Normal"/>
        <w:spacing w:lineRule="auto" w:line="240" w:before="0" w:after="240"/>
        <w:jc w:val="center"/>
        <w:textAlignment w:val="baseline"/>
        <w:rPr>
          <w:rFonts w:ascii="Arial" w:hAnsi="Arial" w:eastAsia="Times New Roman" w:cs="Arial"/>
          <w:b/>
          <w:bCs/>
          <w:color w:val="2F3236"/>
          <w:lang w:eastAsia="ru-RU"/>
        </w:rPr>
      </w:pPr>
      <w:r>
        <w:rPr>
          <w:rFonts w:eastAsia="Times New Roman" w:cs="Arial" w:ascii="Arial" w:hAnsi="Arial"/>
          <w:b/>
          <w:bCs/>
          <w:color w:val="2F3236"/>
          <w:lang w:eastAsia="ru-RU"/>
        </w:rPr>
        <w:t>Стойка стационарного контрольно-измерительного пункта (СКИП-1)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На стойках СКИП проводится контроль эффективности работы средств электрохимической защиты, замер величин защитного (разностного и поляризационного) потенциала, а также выполняется подключение диагностических средств и мониторинг защищаемых металлических сооружений, находящихся под землей.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Стойка СКИП предназначена для работы в условиях, когда температура окружающей среды колеблется от -50 до +50 градусов Цельсия, в атмосфере типа I и II (климатическое исполнение стойки У категории размещения 1 по ГОСТ 15150-69).</w:t>
      </w:r>
    </w:p>
    <w:p>
      <w:pPr>
        <w:pStyle w:val="Normal"/>
        <w:spacing w:lineRule="auto" w:line="276" w:before="0" w:after="0"/>
        <w:ind w:firstLine="709"/>
        <w:jc w:val="both"/>
        <w:rPr/>
      </w:pPr>
      <w:r>
        <w:rPr/>
        <w:t>Нормативный срок службы стоек составляет 20 лет.</w:t>
      </w:r>
    </w:p>
    <w:p>
      <w:pPr>
        <w:pStyle w:val="Normal"/>
        <w:shd w:val="clear" w:color="auto" w:fill="FFFFFF"/>
        <w:spacing w:lineRule="auto" w:line="240" w:before="0" w:after="120"/>
        <w:jc w:val="center"/>
        <w:rPr>
          <w:rFonts w:ascii="Arial" w:hAnsi="Arial" w:eastAsia="Times New Roman" w:cs="Arial"/>
          <w:color w:val="292F33"/>
          <w:sz w:val="21"/>
          <w:szCs w:val="21"/>
          <w:lang w:eastAsia="ru-RU"/>
        </w:rPr>
      </w:pPr>
      <w:r>
        <w:rPr>
          <w:rFonts w:eastAsia="Times New Roman" w:cs="Arial" w:ascii="Arial" w:hAnsi="Arial"/>
          <w:color w:val="292F33"/>
          <w:sz w:val="21"/>
          <w:szCs w:val="21"/>
          <w:lang w:eastAsia="ru-RU"/>
        </w:rPr>
        <w:t>Технические характеристики</w:t>
      </w:r>
    </w:p>
    <w:tbl>
      <w:tblPr>
        <w:tblW w:w="9450" w:type="dxa"/>
        <w:jc w:val="center"/>
        <w:tblInd w:w="0" w:type="dxa"/>
        <w:tblLayout w:type="fixed"/>
        <w:tblCellMar>
          <w:top w:w="150" w:type="dxa"/>
          <w:left w:w="225" w:type="dxa"/>
          <w:bottom w:w="150" w:type="dxa"/>
          <w:right w:w="225" w:type="dxa"/>
        </w:tblCellMar>
        <w:tblLook w:val="04a0" w:noHBand="0" w:noVBand="1" w:firstColumn="1" w:lastRow="0" w:lastColumn="0" w:firstRow="1"/>
      </w:tblPr>
      <w:tblGrid>
        <w:gridCol w:w="5948"/>
        <w:gridCol w:w="3501"/>
      </w:tblGrid>
      <w:tr>
        <w:trPr>
          <w:trHeight w:val="372" w:hRule="atLeast"/>
        </w:trPr>
        <w:tc>
          <w:tcPr>
            <w:tcW w:w="5948" w:type="dxa"/>
            <w:vMerge w:val="restart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Параметры</w:t>
            </w:r>
          </w:p>
        </w:tc>
        <w:tc>
          <w:tcPr>
            <w:tcW w:w="3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5948" w:type="dxa"/>
            <w:vMerge w:val="continue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Норма параметров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Габаритные размеры, мм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H*x260x250</w:t>
            </w:r>
          </w:p>
        </w:tc>
      </w:tr>
      <w:tr>
        <w:trPr>
          <w:trHeight w:val="20" w:hRule="atLeast"/>
        </w:trPr>
        <w:tc>
          <w:tcPr>
            <w:tcW w:w="9449" w:type="dxa"/>
            <w:gridSpan w:val="2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Диаметр стойки, мм: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наружный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114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внутренний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107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Масса, кг, не более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27</w:t>
            </w:r>
          </w:p>
        </w:tc>
      </w:tr>
      <w:tr>
        <w:trPr>
          <w:trHeight w:val="20" w:hRule="atLeast"/>
        </w:trPr>
        <w:tc>
          <w:tcPr>
            <w:tcW w:w="9449" w:type="dxa"/>
            <w:gridSpan w:val="2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Сечение проводов, мм: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измерительные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до 2,5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силовые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до 35</w:t>
            </w:r>
          </w:p>
        </w:tc>
      </w:tr>
      <w:tr>
        <w:trPr>
          <w:trHeight w:val="20" w:hRule="atLeast"/>
        </w:trPr>
        <w:tc>
          <w:tcPr>
            <w:tcW w:w="9449" w:type="dxa"/>
            <w:gridSpan w:val="2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Количество клемм, шт.: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измерительные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до 24(2х12)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силовые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до 8 (2х4)</w:t>
            </w:r>
          </w:p>
        </w:tc>
      </w:tr>
      <w:tr>
        <w:trPr>
          <w:trHeight w:val="20" w:hRule="atLeast"/>
        </w:trPr>
        <w:tc>
          <w:tcPr>
            <w:tcW w:w="5948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измерительные вместе с силовыми</w:t>
            </w:r>
          </w:p>
        </w:tc>
        <w:tc>
          <w:tcPr>
            <w:tcW w:w="3501" w:type="dxa"/>
            <w:tcBorders>
              <w:top w:val="single" w:sz="6" w:space="0" w:color="EEEFF2"/>
              <w:left w:val="single" w:sz="6" w:space="0" w:color="EEEFF2"/>
              <w:bottom w:val="single" w:sz="6" w:space="0" w:color="EEEFF2"/>
              <w:right w:val="single" w:sz="6" w:space="0" w:color="EEEFF2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 w:eastAsia="Times New Roman" w:cs="Arial"/>
                <w:color w:val="292F33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292F33"/>
                <w:sz w:val="21"/>
                <w:szCs w:val="21"/>
                <w:lang w:eastAsia="ru-RU"/>
              </w:rPr>
              <w:t>12+4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20"/>
        <w:jc w:val="center"/>
        <w:rPr>
          <w:rFonts w:ascii="Arial" w:hAnsi="Arial" w:eastAsia="Times New Roman" w:cs="Arial"/>
          <w:color w:val="292F33"/>
          <w:lang w:eastAsia="ru-RU"/>
        </w:rPr>
      </w:pPr>
      <w:r>
        <w:rPr>
          <w:rFonts w:eastAsia="Times New Roman" w:cs="Arial" w:ascii="Arial" w:hAnsi="Arial"/>
          <w:color w:val="292F33"/>
          <w:lang w:eastAsia="ru-RU"/>
        </w:rPr>
        <w:t>*H - высота стойки СКИП-1 определяется глубиной заложения трубопроводов</w:t>
      </w:r>
    </w:p>
    <w:p>
      <w:pPr>
        <w:pStyle w:val="Normal"/>
        <w:spacing w:lineRule="auto" w:line="240" w:before="0" w:after="120"/>
        <w:ind w:firstLine="709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709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shadow w:val="false"/>
        <w:u w:val="none"/>
        <w:b/>
        <w:kern w:val="0"/>
        <w:effect w:val="none"/>
        <w:iCs w:val="false"/>
        <w:bCs w:val="false"/>
        <w:em w:val="none"/>
        <w:emboss w:val="false"/>
        <w:imprint w:val="false"/>
        <w:vanish w:val="false"/>
        <w:rFonts w:ascii="Times New Roman" w:hAnsi="Times New Roman" w:cs="Times New Roman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Таблица %1.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space"/>
      <w:lvlText w:val="Рисунок %1.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space"/>
      <w:lvlText w:val="(%1.%7)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0" w:firstLine="851"/>
      </w:pPr>
      <w:rPr/>
    </w:lvl>
    <w:lvl w:ilvl="8">
      <w:start w:val="1"/>
      <w:numFmt w:val="decimal"/>
      <w:suff w:val="space"/>
      <w:lvlText w:val="%9."/>
      <w:lvlJc w:val="left"/>
      <w:pPr>
        <w:tabs>
          <w:tab w:val="num" w:pos="0"/>
        </w:tabs>
        <w:ind w:left="0" w:firstLine="851"/>
      </w:pPr>
      <w:rPr/>
    </w:lvl>
  </w:abstractNum>
  <w:abstractNum w:abstractNumId="3">
    <w:lvl w:ilvl="0">
      <w:start w:val="1"/>
      <w:numFmt w:val="bullet"/>
      <w:lvlText w:val="─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1203d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1203d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1203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1203d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Абзац списка Знак"/>
    <w:basedOn w:val="DefaultParagraphFont"/>
    <w:link w:val="ListParagraph"/>
    <w:uiPriority w:val="1"/>
    <w:qFormat/>
    <w:rsid w:val="00e1203d"/>
    <w:rPr>
      <w:rFonts w:ascii="Times New Roman" w:hAnsi="Times New Roman" w:cs="Times New Roman"/>
      <w:sz w:val="24"/>
      <w:szCs w:val="24"/>
    </w:rPr>
  </w:style>
  <w:style w:type="character" w:styleId="1" w:customStyle="1">
    <w:name w:val="Заголовок 1 Знак"/>
    <w:basedOn w:val="DefaultParagraphFont"/>
    <w:uiPriority w:val="9"/>
    <w:qFormat/>
    <w:rsid w:val="00e1203d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7" w:customStyle="1">
    <w:name w:val="Основной текст Знак"/>
    <w:basedOn w:val="DefaultParagraphFont"/>
    <w:uiPriority w:val="99"/>
    <w:semiHidden/>
    <w:qFormat/>
    <w:rsid w:val="00e1203d"/>
    <w:rPr>
      <w:rFonts w:ascii="Times New Roman" w:hAnsi="Times New Roman" w:cs="Times New Roman"/>
      <w:sz w:val="24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1203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1203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4"/>
      <w:szCs w:val="24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7"/>
    <w:uiPriority w:val="99"/>
    <w:semiHidden/>
    <w:unhideWhenUsed/>
    <w:rsid w:val="00e1203d"/>
    <w:pPr>
      <w:spacing w:before="0" w:after="12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11" w:customStyle="1">
    <w:name w:val="Заголовок Раздел 1  (Заголовок 1)"/>
    <w:basedOn w:val="Heading1"/>
    <w:next w:val="BodyText"/>
    <w:qFormat/>
    <w:rsid w:val="00e1203d"/>
    <w:pPr>
      <w:keepLines w:val="false"/>
      <w:pageBreakBefore/>
      <w:numPr>
        <w:ilvl w:val="0"/>
        <w:numId w:val="2"/>
      </w:numPr>
      <w:spacing w:lineRule="auto" w:line="276" w:before="360" w:after="360"/>
      <w:jc w:val="both"/>
    </w:pPr>
    <w:rPr>
      <w:rFonts w:ascii="Times New Roman" w:hAnsi="Times New Roman"/>
      <w:bCs w:val="false"/>
      <w:color w:val="000000" w:themeColor="text1"/>
      <w:szCs w:val="32"/>
    </w:rPr>
  </w:style>
  <w:style w:type="paragraph" w:styleId="22" w:customStyle="1">
    <w:name w:val="Заголовок Раздел 2  (Заголовок 2)"/>
    <w:basedOn w:val="Heading2"/>
    <w:next w:val="BodyText"/>
    <w:qFormat/>
    <w:rsid w:val="00e1203d"/>
    <w:pPr>
      <w:keepLines w:val="false"/>
      <w:numPr>
        <w:ilvl w:val="1"/>
        <w:numId w:val="2"/>
      </w:numPr>
      <w:spacing w:lineRule="auto" w:line="276" w:before="240" w:after="240"/>
      <w:jc w:val="both"/>
    </w:pPr>
    <w:rPr>
      <w:rFonts w:ascii="Times New Roman" w:hAnsi="Times New Roman"/>
      <w:bCs w:val="false"/>
      <w:color w:val="000000" w:themeColor="text1"/>
      <w:sz w:val="24"/>
    </w:rPr>
  </w:style>
  <w:style w:type="paragraph" w:styleId="33" w:customStyle="1">
    <w:name w:val="Заголовок Раздел 3  (Заголовок 3)"/>
    <w:basedOn w:val="Heading3"/>
    <w:next w:val="BodyText"/>
    <w:qFormat/>
    <w:rsid w:val="00e1203d"/>
    <w:pPr>
      <w:keepLines w:val="false"/>
      <w:numPr>
        <w:ilvl w:val="2"/>
        <w:numId w:val="2"/>
      </w:numPr>
      <w:spacing w:lineRule="auto" w:line="276" w:before="240" w:after="240"/>
      <w:jc w:val="both"/>
    </w:pPr>
    <w:rPr>
      <w:rFonts w:ascii="Times New Roman" w:hAnsi="Times New Roman"/>
      <w:bCs w:val="false"/>
      <w:color w:val="000000" w:themeColor="text1"/>
    </w:rPr>
  </w:style>
  <w:style w:type="paragraph" w:styleId="4" w:customStyle="1">
    <w:name w:val="Пункт 4"/>
    <w:qFormat/>
    <w:rsid w:val="00e1203d"/>
    <w:pPr>
      <w:widowControl/>
      <w:numPr>
        <w:ilvl w:val="3"/>
        <w:numId w:val="2"/>
      </w:numPr>
      <w:suppressAutoHyphens w:val="true"/>
      <w:bidi w:val="0"/>
      <w:spacing w:lineRule="auto" w:line="276" w:before="12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link w:val="Style6"/>
    <w:uiPriority w:val="1"/>
    <w:qFormat/>
    <w:rsid w:val="00e1203d"/>
    <w:pPr>
      <w:spacing w:before="0" w:after="160"/>
      <w:ind w:hanging="0" w:left="720"/>
      <w:contextualSpacing/>
    </w:pPr>
    <w:rPr/>
  </w:style>
  <w:style w:type="paragraph" w:styleId="Style10" w:customStyle="1">
    <w:name w:val="Таблица (номер в разделе)"/>
    <w:basedOn w:val="Normal"/>
    <w:next w:val="BodyText"/>
    <w:qFormat/>
    <w:rsid w:val="00e1203d"/>
    <w:pPr>
      <w:keepNext w:val="true"/>
      <w:numPr>
        <w:ilvl w:val="4"/>
        <w:numId w:val="2"/>
      </w:numPr>
      <w:spacing w:lineRule="auto" w:line="276" w:before="120" w:after="120"/>
    </w:pPr>
    <w:rPr/>
  </w:style>
  <w:style w:type="paragraph" w:styleId="Style11" w:customStyle="1">
    <w:name w:val="Рисунок (номер в разделе)"/>
    <w:basedOn w:val="Normal"/>
    <w:next w:val="BodyText"/>
    <w:qFormat/>
    <w:rsid w:val="00e1203d"/>
    <w:pPr>
      <w:numPr>
        <w:ilvl w:val="5"/>
        <w:numId w:val="2"/>
      </w:numPr>
      <w:spacing w:lineRule="auto" w:line="276" w:before="120" w:after="120"/>
      <w:jc w:val="center"/>
    </w:pPr>
    <w:rPr/>
  </w:style>
  <w:style w:type="paragraph" w:styleId="Style12" w:customStyle="1">
    <w:name w:val="Формула (номер в разделе)"/>
    <w:basedOn w:val="Normal"/>
    <w:qFormat/>
    <w:rsid w:val="00e1203d"/>
    <w:pPr>
      <w:numPr>
        <w:ilvl w:val="6"/>
        <w:numId w:val="2"/>
      </w:numPr>
      <w:spacing w:lineRule="auto" w:line="276" w:before="120" w:after="0"/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C9851-299A-4431-876E-F360C534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AlterOffice/2026.2.0.0$Linux_X86_64 LibreOffice_project/bc4ef1adf80b36c7a6365f8ed6cbf29021361edd</Application>
  <AppVersion>15.0000</AppVersion>
  <Pages>3</Pages>
  <Words>523</Words>
  <Characters>3727</Characters>
  <CharactersWithSpaces>4179</CharactersWithSpaces>
  <Paragraphs>69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2026-07-29T10:09:00Z</dcterms:created>
  <dc:creator>Смирнов Сергей Владимирович</dc:creator>
  <dc:description/>
  <dc:language>ru-RU</dc:language>
  <cp:lastModifiedBy/>
  <dcterms:modified xsi:type="dcterms:W3CDTF">2026-07-30T11:07:08Z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