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bookmarkStart w:id="0" w:name="_GoBack"/>
      <w:bookmarkEnd w:id="0"/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Cs w:val="24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284" w:hanging="284"/>
        <w:jc w:val="both"/>
        <w:rPr>
          <w:rFonts w:ascii="Times New Roman" w:hAnsi="Times New Roman" w:eastAsia="Calibri"/>
          <w:b/>
          <w:szCs w:val="24"/>
        </w:rPr>
      </w:pPr>
      <w:r>
        <w:rPr>
          <w:rFonts w:eastAsia="Calibri" w:ascii="Times New Roman" w:hAnsi="Times New Roman"/>
          <w:b/>
          <w:szCs w:val="24"/>
        </w:rPr>
        <w:t>Общая информация</w:t>
      </w:r>
    </w:p>
    <w:tbl>
      <w:tblPr>
        <w:tblStyle w:val="11"/>
        <w:tblW w:w="10205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409"/>
        <w:gridCol w:w="6945"/>
      </w:tblGrid>
      <w:tr>
        <w:trPr>
          <w:trHeight w:val="533" w:hRule="atLeast"/>
        </w:trPr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409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b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6945" w:type="dxa"/>
            <w:tcBorders/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shd w:val="clear" w:color="auto" w:fill="FFFFFF"/>
              <w:suppressAutoHyphens w:val="true"/>
              <w:spacing w:lineRule="exact" w:line="360" w:before="120" w:after="0"/>
              <w:contextualSpacing/>
              <w:jc w:val="both"/>
              <w:rPr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shd w:fill="FFFFFF" w:val="clear"/>
                <w:lang w:bidi="ar-SA"/>
              </w:rPr>
              <w:t>Информация по лоту</w:t>
            </w:r>
          </w:p>
        </w:tc>
      </w:tr>
      <w:tr>
        <w:trPr>
          <w:trHeight w:val="504" w:hRule="atLeast"/>
        </w:trPr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6945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ОКПД2: 84.25.11.120 Освидетельствование модулей газового пожаротушения МПА-NVC1230 Филиала ПАО «РусГидро» - «Каскад Верхневолжских ГЭС».</w:t>
            </w:r>
          </w:p>
        </w:tc>
      </w:tr>
      <w:tr>
        <w:trPr>
          <w:trHeight w:val="336" w:hRule="atLeast"/>
        </w:trPr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>Номер лота</w:t>
            </w:r>
          </w:p>
        </w:tc>
        <w:tc>
          <w:tcPr>
            <w:tcW w:w="694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41077839-ЭКСП ПРОД-2026-КВВГЭС</w:t>
            </w:r>
          </w:p>
        </w:tc>
      </w:tr>
      <w:tr>
        <w:trPr>
          <w:trHeight w:val="322" w:hRule="atLeast"/>
        </w:trPr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6945" w:type="dxa"/>
            <w:tcBorders/>
            <w:shd w:color="auto" w:fill="FFFFFF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hd w:val="clear" w:color="auto" w:fill="FFFFFF"/>
              <w:suppressAutoHyphens w:val="true"/>
              <w:spacing w:before="0" w:after="0"/>
              <w:jc w:val="both"/>
              <w:rPr>
                <w:rFonts w:cs="Times New Roman"/>
                <w:kern w:val="0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bidi="ar-SA"/>
              </w:rPr>
              <w:t>688 421,19 руб., без учета НДС.</w:t>
            </w:r>
          </w:p>
        </w:tc>
      </w:tr>
    </w:tbl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spacing w:lineRule="exact" w:line="360"/>
        <w:ind w:left="0" w:hanging="0"/>
        <w:jc w:val="both"/>
        <w:rPr>
          <w:rFonts w:ascii="Times New Roman" w:hAnsi="Times New Roman" w:eastAsia="Calibri"/>
          <w:b/>
          <w:szCs w:val="24"/>
        </w:rPr>
      </w:pPr>
      <w:r>
        <w:rPr>
          <w:rFonts w:eastAsia="Calibri" w:ascii="Times New Roman" w:hAnsi="Times New Roman"/>
          <w:b/>
          <w:szCs w:val="24"/>
        </w:rPr>
        <w:t>Использованный метод (методы) расчета НМЦ / цены единицы товара, работы, услуги:</w:t>
      </w:r>
    </w:p>
    <w:p>
      <w:pPr>
        <w:pStyle w:val="Normal"/>
        <w:keepNext w:val="true"/>
        <w:jc w:val="both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  <w:t>Метод анализа технико-коммерческих предложений.</w:t>
      </w:r>
    </w:p>
    <w:p>
      <w:pPr>
        <w:pStyle w:val="Normal"/>
        <w:keepNext w:val="true"/>
        <w:spacing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Обоснование расчета НМЦ:</w:t>
      </w:r>
    </w:p>
    <w:tbl>
      <w:tblPr>
        <w:tblW w:w="10036" w:type="dxa"/>
        <w:jc w:val="left"/>
        <w:tblInd w:w="-4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63"/>
        <w:gridCol w:w="3058"/>
        <w:gridCol w:w="1980"/>
        <w:gridCol w:w="1746"/>
        <w:gridCol w:w="1489"/>
      </w:tblGrid>
      <w:tr>
        <w:trPr>
          <w:trHeight w:val="1651" w:hRule="atLeast"/>
        </w:trPr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3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/>
                <w:color w:val="0563C1"/>
                <w:sz w:val="22"/>
                <w:szCs w:val="22"/>
                <w:u w:val="single"/>
                <w:lang w:eastAsia="ru-RU"/>
              </w:rPr>
            </w:pPr>
            <w:r>
              <w:fldChar w:fldCharType="begin"/>
            </w:r>
            <w:r>
              <w:rPr>
                <w:sz w:val="22"/>
                <w:u w:val="single"/>
                <w:szCs w:val="22"/>
                <w:rFonts w:eastAsia="Times New Roman" w:ascii="Calibri" w:hAnsi="Calibri"/>
                <w:color w:val="0563C1"/>
                <w:lang w:eastAsia="ru-RU"/>
              </w:rPr>
              <w:instrText xml:space="preserve"> HYPERLINK "./%D0%A3%D0%BF%D1%80%D0%BE%D1%89%D1%91%D0%BD%D0%BD%D0%B0%D1%8F%20%D0%B7%D0%B0%D0%BA%D1%83%D0%BF%D0%BA%D0%B0,%20%20%D0%BE%D1%81%D0%B2%D0%B8%D0%B4%D0%B5%D1%82%D0%B5%D0%BB%D1%8C%D1%81%D1%82%D0%B2%D0%BE%D0%B2%D0%B0%D0%BD%D0%B8%D0%B5%20%D0%BC%D0%BE%D0%B4%D1%83%D0%BB%D0%B5%D0%B9%20%D0%B3%D0%B0%D0%B7%D0%BE%D0%B2%D0%BE%D0%B3%D0%BE%20%D0%BF%D0%BE%D0%B6%D0%B0%D1%80%D0%BE%D1%82%D1%83%D1%88%D0%B5%D0%BD%D0%B8%D1%8F%20,%20%D0%B8%D1%8E%D0%BB%D1%8C%202026%20%D0%B3%D0%BE%D0%B4%D0%B0/%D0%9E%D1%81%D0%B2%D0%B8%D0%B4%D0%B5%D1%82%D0%B5%D0%BB%D1%8C%D1%81%D1%82%D0%B2%D0%BE%D0%B2%D0%B0%D0%BD%D0%B8%D0%B5%20%D0%B1%D0%B0%D0%BB%D0%BB%D0%BE%D0%BD%D0%BE%D0%B2%202026/%D0%9C%D0%BE%D0%BD%D0%B8%D1%82%D0%BE%D1%80%D0%B8%D0%BD%D0%B3%20%D1%86%D0%B5%D0%BD%20%D0%BC%D0%BE%D0%B4%D1%83%D0%BB%D1%8C,%20%20%D0%BC%D0%B0%D0%B9%202026/%D0%9C%D0%BE%D0%BD%D0%B8%D1%82%D0%BE%D1%80%D0%B8%D0%BD%D0%B3%20%D1%86%D0%B5%D0%BD%20%D0%BC%D0%BE%D0%B4%D1%83%D0%BB%D1%8C,%20%20%D0%BC%D0%B0%D0%B9%202026/C:/Users/KulikovaAA/Desktop/%D0%9D%D0%9C%D0%A6/%D0%9F%D0%BE%20%D0%9E%D0%A2%D0%9C.xlsx" \l "RANGE!_ftn1"</w:instrText>
            </w:r>
            <w:r>
              <w:rPr>
                <w:sz w:val="22"/>
                <w:u w:val="single"/>
                <w:szCs w:val="22"/>
                <w:rFonts w:eastAsia="Times New Roman" w:ascii="Calibri" w:hAnsi="Calibri"/>
                <w:color w:val="0563C1"/>
                <w:lang w:eastAsia="ru-RU"/>
              </w:rPr>
              <w:fldChar w:fldCharType="separate"/>
            </w:r>
            <w:r>
              <w:rPr>
                <w:rFonts w:eastAsia="Times New Roman" w:ascii="Calibri" w:hAnsi="Calibri"/>
                <w:color w:val="0563C1"/>
                <w:sz w:val="22"/>
                <w:szCs w:val="22"/>
                <w:u w:val="single"/>
                <w:lang w:eastAsia="ru-RU"/>
              </w:rPr>
              <w:t>Цена с учетом полученной информации из соответствующего ИЦИ, в руб. без НДС</w:t>
            </w:r>
            <w:r>
              <w:rPr>
                <w:sz w:val="22"/>
                <w:u w:val="single"/>
                <w:szCs w:val="22"/>
                <w:rFonts w:eastAsia="Times New Roman" w:ascii="Calibri" w:hAnsi="Calibri"/>
                <w:color w:val="0563C1"/>
                <w:lang w:eastAsia="ru-RU"/>
              </w:rPr>
              <w:fldChar w:fldCharType="end"/>
            </w:r>
          </w:p>
        </w:tc>
        <w:tc>
          <w:tcPr>
            <w:tcW w:w="1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Цена итоговая, в руб. без НДС</w:t>
            </w:r>
          </w:p>
        </w:tc>
        <w:tc>
          <w:tcPr>
            <w:tcW w:w="14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z w:val="20"/>
                <w:lang w:eastAsia="ru-RU"/>
              </w:rPr>
              <w:t>Комментарии</w:t>
            </w:r>
          </w:p>
        </w:tc>
      </w:tr>
      <w:tr>
        <w:trPr>
          <w:trHeight w:val="599" w:hRule="atLeast"/>
        </w:trPr>
        <w:tc>
          <w:tcPr>
            <w:tcW w:w="176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Услуги по техническому освидетельствованию баллонов модулей газового пожаротушения       МПА-NVC1230 Филиала ПАО «РусГидро» - «Каскад Верхневолжских ГЭС»</w:t>
            </w:r>
          </w:p>
        </w:tc>
        <w:tc>
          <w:tcPr>
            <w:tcW w:w="305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ТКП 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eastAsia="ru-RU"/>
              </w:rPr>
              <w:t>595 000,00</w:t>
            </w:r>
          </w:p>
        </w:tc>
        <w:tc>
          <w:tcPr>
            <w:tcW w:w="174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688 421,19</w:t>
            </w:r>
          </w:p>
        </w:tc>
        <w:tc>
          <w:tcPr>
            <w:tcW w:w="148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i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iCs/>
                <w:color w:val="000000"/>
                <w:sz w:val="20"/>
                <w:u w:val="single"/>
                <w:lang w:eastAsia="ru-RU"/>
              </w:rPr>
              <w:t>выбор итогового значения из полученных ИЦИ осуществляется по  в соответствии с средним значением полученных ИЦИ)</w:t>
            </w:r>
            <w:r>
              <w:rPr>
                <w:rFonts w:eastAsia="Times New Roman" w:ascii="Times New Roman" w:hAnsi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i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</w:tc>
      </w:tr>
      <w:tr>
        <w:trPr>
          <w:trHeight w:val="599" w:hRule="atLeast"/>
        </w:trPr>
        <w:tc>
          <w:tcPr>
            <w:tcW w:w="1763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i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iCs/>
                <w:color w:val="000000"/>
                <w:sz w:val="20"/>
                <w:lang w:eastAsia="ru-RU"/>
              </w:rPr>
            </w:r>
          </w:p>
        </w:tc>
        <w:tc>
          <w:tcPr>
            <w:tcW w:w="305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ТКП </w:t>
            </w: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eastAsia="ru-RU"/>
              </w:rPr>
              <w:t>613 120,72</w:t>
            </w:r>
          </w:p>
        </w:tc>
        <w:tc>
          <w:tcPr>
            <w:tcW w:w="174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1763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i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iCs/>
                <w:color w:val="000000"/>
                <w:sz w:val="20"/>
                <w:lang w:eastAsia="ru-RU"/>
              </w:rPr>
            </w:r>
          </w:p>
        </w:tc>
        <w:tc>
          <w:tcPr>
            <w:tcW w:w="3058" w:type="dxa"/>
            <w:tcBorders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ТКП №3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eastAsia="ru-RU"/>
              </w:rPr>
              <w:t>857 142,86</w:t>
            </w:r>
          </w:p>
        </w:tc>
        <w:tc>
          <w:tcPr>
            <w:tcW w:w="174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lang w:eastAsia="ru-RU"/>
              </w:rPr>
            </w:r>
          </w:p>
        </w:tc>
        <w:tc>
          <w:tcPr>
            <w:tcW w:w="1489" w:type="dxa"/>
            <w:vMerge w:val="continue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i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eastAsia="Times New Roman" w:ascii="Times New Roman" w:hAnsi="Times New Roman"/>
                <w:i/>
                <w:iCs/>
                <w:color w:val="000000"/>
                <w:sz w:val="20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709" w:leader="none"/>
        </w:tabs>
        <w:ind w:hanging="0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559" w:right="709" w:gutter="0" w:header="964" w:top="1021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49220047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0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0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1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2" w:customStyle="1">
    <w:name w:val="Символ сноски"/>
    <w:uiPriority w:val="99"/>
    <w:unhideWhenUsed/>
    <w:qFormat/>
    <w:rsid w:val="005f30b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a95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link w:val="Style10"/>
    <w:uiPriority w:val="99"/>
    <w:unhideWhenUsed/>
    <w:rsid w:val="00206a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1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a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38A4-0386-4DCB-8387-CBD92BB0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AlterOffice/3.4.0.9$Linux_X86_64 LibreOffice_project/b8daf9e823b1a5463a2f48435ddc2e8696e7d4fc</Application>
  <AppVersion>15.0000</AppVersion>
  <DocSecurity>8</DocSecurity>
  <Pages>2</Pages>
  <Words>239</Words>
  <Characters>1617</Characters>
  <CharactersWithSpaces>1823</CharactersWithSpaces>
  <Paragraphs>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2025-04-03T07:41:00Z</dcterms:created>
  <dc:creator>Andrey Zhurin</dc:creator>
  <dc:description/>
  <dc:language>ru-RU</dc:language>
  <cp:lastModifiedBy>unusovmh@corp.gidroogk.com</cp:lastModifiedBy>
  <cp:lastPrinted>2026-07-21T11:12:44Z</cp:lastPrinted>
  <dcterms:modified xsi:type="dcterms:W3CDTF">2026-07-30T09:15:04Z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