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_rels/document.xml.rels" ContentType="application/vnd.openxmlformats-package.relationship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2026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директора филиала Дережкова Андрея Владимировича , действующего на основании доверенности № 9465 от 25.12.2024 г.,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упрощённой закупки по лоту №</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overflowPunct w:val="true"/>
        <w:ind w:left="0" w:firstLine="708"/>
        <w:jc w:val="both"/>
        <w:textAlignment w:val="baseline"/>
        <w:rPr>
          <w:b/>
          <w:lang w:eastAsia="en-US"/>
        </w:rPr>
      </w:pPr>
      <w:r>
        <w:rPr>
          <w:b/>
          <w:bCs/>
          <w:lang w:eastAsia="en-US"/>
        </w:rPr>
        <w:t>«Национальный режим» –</w:t>
      </w:r>
      <w:r>
        <w:rPr>
          <w:lang w:eastAsia="en-US"/>
        </w:rPr>
        <w:t xml:space="preserve">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Филиала ПАО «РусГидро»- «Каскад Верхневолжских ГЭС».</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ind w:left="0" w:firstLine="709"/>
        <w:jc w:val="both"/>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3"/>
        </w:numPr>
        <w:shd w:val="clear" w:color="auto" w:fill="FFFFFF"/>
        <w:tabs>
          <w:tab w:val="clear" w:pos="709"/>
          <w:tab w:val="left" w:pos="1418" w:leader="none"/>
        </w:tabs>
        <w:ind w:left="0" w:firstLine="709"/>
        <w:jc w:val="both"/>
        <w:rPr>
          <w:bCs/>
        </w:rPr>
      </w:pPr>
      <w:bookmarkStart w:id="3"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3"/>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3"/>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3"/>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Normal"/>
        <w:ind w:firstLine="567"/>
        <w:jc w:val="both"/>
        <w:rPr>
          <w:bCs/>
          <w:lang w:val="ru-RU"/>
        </w:rPr>
      </w:pPr>
      <w:r>
        <w:rPr>
          <w:bCs/>
          <w:lang w:val="ru-RU"/>
        </w:rPr>
      </w:r>
    </w:p>
    <w:p>
      <w:pPr>
        <w:pStyle w:val="ListParagraph"/>
        <w:numPr>
          <w:ilvl w:val="1"/>
          <w:numId w:val="13"/>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3"/>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3"/>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3"/>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4"/>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13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3"/>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3"/>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3"/>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3"/>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3"/>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3"/>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9"/>
          <w:tab w:val="left" w:pos="1418" w:leader="none"/>
        </w:tabs>
        <w:ind w:left="0" w:firstLine="709"/>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8"/>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5"/>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5"/>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8"/>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8"/>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8"/>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18"/>
        </w:numPr>
        <w:shd w:val="clear" w:color="auto" w:fill="FFFFFF"/>
        <w:tabs>
          <w:tab w:val="clear" w:pos="709"/>
          <w:tab w:val="left" w:pos="1134" w:leader="none"/>
          <w:tab w:val="left" w:pos="1418" w:leader="none"/>
        </w:tabs>
        <w:ind w:left="0" w:firstLine="709"/>
        <w:jc w:val="both"/>
        <w:rPr/>
      </w:pPr>
      <w:r>
        <w:rPr>
          <w:u w:val="single"/>
        </w:rPr>
        <w:t>Исполнитель имеет право</w:t>
      </w:r>
      <w:r>
        <w:rPr/>
        <w:t>:</w:t>
      </w:r>
    </w:p>
    <w:p>
      <w:pPr>
        <w:pStyle w:val="ListParagraph"/>
        <w:numPr>
          <w:ilvl w:val="2"/>
          <w:numId w:val="19"/>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9"/>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9"/>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9"/>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2"/>
        </w:numPr>
        <w:shd w:val="clear" w:color="auto" w:fill="FFFFFF"/>
        <w:tabs>
          <w:tab w:val="clear" w:pos="709"/>
          <w:tab w:val="left" w:pos="284" w:leader="none"/>
          <w:tab w:val="left" w:pos="1134" w:leader="none"/>
        </w:tabs>
        <w:ind w:left="0" w:firstLine="709"/>
        <w:jc w:val="both"/>
        <w:rPr>
          <w:b/>
        </w:rPr>
      </w:pPr>
      <w:r>
        <w:rPr/>
        <w:t>Цена Договора в соответствии с Расчетом стоимости услуг (Приложение № 2 к Договору)  является</w:t>
      </w:r>
      <w:r>
        <w:rPr>
          <w:highlight w:val="lightGray"/>
        </w:rPr>
        <w:t xml:space="preserve">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2"/>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6"/>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16"/>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6"/>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left" w:pos="709" w:leader="none"/>
          <w:tab w:val="left" w:pos="851" w:leader="none"/>
          <w:tab w:val="left" w:pos="1134" w:leader="none"/>
        </w:tabs>
        <w:ind w:left="0" w:firstLine="709"/>
        <w:jc w:val="both"/>
        <w:rPr/>
      </w:pPr>
      <w:bookmarkStart w:id="8" w:name="_Ref361858588"/>
      <w:r>
        <w:rPr/>
        <w:t>Оплата по Договору осуществляется Заказчиком в следующем порядке:</w:t>
      </w:r>
      <w:bookmarkEnd w:id="8"/>
      <w:r>
        <w:rPr/>
        <w:t xml:space="preserve"> </w:t>
      </w:r>
    </w:p>
    <w:p>
      <w:pPr>
        <w:pStyle w:val="ListParagraph"/>
        <w:numPr>
          <w:ilvl w:val="2"/>
          <w:numId w:val="17"/>
        </w:numPr>
        <w:shd w:val="clear" w:color="auto" w:fill="FFFFFF"/>
        <w:tabs>
          <w:tab w:val="left" w:pos="709" w:leader="none"/>
          <w:tab w:val="left" w:pos="851" w:leader="none"/>
          <w:tab w:val="left" w:pos="1134" w:leader="none"/>
        </w:tabs>
        <w:ind w:left="0" w:firstLine="709"/>
        <w:jc w:val="both"/>
        <w:rPr/>
      </w:pPr>
      <w:bookmarkStart w:id="9" w:name="_Ref361834178"/>
      <w:bookmarkStart w:id="10" w:name="_Ref373240288"/>
      <w:r>
        <w:rPr>
          <w:bCs/>
        </w:rPr>
        <w:t xml:space="preserve">Авансовый платеж </w:t>
      </w:r>
      <w:r>
        <w:rPr/>
        <w:t>в размере 3</w:t>
      </w:r>
      <w:r>
        <w:rPr>
          <w:highlight w:val="lightGray"/>
        </w:rPr>
        <w:t>0 (тридцати)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пункта 3.5.3 Договора. </w:t>
      </w:r>
      <w:bookmarkStart w:id="11" w:name="_Ref372549497"/>
      <w:bookmarkEnd w:id="9"/>
      <w:bookmarkEnd w:id="10"/>
    </w:p>
    <w:p>
      <w:pPr>
        <w:pStyle w:val="ListParagraph"/>
        <w:numPr>
          <w:ilvl w:val="2"/>
          <w:numId w:val="17"/>
        </w:numPr>
        <w:shd w:val="clear" w:color="auto" w:fill="FFFFFF"/>
        <w:tabs>
          <w:tab w:val="left" w:pos="709" w:leader="none"/>
          <w:tab w:val="left" w:pos="851" w:leader="none"/>
          <w:tab w:val="left" w:pos="1134"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 xml:space="preserve">7 (семи) рабочих дней  </w:t>
      </w:r>
      <w:r>
        <w:rPr/>
        <w:t>с даты подписания Сторонами документов, указанных в пункте 4.1 Договора, на основании счета, выставленного Исполнителем, и с учетом пункта 3.5.3 Договора.</w:t>
      </w:r>
    </w:p>
    <w:p>
      <w:pPr>
        <w:pStyle w:val="ListParagraph"/>
        <w:numPr>
          <w:ilvl w:val="2"/>
          <w:numId w:val="17"/>
        </w:numPr>
        <w:shd w:val="clear" w:color="auto" w:fill="FFFFFF"/>
        <w:tabs>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numPr>
          <w:ilvl w:val="1"/>
          <w:numId w:val="17"/>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7"/>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709"/>
        <w:jc w:val="both"/>
        <w:rPr/>
      </w:pPr>
      <w:r>
        <w:rPr/>
      </w:r>
    </w:p>
    <w:p>
      <w:pPr>
        <w:pStyle w:val="ListParagraph"/>
        <w:numPr>
          <w:ilvl w:val="0"/>
          <w:numId w:val="17"/>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pPr>
      <w:bookmarkStart w:id="12"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t xml:space="preserve"> </w:t>
      </w:r>
    </w:p>
    <w:p>
      <w:pPr>
        <w:pStyle w:val="ListParagraph"/>
        <w:numPr>
          <w:ilvl w:val="1"/>
          <w:numId w:val="20"/>
        </w:numPr>
        <w:shd w:val="clear" w:color="auto" w:fill="FFFFFF"/>
        <w:tabs>
          <w:tab w:val="clear" w:pos="709"/>
          <w:tab w:val="left" w:pos="284" w:leader="none"/>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firstLine="709"/>
        <w:jc w:val="both"/>
        <w:rPr/>
      </w:pPr>
      <w:r>
        <w:rPr/>
      </w:r>
    </w:p>
    <w:p>
      <w:pPr>
        <w:pStyle w:val="ListParagraph"/>
        <w:numPr>
          <w:ilvl w:val="0"/>
          <w:numId w:val="20"/>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0"/>
        </w:numPr>
        <w:shd w:val="clear" w:color="auto" w:fill="FFFFFF"/>
        <w:tabs>
          <w:tab w:val="left" w:pos="709" w:leader="none"/>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20"/>
        </w:numPr>
        <w:tabs>
          <w:tab w:val="left" w:pos="496" w:leader="none"/>
          <w:tab w:val="left" w:pos="709" w:leader="none"/>
          <w:tab w:val="left" w:pos="1134" w:leader="none"/>
        </w:tabs>
        <w:ind w:left="0" w:firstLine="709"/>
        <w:jc w:val="both"/>
        <w:rPr>
          <w:lang w:val="ru-RU"/>
        </w:rPr>
      </w:pPr>
      <w:r>
        <w:rPr>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0"/>
        </w:numPr>
        <w:tabs>
          <w:tab w:val="left" w:pos="709" w:leader="none"/>
          <w:tab w:val="left" w:pos="1134" w:leader="none"/>
        </w:tabs>
        <w:ind w:left="0" w:firstLine="709"/>
        <w:jc w:val="both"/>
        <w:rPr>
          <w:lang w:val="ru-RU"/>
        </w:rPr>
      </w:pPr>
      <w:r>
        <w:rPr>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pPr>
        <w:pStyle w:val="ListParagraph"/>
        <w:numPr>
          <w:ilvl w:val="1"/>
          <w:numId w:val="20"/>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shd w:val="clear" w:color="auto" w:fill="FFFFFF" w:themeFill="background1"/>
        <w:tabs>
          <w:tab w:val="left" w:pos="0" w:leader="none"/>
          <w:tab w:val="left" w:pos="496" w:leader="none"/>
          <w:tab w:val="left" w:pos="709" w:leader="none"/>
          <w:tab w:val="left" w:pos="1134" w:leader="none"/>
          <w:tab w:val="left" w:pos="1418" w:leader="none"/>
        </w:tabs>
        <w:ind w:left="0" w:hanging="0"/>
        <w:jc w:val="both"/>
        <w:rPr>
          <w:bCs/>
          <w:szCs w:val="28"/>
          <w:highlight w:val="lightGray"/>
        </w:rPr>
      </w:pPr>
      <w:r>
        <w:rPr>
          <w:bCs/>
          <w:szCs w:val="28"/>
          <w:highlight w:val="lightGray"/>
        </w:rPr>
      </w:r>
    </w:p>
    <w:p>
      <w:pPr>
        <w:pStyle w:val="ListParagraph"/>
        <w:numPr>
          <w:ilvl w:val="1"/>
          <w:numId w:val="20"/>
        </w:numPr>
        <w:shd w:val="clear" w:color="auto" w:fill="FFFFFF"/>
        <w:tabs>
          <w:tab w:val="clear" w:pos="709"/>
          <w:tab w:val="left" w:pos="355" w:leader="none"/>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0"/>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0"/>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0"/>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0"/>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496" w:leader="none"/>
          <w:tab w:val="left" w:pos="1276" w:leader="none"/>
        </w:tabs>
        <w:ind w:left="496" w:hanging="0"/>
        <w:jc w:val="both"/>
        <w:rPr>
          <w:lang w:val="ru-RU"/>
        </w:rPr>
      </w:pPr>
      <w:r>
        <w:rPr>
          <w:lang w:val="ru-RU"/>
        </w:rPr>
      </w:r>
    </w:p>
    <w:p>
      <w:pPr>
        <w:pStyle w:val="ListParagraph"/>
        <w:numPr>
          <w:ilvl w:val="0"/>
          <w:numId w:val="12"/>
        </w:numPr>
        <w:shd w:val="clear" w:color="auto" w:fill="FFFFFF"/>
        <w:tabs>
          <w:tab w:val="clear" w:pos="709"/>
          <w:tab w:val="left" w:pos="284" w:leader="none"/>
        </w:tabs>
        <w:ind w:left="0" w:hanging="360"/>
        <w:jc w:val="center"/>
        <w:rPr>
          <w:b/>
        </w:rPr>
      </w:pPr>
      <w:r>
        <w:rPr>
          <w:b/>
        </w:rPr>
        <w:t>Исключительные права и патенты</w:t>
      </w:r>
    </w:p>
    <w:p>
      <w:pPr>
        <w:pStyle w:val="ListParagraph"/>
        <w:numPr>
          <w:ilvl w:val="1"/>
          <w:numId w:val="12"/>
        </w:numPr>
        <w:shd w:val="clear" w:color="auto" w:fill="FFFFFF"/>
        <w:tabs>
          <w:tab w:val="clear" w:pos="709"/>
          <w:tab w:val="left" w:pos="355" w:leader="none"/>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2"/>
        </w:numPr>
        <w:shd w:val="clear" w:color="auto" w:fill="FFFFFF"/>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2"/>
        </w:numPr>
        <w:shd w:val="clear" w:color="auto" w:fill="FFFFFF"/>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2"/>
        </w:numPr>
        <w:shd w:val="clear" w:color="auto" w:fill="FFFFFF"/>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2"/>
        </w:numPr>
        <w:shd w:val="clear" w:color="auto" w:fill="FFFFFF"/>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2"/>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2"/>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2"/>
        </w:numPr>
        <w:shd w:val="clear" w:color="auto" w:fill="FFFFFF"/>
        <w:tabs>
          <w:tab w:val="clear" w:pos="709"/>
          <w:tab w:val="left" w:pos="0" w:leader="none"/>
          <w:tab w:val="left" w:pos="284" w:leader="none"/>
        </w:tabs>
        <w:ind w:left="0" w:hanging="0"/>
        <w:jc w:val="center"/>
        <w:rPr>
          <w:b/>
          <w:bCs/>
        </w:rPr>
      </w:pPr>
      <w:r>
        <w:rPr>
          <w:b/>
          <w:bCs/>
        </w:rPr>
        <w:t>Конфиденциальность</w:t>
      </w:r>
    </w:p>
    <w:p>
      <w:pPr>
        <w:pStyle w:val="ListParagraph"/>
        <w:numPr>
          <w:ilvl w:val="1"/>
          <w:numId w:val="12"/>
        </w:numPr>
        <w:shd w:val="clear" w:color="auto" w:fill="FFFFFF"/>
        <w:tabs>
          <w:tab w:val="clear" w:pos="709"/>
          <w:tab w:val="left" w:pos="0" w:leader="none"/>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2"/>
        </w:numPr>
        <w:shd w:val="clear" w:color="auto" w:fill="FFFFFF"/>
        <w:tabs>
          <w:tab w:val="clear" w:pos="709"/>
          <w:tab w:val="left" w:pos="355"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2"/>
        </w:numPr>
        <w:shd w:val="clear" w:color="auto" w:fill="FFFFFF"/>
        <w:tabs>
          <w:tab w:val="clear" w:pos="709"/>
          <w:tab w:val="left" w:pos="1134" w:leader="none"/>
        </w:tabs>
        <w:ind w:left="0" w:firstLine="709"/>
        <w:jc w:val="both"/>
        <w:rPr>
          <w:bCs/>
        </w:rPr>
      </w:pPr>
      <w:bookmarkStart w:id="15"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1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2"/>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2"/>
        </w:numPr>
        <w:shd w:val="clear" w:color="auto" w:fill="FFFFFF"/>
        <w:tabs>
          <w:tab w:val="clear" w:pos="709"/>
          <w:tab w:val="left" w:pos="1134" w:leader="none"/>
        </w:tabs>
        <w:ind w:left="0" w:firstLine="709"/>
        <w:jc w:val="both"/>
        <w:rPr>
          <w:bCs/>
        </w:rPr>
      </w:pPr>
      <w:bookmarkStart w:id="16"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numPr>
          <w:ilvl w:val="2"/>
          <w:numId w:val="1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2"/>
        </w:numPr>
        <w:shd w:val="clear" w:color="auto" w:fill="FFFFFF"/>
        <w:tabs>
          <w:tab w:val="left" w:pos="709" w:leader="none"/>
          <w:tab w:val="left" w:pos="1134" w:leader="none"/>
        </w:tabs>
        <w:ind w:left="0" w:firstLine="709"/>
        <w:jc w:val="both"/>
        <w:rPr>
          <w:bCs/>
        </w:rPr>
      </w:pPr>
      <w:bookmarkStart w:id="17"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2"/>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12"/>
        </w:numPr>
        <w:shd w:val="clear" w:color="auto" w:fill="FFFFFF"/>
        <w:tabs>
          <w:tab w:val="clear" w:pos="709"/>
          <w:tab w:val="left" w:pos="284" w:leader="none"/>
          <w:tab w:val="left" w:pos="426" w:leader="none"/>
        </w:tabs>
        <w:ind w:left="0" w:hanging="0"/>
        <w:jc w:val="center"/>
        <w:rPr>
          <w:bCs/>
        </w:rPr>
      </w:pPr>
      <w:r>
        <w:rPr>
          <w:b/>
          <w:bCs/>
        </w:rPr>
        <w:t>Разрешение споров</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2"/>
        </w:numPr>
        <w:shd w:val="clear" w:color="auto" w:fill="FFFFFF"/>
        <w:tabs>
          <w:tab w:val="clear" w:pos="709"/>
          <w:tab w:val="left" w:pos="1134" w:leader="none"/>
          <w:tab w:val="left" w:pos="1418"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Ярославской области в соответствии с законодательством Российской Федерации.</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2"/>
        </w:numPr>
        <w:shd w:val="clear" w:color="auto" w:fill="FFFFFF"/>
        <w:tabs>
          <w:tab w:val="left" w:pos="709"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2"/>
        </w:numPr>
        <w:shd w:val="clear" w:color="auto" w:fill="FFFFFF"/>
        <w:tabs>
          <w:tab w:val="clear" w:pos="709"/>
          <w:tab w:val="left" w:pos="284" w:leader="none"/>
        </w:tabs>
        <w:ind w:left="0" w:hanging="0"/>
        <w:jc w:val="center"/>
        <w:rPr>
          <w:b/>
        </w:rPr>
      </w:pPr>
      <w:r>
        <w:rPr>
          <w:b/>
          <w:bCs/>
        </w:rPr>
        <w:t>Антикоррупционная оговорка</w:t>
      </w:r>
    </w:p>
    <w:p>
      <w:pPr>
        <w:pStyle w:val="ListParagraph"/>
        <w:widowControl w:val="false"/>
        <w:numPr>
          <w:ilvl w:val="1"/>
          <w:numId w:val="12"/>
        </w:numPr>
        <w:shd w:val="clear" w:color="auto" w:fill="FFFFFF"/>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clear" w:pos="709"/>
          <w:tab w:val="left" w:pos="567"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s>
        <w:ind w:firstLine="709"/>
        <w:jc w:val="both"/>
        <w:rPr>
          <w:lang w:val="ru-RU"/>
        </w:rPr>
      </w:pPr>
      <w:r>
        <w:rPr>
          <w:lang w:val="ru-RU"/>
        </w:rPr>
        <w:t xml:space="preserve">9.7.2. 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2"/>
        </w:numPr>
        <w:shd w:val="clear" w:color="auto" w:fill="FFFFFF"/>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2"/>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2"/>
        </w:numPr>
        <w:shd w:val="clear" w:color="auto" w:fill="FFFFFF"/>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2"/>
        </w:numPr>
        <w:shd w:val="clear" w:color="auto" w:fill="FFFFFF"/>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1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2"/>
        </w:numPr>
        <w:shd w:val="clear" w:color="auto" w:fill="FFFFFF"/>
        <w:tabs>
          <w:tab w:val="clear" w:pos="709"/>
          <w:tab w:val="left" w:pos="355"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12"/>
        </w:numPr>
        <w:shd w:val="clear" w:color="auto" w:fill="FFFFFF"/>
        <w:tabs>
          <w:tab w:val="clear" w:pos="709"/>
          <w:tab w:val="left" w:pos="1134" w:leader="none"/>
        </w:tabs>
        <w:ind w:left="0" w:firstLine="709"/>
        <w:jc w:val="both"/>
        <w:rPr>
          <w:bCs/>
        </w:rPr>
      </w:pPr>
      <w:bookmarkStart w:id="18"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8"/>
    </w:p>
    <w:p>
      <w:pPr>
        <w:pStyle w:val="ListParagraph"/>
        <w:numPr>
          <w:ilvl w:val="1"/>
          <w:numId w:val="1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1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1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1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Normal"/>
        <w:shd w:val="clear" w:color="auto" w:fill="FFFFFF"/>
        <w:tabs>
          <w:tab w:val="clear" w:pos="709"/>
          <w:tab w:val="left" w:pos="355" w:leader="none"/>
          <w:tab w:val="left" w:pos="1418" w:leader="none"/>
        </w:tabs>
        <w:ind w:firstLine="709"/>
        <w:jc w:val="both"/>
        <w:rPr>
          <w:lang w:val="ru-RU"/>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2"/>
        </w:numPr>
        <w:shd w:val="clear" w:color="auto" w:fill="FFFFFF"/>
        <w:tabs>
          <w:tab w:val="clear" w:pos="709"/>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2"/>
        </w:numPr>
        <w:shd w:val="clear" w:color="auto" w:fill="FFFFFF"/>
        <w:tabs>
          <w:tab w:val="clear" w:pos="709"/>
          <w:tab w:val="left" w:pos="355"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2"/>
        </w:numPr>
        <w:shd w:val="clear" w:color="auto" w:fill="FFFFFF"/>
        <w:tabs>
          <w:tab w:val="clear" w:pos="709"/>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2"/>
        </w:numPr>
        <w:shd w:val="clear" w:color="auto" w:fill="FFFFFF"/>
        <w:tabs>
          <w:tab w:val="clear" w:pos="709"/>
          <w:tab w:val="left" w:pos="355"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1"/>
        </w:numPr>
        <w:shd w:val="clear" w:color="auto" w:fill="FFFFFF"/>
        <w:tabs>
          <w:tab w:val="clear" w:pos="709"/>
          <w:tab w:val="left" w:pos="426" w:leader="none"/>
        </w:tabs>
        <w:jc w:val="center"/>
        <w:rPr>
          <w:b/>
          <w:bCs/>
        </w:rPr>
      </w:pPr>
      <w:r>
        <w:rPr>
          <w:b/>
          <w:bCs/>
        </w:rPr>
        <w:t>Заключительные положения</w:t>
      </w:r>
    </w:p>
    <w:p>
      <w:pPr>
        <w:pStyle w:val="ListParagraph"/>
        <w:numPr>
          <w:ilvl w:val="1"/>
          <w:numId w:val="21"/>
        </w:numPr>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1"/>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1"/>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1"/>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clear" w:pos="709"/>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w:t>
      </w:r>
    </w:p>
    <w:p>
      <w:pPr>
        <w:pStyle w:val="ListParagraph"/>
        <w:numPr>
          <w:ilvl w:val="1"/>
          <w:numId w:val="21"/>
        </w:numPr>
        <w:shd w:val="clear" w:color="auto" w:fill="FFFFFF"/>
        <w:tabs>
          <w:tab w:val="clear" w:pos="709"/>
          <w:tab w:val="left" w:pos="1134"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1"/>
        </w:numPr>
        <w:shd w:val="clear" w:color="auto" w:fill="FFFFFF"/>
        <w:tabs>
          <w:tab w:val="clear" w:pos="709"/>
          <w:tab w:val="left" w:pos="0" w:leader="none"/>
          <w:tab w:val="left" w:pos="1418" w:leader="none"/>
        </w:tabs>
        <w:ind w:left="0" w:firstLine="709"/>
        <w:jc w:val="both"/>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14.8.2.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 14.8.2.</w:t>
      </w:r>
      <w:r>
        <w:rPr>
          <w:bCs/>
        </w:rPr>
        <w:t xml:space="preserve"> Договора.</w:t>
      </w:r>
    </w:p>
    <w:p>
      <w:pPr>
        <w:pStyle w:val="ListParagraph"/>
        <w:numPr>
          <w:ilvl w:val="1"/>
          <w:numId w:val="21"/>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1"/>
        </w:numPr>
        <w:shd w:val="clear" w:color="auto" w:fill="FFFFFF"/>
        <w:tabs>
          <w:tab w:val="clear" w:pos="709"/>
          <w:tab w:val="left" w:pos="1276"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2"/>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1"/>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 – Форма Акта сдачи-приемки  документации</w:t>
      </w:r>
      <w:r>
        <w:rPr>
          <w:bCs/>
          <w:highlight w:val="lightGray"/>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t>Юридический/Почтовый адрес: 660017, Красноярский край, г.о. город Красноярск,</w:t>
            </w:r>
          </w:p>
          <w:p>
            <w:pPr>
              <w:pStyle w:val="Normal"/>
              <w:widowControl w:val="false"/>
              <w:rPr>
                <w:lang w:val="ru-RU"/>
              </w:rPr>
            </w:pPr>
            <w:r>
              <w:rPr>
                <w:lang w:val="ru-RU"/>
              </w:rPr>
              <w:t>г. Красноярск, ул. Перенсона, д.2, пом.1,</w:t>
            </w:r>
          </w:p>
          <w:p>
            <w:pPr>
              <w:pStyle w:val="Normal"/>
              <w:widowControl w:val="false"/>
              <w:rPr>
                <w:lang w:val="ru-RU"/>
              </w:rPr>
            </w:pPr>
            <w:r>
              <w:rPr>
                <w:lang w:val="ru-RU"/>
              </w:rPr>
              <w:t>д. 43, стр. 1</w:t>
            </w:r>
          </w:p>
          <w:p>
            <w:pPr>
              <w:pStyle w:val="Normal"/>
              <w:widowControl w:val="false"/>
              <w:rPr>
                <w:lang w:val="ru-RU"/>
              </w:rPr>
            </w:pPr>
            <w:r>
              <w:rPr>
                <w:lang w:val="ru-RU"/>
              </w:rPr>
              <w:t>ИНН/КПП 2460066195/761002001</w:t>
            </w:r>
          </w:p>
          <w:p>
            <w:pPr>
              <w:pStyle w:val="Normal"/>
              <w:widowControl w:val="false"/>
              <w:shd w:val="clear" w:color="auto" w:fill="FFFFFF"/>
              <w:tabs>
                <w:tab w:val="clear" w:pos="709"/>
                <w:tab w:val="left" w:pos="3643" w:leader="underscore"/>
                <w:tab w:val="left" w:pos="9259" w:leader="underscore"/>
              </w:tabs>
              <w:spacing w:lineRule="exact" w:line="302"/>
              <w:ind w:left="29" w:hanging="0"/>
              <w:rPr>
                <w:lang w:val="ru-RU"/>
              </w:rPr>
            </w:pPr>
            <w:r>
              <w:rPr>
                <w:lang w:val="ru-RU"/>
              </w:rPr>
              <w:t xml:space="preserve">р/с 40702810577190001878  в </w:t>
            </w:r>
            <w:r>
              <w:rPr>
                <w:color w:val="000000"/>
                <w:lang w:val="ru-RU"/>
              </w:rPr>
              <w:t>Банк получателя:</w:t>
            </w:r>
          </w:p>
          <w:p>
            <w:pPr>
              <w:pStyle w:val="Normal"/>
              <w:widowControl w:val="false"/>
              <w:shd w:val="clear" w:color="auto" w:fill="FFFFFF"/>
              <w:tabs>
                <w:tab w:val="clear" w:pos="709"/>
                <w:tab w:val="left" w:pos="3643" w:leader="underscore"/>
                <w:tab w:val="left" w:pos="9259" w:leader="underscore"/>
              </w:tabs>
              <w:spacing w:lineRule="exact" w:line="302"/>
              <w:ind w:left="29" w:hanging="0"/>
              <w:rPr>
                <w:lang w:val="ru-RU"/>
              </w:rPr>
            </w:pPr>
            <w:r>
              <w:rPr>
                <w:color w:val="000000"/>
                <w:lang w:val="ru-RU"/>
              </w:rPr>
              <w:t xml:space="preserve">Калужское отделение № 8608 ПАО Сбербанк </w:t>
              <w:br/>
              <w:t>БИК банка получателя: 042908612</w:t>
              <w:br/>
              <w:t>Корреспондентский счет банка получателя: 30101810100000000612</w:t>
              <w:br/>
            </w:r>
            <w:r>
              <w:rPr>
                <w:lang w:val="ru-RU"/>
              </w:rPr>
              <w:t>ОКВЭД  35.11.2</w:t>
            </w:r>
          </w:p>
          <w:p>
            <w:pPr>
              <w:pStyle w:val="Normal"/>
              <w:widowControl w:val="false"/>
              <w:shd w:val="clear" w:color="auto" w:fill="FFFFFF"/>
              <w:tabs>
                <w:tab w:val="clear" w:pos="709"/>
                <w:tab w:val="left" w:pos="3643" w:leader="underscore"/>
                <w:tab w:val="left" w:pos="9259" w:leader="underscore"/>
              </w:tabs>
              <w:spacing w:lineRule="exact" w:line="302"/>
              <w:ind w:left="29" w:hanging="0"/>
              <w:rPr/>
            </w:pPr>
            <w:r>
              <w:rPr/>
              <w:t>ОГРН 1042401810494</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highlight w:val="lightGray"/>
          <w:lang w:val="ru-RU"/>
        </w:rPr>
      </w:pPr>
      <w:r>
        <w:br w:type="page"/>
      </w:r>
      <w:r>
        <w:rPr>
          <w:sz w:val="22"/>
          <w:szCs w:val="22"/>
          <w:lang w:val="ru-RU"/>
        </w:rPr>
        <w:t xml:space="preserve"> </w:t>
      </w:r>
      <w:r>
        <w:rPr>
          <w:sz w:val="22"/>
          <w:szCs w:val="22"/>
          <w:highlight w:val="lightGray"/>
          <w:lang w:val="ru-RU"/>
        </w:rPr>
        <w:t>Приложение № 3</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12"/>
        <w:jc w:val="both"/>
        <w:rPr>
          <w:highlight w:val="lightGray"/>
        </w:rPr>
      </w:pPr>
      <w:r>
        <w:rPr>
          <w:highlight w:val="lightGray"/>
        </w:rPr>
      </w:r>
    </w:p>
    <w:p>
      <w:pPr>
        <w:pStyle w:val="12"/>
        <w:rPr>
          <w:b w:val="false"/>
          <w:bCs w:val="false"/>
          <w:highlight w:val="lightGray"/>
        </w:rPr>
      </w:pPr>
      <w:r>
        <w:rPr>
          <w:iCs/>
          <w:highlight w:val="lightGray"/>
        </w:rPr>
        <w:t>ФОРМА</w:t>
      </w:r>
    </w:p>
    <w:p>
      <w:pPr>
        <w:pStyle w:val="12"/>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highlight w:val="lightGray"/>
              </w:rPr>
            </w:pPr>
            <w:r>
              <w:rPr>
                <w:b w:val="false"/>
                <w:bCs w:val="false"/>
                <w:highlight w:val="lightGray"/>
              </w:rPr>
              <w:t>Акт</w:t>
            </w:r>
          </w:p>
          <w:p>
            <w:pPr>
              <w:pStyle w:val="12"/>
              <w:widowControl w:val="false"/>
              <w:rPr>
                <w:i/>
                <w:i/>
                <w:iCs/>
                <w:highlight w:val="lightGray"/>
              </w:rPr>
            </w:pPr>
            <w:r>
              <w:rPr>
                <w:b w:val="false"/>
                <w:bCs w:val="false"/>
                <w:highlight w:val="lightGray"/>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r>
          </w:tbl>
          <w:p>
            <w:pPr>
              <w:pStyle w:val="12"/>
              <w:widowControl w:val="false"/>
              <w:jc w:val="left"/>
              <w:rPr>
                <w:i/>
                <w:i/>
                <w:iCs/>
                <w:highlight w:val="lightGray"/>
              </w:rPr>
            </w:pPr>
            <w:r>
              <w:rPr>
                <w:i/>
                <w:iCs/>
                <w:highlight w:val="lightGray"/>
              </w:rPr>
            </w:r>
          </w:p>
          <w:p>
            <w:pPr>
              <w:pStyle w:val="12"/>
              <w:widowControl w:val="false"/>
              <w:spacing w:before="0" w:after="120"/>
              <w:jc w:val="left"/>
              <w:rPr>
                <w:i/>
                <w:i/>
                <w:iCs/>
                <w:highlight w:val="lightGray"/>
              </w:rPr>
            </w:pPr>
            <w:r>
              <w:rPr>
                <w:i/>
                <w:iCs/>
                <w:highlight w:val="lightGray"/>
              </w:rPr>
            </w:r>
          </w:p>
        </w:tc>
      </w:tr>
    </w:tbl>
    <w:p>
      <w:pPr>
        <w:pStyle w:val="12"/>
        <w:jc w:val="left"/>
        <w:rPr>
          <w:i/>
          <w:i/>
          <w:iCs/>
          <w:highlight w:val="lightGray"/>
        </w:rPr>
      </w:pPr>
      <w:r>
        <w:rPr>
          <w:i/>
          <w:iCs/>
          <w:highlight w:val="lightGray"/>
        </w:rPr>
      </w:r>
    </w:p>
    <w:p>
      <w:pPr>
        <w:pStyle w:val="12"/>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_______________ / _______________</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both"/>
        <w:rPr>
          <w:lang w:val="ru-RU"/>
        </w:rPr>
      </w:pPr>
      <w:r>
        <w:rPr>
          <w:lang w:val="ru-RU"/>
        </w:rPr>
      </w:r>
    </w:p>
    <w:p>
      <w:pPr>
        <w:pStyle w:val="12"/>
        <w:rPr>
          <w:iCs/>
        </w:rPr>
      </w:pPr>
      <w:r>
        <w:rPr>
          <w:iCs/>
        </w:rPr>
        <w:t xml:space="preserve">ФОРМА </w:t>
      </w:r>
    </w:p>
    <w:p>
      <w:pPr>
        <w:pStyle w:val="12"/>
        <w:rPr>
          <w:iCs/>
        </w:rPr>
      </w:pPr>
      <w:r>
        <w:rPr>
          <w:iCs/>
        </w:rPr>
        <w:t xml:space="preserve">Акта </w:t>
      </w:r>
      <w:r>
        <w:rPr/>
        <w:t>об оказании</w:t>
      </w:r>
      <w:r>
        <w:rPr>
          <w:iCs/>
        </w:rPr>
        <w:t xml:space="preserve"> Услуг</w:t>
      </w:r>
    </w:p>
    <w:tbl>
      <w:tblPr>
        <w:tblW w:w="9627"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xml:space="preserve"> №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tabs>
                <w:tab w:val="left" w:pos="709" w:leader="none"/>
                <w:tab w:val="left" w:pos="4111" w:leader="none"/>
              </w:tabs>
              <w:jc w:val="both"/>
              <w:rPr>
                <w:b/>
                <w:bCs/>
                <w:lang w:val="ru-RU"/>
              </w:rPr>
            </w:pPr>
            <w:r>
              <w:rPr>
                <w:b/>
                <w:bCs/>
                <w:lang w:val="ru-RU"/>
              </w:rPr>
              <w:t>______________________________________________________________.</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both"/>
              <w:rPr>
                <w:i/>
                <w:i/>
                <w:iCs/>
                <w:sz w:val="16"/>
                <w:szCs w:val="20"/>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113" w:type="dxa"/>
        <w:tblLayout w:type="fixed"/>
        <w:tblCellMar>
          <w:top w:w="0" w:type="dxa"/>
          <w:left w:w="108" w:type="dxa"/>
          <w:bottom w:w="0" w:type="dxa"/>
          <w:right w:w="108" w:type="dxa"/>
        </w:tblCellMar>
        <w:tblLook w:val="01e0" w:noVBand="0" w:noHBand="0" w:lastColumn="1" w:firstColumn="1" w:lastRow="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1.1.Нарушение ППБ без возникновения пожара</w:t>
            </w:r>
          </w:p>
          <w:p>
            <w:pPr>
              <w:pStyle w:val="Normal"/>
              <w:widowControl w:val="false"/>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требований охраны труда.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rPr/>
      </w:pPr>
      <w:r>
        <w:rPr/>
      </w:r>
      <w:bookmarkStart w:id="19" w:name="_GoBack"/>
      <w:bookmarkStart w:id="20" w:name="_GoBack"/>
      <w:bookmarkEnd w:id="20"/>
    </w:p>
    <w:sectPr>
      <w:headerReference w:type="default" r:id="rId5"/>
      <w:footerReference w:type="default" r:id="rId6"/>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p>
      <w:pPr>
        <w:pStyle w:val="FootnoteText"/>
        <w:rPr>
          <w:lang w:val="ru-RU"/>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1070" w:hanging="360"/>
      </w:pPr>
      <w:rPr>
        <w:b w:val="false"/>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8"/>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9">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14"/>
      <w:numFmt w:val="decimal"/>
      <w:lvlText w:val="%1."/>
      <w:lvlJc w:val="left"/>
      <w:pPr>
        <w:tabs>
          <w:tab w:val="num" w:pos="0"/>
        </w:tabs>
        <w:ind w:left="720" w:hanging="360"/>
      </w:pPr>
      <w:rPr>
        <w:b/>
      </w:rPr>
    </w:lvl>
    <w:lvl w:ilvl="1">
      <w:start w:val="1"/>
      <w:numFmt w:val="decimal"/>
      <w:lvlText w:val="%1.%2."/>
      <w:lvlJc w:val="left"/>
      <w:pPr>
        <w:tabs>
          <w:tab w:val="num" w:pos="0"/>
        </w:tabs>
        <w:ind w:left="1309" w:hanging="60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tru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e">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21E5D-F93B-461F-A9CE-F5E4E19593BF}">
  <ds:schemaRefs>
    <ds:schemaRef ds:uri="http://schemas.openxmlformats.org/officeDocument/2006/bibliography"/>
  </ds:schemaRefs>
</ds:datastoreItem>
</file>

<file path=customXml/itemProps2.xml><?xml version="1.0" encoding="utf-8"?>
<ds:datastoreItem xmlns:ds="http://schemas.openxmlformats.org/officeDocument/2006/customXml" ds:itemID="{E41CB3BB-4455-402A-A517-3DB1EBB23BF9}">
  <ds:schemaRefs>
    <ds:schemaRef ds:uri="http://schemas.openxmlformats.org/officeDocument/2006/bibliography"/>
  </ds:schemaRefs>
</ds:datastoreItem>
</file>

<file path=customXml/itemProps3.xml><?xml version="1.0" encoding="utf-8"?>
<ds:datastoreItem xmlns:ds="http://schemas.openxmlformats.org/officeDocument/2006/customXml" ds:itemID="{EE0E5183-4D71-4D13-8804-D1EDDDD8758D}">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5.xml><?xml version="1.0" encoding="utf-8"?>
<ds:datastoreItem xmlns:ds="http://schemas.openxmlformats.org/officeDocument/2006/customXml" ds:itemID="{25074D49-DAF0-4909-987D-1DE8FDA7239A}">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Application>AlterOffice/3.4.0.9$Linux_X86_64 LibreOffice_project/b8daf9e823b1a5463a2f48435ddc2e8696e7d4fc</Application>
  <AppVersion>15.0000</AppVersion>
  <Pages>24</Pages>
  <Words>9836</Words>
  <Characters>56069</Characters>
  <CharactersWithSpaces>65774</CharactersWithSpaces>
  <Paragraphs>131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2020-06-09T22:32:00Z</dcterms:created>
  <dc:creator>UK VoHEC</dc:creator>
  <dc:description/>
  <dc:language>ru-RU</dc:language>
  <cp:lastModifiedBy>unusovmh@corp.gidroogk.com</cp:lastModifiedBy>
  <cp:lastPrinted>2016-12-15T13:00:00Z</cp:lastPrinted>
  <dcterms:modified xsi:type="dcterms:W3CDTF">2026-07-23T15:11:55Z</dcterms:modified>
  <cp:revision>80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