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word/_rels/document.xml.rels" ContentType="application/vnd.openxmlformats-package.relationships+xml"/>
  <Override PartName="/word/numbering.xml" ContentType="application/vnd.openxmlformats-officedocument.wordprocessingml.numbering+xml"/>
  <Override PartName="/word/header7.xml" ContentType="application/vnd.openxmlformats-officedocument.wordprocessingml.header+xml"/>
  <Override PartName="/word/header5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6.xml" ContentType="application/vnd.openxmlformats-officedocument.wordprocessingml.header+xml"/>
  <Override PartName="/word/document.xml" ContentType="application/vnd.openxmlformats-officedocument.wordprocessingml.document.main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3.xml" ContentType="application/vnd.openxmlformats-officedocument.wordprocessingml.header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keepNext w:val="true"/>
        <w:keepLines/>
        <w:jc w:val="right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numPr>
          <w:ilvl w:val="0"/>
          <w:numId w:val="0"/>
        </w:numPr>
        <w:ind w:left="0" w:hanging="0"/>
        <w:jc w:val="center"/>
        <w:outlineLvl w:val="0"/>
        <w:rPr>
          <w:b/>
        </w:rPr>
      </w:pPr>
      <w:r>
        <w:rPr>
          <w:b/>
        </w:rPr>
      </w:r>
    </w:p>
    <w:p>
      <w:pPr>
        <w:pStyle w:val="Normal"/>
        <w:keepNext w:val="true"/>
        <w:numPr>
          <w:ilvl w:val="0"/>
          <w:numId w:val="0"/>
        </w:numPr>
        <w:ind w:left="0" w:hanging="0"/>
        <w:jc w:val="center"/>
        <w:outlineLvl w:val="0"/>
        <w:rPr>
          <w:b/>
        </w:rPr>
      </w:pPr>
      <w:bookmarkStart w:id="0" w:name="__RefHeading___Toc2659_4038638555"/>
      <w:bookmarkStart w:id="1" w:name="_Toc134194217"/>
      <w:bookmarkEnd w:id="0"/>
      <w:r>
        <w:rPr>
          <w:b/>
        </w:rPr>
        <w:t>Технические требования</w:t>
      </w:r>
      <w:bookmarkEnd w:id="1"/>
      <w:r>
        <w:rPr>
          <w:b/>
        </w:rPr>
        <w:t xml:space="preserve"> на оказание услуг </w:t>
      </w:r>
    </w:p>
    <w:p>
      <w:pPr>
        <w:pStyle w:val="Normal"/>
        <w:jc w:val="center"/>
        <w:rPr>
          <w:highlight w:val="none"/>
          <w:shd w:fill="auto" w:val="clear"/>
        </w:rPr>
      </w:pPr>
      <w:r>
        <w:rPr>
          <w:b/>
          <w:shd w:fill="auto" w:val="clear"/>
        </w:rPr>
        <w:t>ОКПД 2: 84.25.11.120</w:t>
      </w:r>
    </w:p>
    <w:p>
      <w:pPr>
        <w:pStyle w:val="Normal"/>
        <w:jc w:val="center"/>
        <w:rPr>
          <w:b/>
        </w:rPr>
      </w:pPr>
      <w:r>
        <w:rPr>
          <w:b/>
        </w:rPr>
        <w:t xml:space="preserve"> </w:t>
      </w:r>
      <w:r>
        <w:rPr>
          <w:b/>
        </w:rPr>
        <w:t xml:space="preserve">«Техническое освидетельствование </w:t>
      </w:r>
    </w:p>
    <w:p>
      <w:pPr>
        <w:pStyle w:val="Normal"/>
        <w:jc w:val="center"/>
        <w:rPr>
          <w:b/>
        </w:rPr>
      </w:pPr>
      <w:r>
        <w:rPr>
          <w:b/>
        </w:rPr>
        <w:t xml:space="preserve">модулей газового пожаротушения МПА-NVC1230 </w:t>
      </w:r>
    </w:p>
    <w:p>
      <w:pPr>
        <w:pStyle w:val="Normal"/>
        <w:jc w:val="center"/>
        <w:rPr>
          <w:b/>
        </w:rPr>
      </w:pPr>
      <w:r>
        <w:rPr>
          <w:b/>
        </w:rPr>
        <w:t>Филиала ПАО «РусГидро» - «Каскад Верхневолжских ГЭС»</w:t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i/>
          <w:i/>
          <w:sz w:val="26"/>
          <w:szCs w:val="26"/>
        </w:rPr>
      </w:pPr>
      <w:r>
        <w:rPr>
          <w:rFonts w:eastAsia="Calibri"/>
          <w:b/>
          <w:sz w:val="26"/>
          <w:szCs w:val="26"/>
        </w:rPr>
        <w:t xml:space="preserve">Лот № </w:t>
      </w:r>
      <w:r>
        <w:rPr>
          <w:rFonts w:eastAsia="Calibri"/>
          <w:b/>
          <w:i w:val="false"/>
          <w:iCs w:val="false"/>
          <w:sz w:val="26"/>
          <w:szCs w:val="26"/>
          <w:shd w:fill="auto" w:val="clear"/>
        </w:rPr>
        <w:t>41077839-ЭКСП ПРОД-2026-КВВГЭС</w:t>
      </w:r>
    </w:p>
    <w:p>
      <w:pPr>
        <w:pStyle w:val="Normal"/>
        <w:keepNext w:val="true"/>
        <w:keepLines/>
        <w:jc w:val="center"/>
        <w:rPr>
          <w:rFonts w:eastAsia="Calibri"/>
          <w:b/>
          <w:i/>
          <w:i/>
          <w:sz w:val="26"/>
          <w:szCs w:val="26"/>
        </w:rPr>
      </w:pPr>
      <w:r>
        <w:rPr>
          <w:rFonts w:eastAsia="Calibri"/>
          <w:b/>
          <w:i/>
          <w:sz w:val="26"/>
          <w:szCs w:val="26"/>
        </w:rPr>
      </w:r>
    </w:p>
    <w:p>
      <w:pPr>
        <w:pStyle w:val="Normal"/>
        <w:keepNext w:val="true"/>
        <w:keepLines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  <w:r>
        <w:br w:type="page"/>
      </w:r>
    </w:p>
    <w:p>
      <w:pPr>
        <w:pStyle w:val="Normal"/>
        <w:jc w:val="center"/>
        <w:rPr>
          <w:b/>
        </w:rPr>
      </w:pPr>
      <w:r>
        <w:rPr>
          <w:b/>
        </w:rPr>
        <w:t>СОДЕРЖАНИЕ</w:t>
      </w:r>
    </w:p>
    <w:sdt>
      <w:sdtPr>
        <w:docPartObj>
          <w:docPartGallery w:val="Table of Contents"/>
          <w:docPartUnique w:val="true"/>
        </w:docPartObj>
      </w:sdtPr>
      <w:sdtContent>
        <w:p>
          <w:pPr>
            <w:pStyle w:val="TOC1"/>
            <w:tabs>
              <w:tab w:val="clear" w:pos="720"/>
              <w:tab w:val="right" w:pos="9921" w:leader="dot"/>
            </w:tabs>
            <w:rPr/>
          </w:pPr>
          <w:r>
            <w:fldChar w:fldCharType="begin"/>
          </w:r>
          <w:r>
            <w:rPr>
              <w:webHidden/>
              <w:rStyle w:val="Style15"/>
              <w:vanish w:val="false"/>
            </w:rPr>
            <w:instrText xml:space="preserve"> TOC \z \o "1-4" \u \h</w:instrText>
          </w:r>
          <w:r>
            <w:rPr>
              <w:webHidden/>
              <w:rStyle w:val="Style15"/>
              <w:vanish w:val="false"/>
            </w:rPr>
            <w:fldChar w:fldCharType="separate"/>
          </w:r>
          <w:hyperlink w:anchor="__RefHeading___Toc2659_4038638555">
            <w:r>
              <w:rPr>
                <w:webHidden/>
                <w:rStyle w:val="Style15"/>
                <w:vanish w:val="false"/>
              </w:rPr>
              <w:t>Технические требования на оказание услуг</w:t>
              <w:tab/>
              <w:t>1</w:t>
            </w:r>
          </w:hyperlink>
        </w:p>
        <w:p>
          <w:pPr>
            <w:pStyle w:val="TOC1"/>
            <w:tabs>
              <w:tab w:val="clear" w:pos="720"/>
              <w:tab w:val="right" w:pos="9921" w:leader="dot"/>
            </w:tabs>
            <w:rPr/>
          </w:pPr>
          <w:hyperlink w:anchor="__RefHeading___Toc2661_4038638555">
            <w:r>
              <w:rPr>
                <w:webHidden/>
                <w:rStyle w:val="Style15"/>
                <w:vanish w:val="false"/>
              </w:rPr>
              <w:t>1. Общие сведения</w:t>
              <w:tab/>
              <w:t>3</w:t>
            </w:r>
          </w:hyperlink>
        </w:p>
        <w:p>
          <w:pPr>
            <w:pStyle w:val="TOC4"/>
            <w:tabs>
              <w:tab w:val="clear" w:pos="1120"/>
              <w:tab w:val="clear" w:pos="9911"/>
              <w:tab w:val="right" w:pos="9921" w:leader="dot"/>
            </w:tabs>
            <w:rPr/>
          </w:pPr>
          <w:hyperlink w:anchor="__RefHeading___Toc2663_4038638555">
            <w:r>
              <w:rPr>
                <w:webHidden/>
                <w:rStyle w:val="Style15"/>
                <w:vanish w:val="false"/>
              </w:rPr>
              <w:t>1.1. Обозначения и сокращения</w:t>
              <w:tab/>
              <w:t>3</w:t>
            </w:r>
          </w:hyperlink>
        </w:p>
        <w:p>
          <w:pPr>
            <w:pStyle w:val="TOC4"/>
            <w:tabs>
              <w:tab w:val="clear" w:pos="1120"/>
              <w:tab w:val="clear" w:pos="9911"/>
              <w:tab w:val="right" w:pos="9921" w:leader="dot"/>
            </w:tabs>
            <w:rPr/>
          </w:pPr>
          <w:hyperlink w:anchor="__RefHeading___Toc2665_4038638555">
            <w:r>
              <w:rPr>
                <w:webHidden/>
                <w:rStyle w:val="Style15"/>
                <w:vanish w:val="false"/>
              </w:rPr>
              <w:t>1.2. Наименование закупаемой продукции</w:t>
              <w:tab/>
              <w:t>4</w:t>
            </w:r>
          </w:hyperlink>
        </w:p>
        <w:p>
          <w:pPr>
            <w:pStyle w:val="TOC4"/>
            <w:tabs>
              <w:tab w:val="clear" w:pos="1120"/>
              <w:tab w:val="clear" w:pos="9911"/>
              <w:tab w:val="right" w:pos="9921" w:leader="dot"/>
            </w:tabs>
            <w:rPr/>
          </w:pPr>
          <w:hyperlink w:anchor="__RefHeading___Toc2669_4038638555">
            <w:r>
              <w:rPr>
                <w:webHidden/>
                <w:rStyle w:val="Style15"/>
                <w:vanish w:val="false"/>
              </w:rPr>
              <w:t>1.3. Цель оказания услуг</w:t>
              <w:tab/>
              <w:t>4</w:t>
            </w:r>
          </w:hyperlink>
        </w:p>
        <w:p>
          <w:pPr>
            <w:pStyle w:val="TOC4"/>
            <w:tabs>
              <w:tab w:val="clear" w:pos="1120"/>
              <w:tab w:val="clear" w:pos="9911"/>
              <w:tab w:val="right" w:pos="9921" w:leader="dot"/>
            </w:tabs>
            <w:rPr/>
          </w:pPr>
          <w:hyperlink w:anchor="__RefHeading___Toc2673_4038638555">
            <w:r>
              <w:rPr>
                <w:webHidden/>
                <w:rStyle w:val="Style15"/>
                <w:vanish w:val="false"/>
              </w:rPr>
              <w:t>1.4. Существующее положение</w:t>
              <w:tab/>
              <w:t>4</w:t>
            </w:r>
          </w:hyperlink>
        </w:p>
        <w:p>
          <w:pPr>
            <w:pStyle w:val="TOC4"/>
            <w:tabs>
              <w:tab w:val="clear" w:pos="1120"/>
              <w:tab w:val="clear" w:pos="9911"/>
              <w:tab w:val="right" w:pos="9921" w:leader="dot"/>
            </w:tabs>
            <w:rPr/>
          </w:pPr>
          <w:hyperlink w:anchor="__RefHeading___Toc2677_4038638555">
            <w:r>
              <w:rPr>
                <w:webHidden/>
                <w:rStyle w:val="Style15"/>
                <w:vanish w:val="false"/>
              </w:rPr>
              <w:t>1.5. Информация в отношении исполнения договора, которая должна быть учтена при подготовке заявки (в том числе перечень ресурсов, услуг и документов, предоставляемых заказчиком на этапе исполнения договора):</w:t>
              <w:tab/>
              <w:t>4</w:t>
            </w:r>
          </w:hyperlink>
        </w:p>
        <w:p>
          <w:pPr>
            <w:pStyle w:val="TOC1"/>
            <w:tabs>
              <w:tab w:val="clear" w:pos="720"/>
              <w:tab w:val="right" w:pos="9921" w:leader="dot"/>
            </w:tabs>
            <w:rPr/>
          </w:pPr>
          <w:hyperlink w:anchor="__RefHeading___Toc2679_4038638555">
            <w:r>
              <w:rPr>
                <w:webHidden/>
                <w:rStyle w:val="Style15"/>
                <w:vanish w:val="false"/>
              </w:rPr>
              <w:t>2. Требования к продукции</w:t>
              <w:tab/>
              <w:t>5</w:t>
            </w:r>
          </w:hyperlink>
        </w:p>
        <w:p>
          <w:pPr>
            <w:pStyle w:val="TOC4"/>
            <w:tabs>
              <w:tab w:val="clear" w:pos="1120"/>
              <w:tab w:val="clear" w:pos="9911"/>
              <w:tab w:val="right" w:pos="9921" w:leader="dot"/>
            </w:tabs>
            <w:rPr/>
          </w:pPr>
          <w:hyperlink w:anchor="__RefHeading___Toc2681_4038638555">
            <w:r>
              <w:rPr>
                <w:webHidden/>
                <w:rStyle w:val="Style15"/>
                <w:vanish w:val="false"/>
              </w:rPr>
              <w:t>2.1. Требования к объемам и срокам оказания услуг</w:t>
              <w:tab/>
              <w:t>5</w:t>
            </w:r>
          </w:hyperlink>
        </w:p>
        <w:p>
          <w:pPr>
            <w:pStyle w:val="TOC3"/>
            <w:tabs>
              <w:tab w:val="clear" w:pos="1120"/>
              <w:tab w:val="clear" w:pos="9911"/>
              <w:tab w:val="right" w:pos="9921" w:leader="dot"/>
            </w:tabs>
            <w:rPr/>
          </w:pPr>
          <w:hyperlink w:anchor="__RefHeading___Toc2683_4038638555">
            <w:r>
              <w:rPr>
                <w:webHidden/>
                <w:rStyle w:val="Style15"/>
                <w:vanish w:val="false"/>
              </w:rPr>
              <w:t>2.1.1. Требования к перечню и объему услуг</w:t>
              <w:tab/>
              <w:t>5</w:t>
            </w:r>
          </w:hyperlink>
        </w:p>
        <w:p>
          <w:pPr>
            <w:pStyle w:val="TOC4"/>
            <w:tabs>
              <w:tab w:val="clear" w:pos="1120"/>
              <w:tab w:val="clear" w:pos="9911"/>
              <w:tab w:val="right" w:pos="9921" w:leader="dot"/>
            </w:tabs>
            <w:rPr/>
          </w:pPr>
          <w:hyperlink w:anchor="__RefHeading___Toc2691_4038638555">
            <w:r>
              <w:rPr>
                <w:webHidden/>
                <w:rStyle w:val="Style15"/>
                <w:vanish w:val="false"/>
              </w:rPr>
              <w:t>2.2. Требования к качеству услуг</w:t>
              <w:tab/>
              <w:t>6</w:t>
            </w:r>
          </w:hyperlink>
        </w:p>
        <w:p>
          <w:pPr>
            <w:pStyle w:val="TOC1"/>
            <w:tabs>
              <w:tab w:val="clear" w:pos="720"/>
              <w:tab w:val="right" w:pos="9921" w:leader="dot"/>
            </w:tabs>
            <w:rPr/>
          </w:pPr>
          <w:hyperlink w:anchor="__RefHeading___Toc2703_4038638555">
            <w:r>
              <w:rPr>
                <w:webHidden/>
                <w:rStyle w:val="Style15"/>
                <w:vanish w:val="false"/>
              </w:rPr>
              <w:t>3. Требования к документации по ценообразованию на этапе закупки</w:t>
              <w:tab/>
              <w:t>13</w:t>
            </w:r>
          </w:hyperlink>
        </w:p>
        <w:p>
          <w:pPr>
            <w:pStyle w:val="TOC1"/>
            <w:tabs>
              <w:tab w:val="clear" w:pos="720"/>
              <w:tab w:val="right" w:pos="9921" w:leader="dot"/>
            </w:tabs>
            <w:rPr/>
          </w:pPr>
          <w:hyperlink w:anchor="__RefHeading___Toc2707_4038638555">
            <w:r>
              <w:rPr>
                <w:webHidden/>
                <w:rStyle w:val="Style15"/>
                <w:vanish w:val="false"/>
              </w:rPr>
              <w:t>4. Приложения:</w:t>
              <w:tab/>
              <w:t>14</w:t>
            </w:r>
          </w:hyperlink>
          <w:r>
            <w:rPr>
              <w:rStyle w:val="Style15"/>
              <w:vanish w:val="false"/>
            </w:rPr>
            <w:fldChar w:fldCharType="end"/>
          </w:r>
        </w:p>
      </w:sdtContent>
    </w:sdt>
    <w:p>
      <w:pPr>
        <w:pStyle w:val="Heading2"/>
        <w:tabs>
          <w:tab w:val="clear" w:pos="0"/>
        </w:tabs>
        <w:ind w:hanging="0"/>
        <w:rPr/>
      </w:pPr>
      <w:r>
        <w:rPr/>
      </w:r>
    </w:p>
    <w:p>
      <w:pPr>
        <w:pStyle w:val="Normal"/>
        <w:rPr>
          <w:rFonts w:eastAsia="Calibri"/>
          <w:bCs/>
          <w:sz w:val="24"/>
          <w:szCs w:val="24"/>
          <w:lang w:val="x-none" w:eastAsia="x-none"/>
        </w:rPr>
      </w:pPr>
      <w:r>
        <w:rPr>
          <w:rFonts w:eastAsia="Calibri"/>
          <w:bCs/>
          <w:sz w:val="24"/>
          <w:szCs w:val="24"/>
          <w:lang w:val="x-none" w:eastAsia="x-none"/>
        </w:rPr>
      </w:r>
      <w:r>
        <w:br w:type="page"/>
      </w:r>
    </w:p>
    <w:p>
      <w:pPr>
        <w:pStyle w:val="Heading2"/>
        <w:tabs>
          <w:tab w:val="clear" w:pos="0"/>
        </w:tabs>
        <w:ind w:hanging="0"/>
        <w:rPr/>
      </w:pPr>
      <w:r>
        <w:rPr/>
      </w:r>
    </w:p>
    <w:p>
      <w:pPr>
        <w:pStyle w:val="Heading1"/>
        <w:numPr>
          <w:ilvl w:val="0"/>
          <w:numId w:val="3"/>
        </w:numPr>
        <w:ind w:left="0" w:firstLine="63"/>
        <w:rPr>
          <w:caps/>
        </w:rPr>
      </w:pPr>
      <w:bookmarkStart w:id="2" w:name="__RefHeading___Toc2661_4038638555"/>
      <w:bookmarkStart w:id="3" w:name="_Toc134194218"/>
      <w:bookmarkEnd w:id="2"/>
      <w:r>
        <w:rPr/>
        <w:t>Общие сведения</w:t>
      </w:r>
      <w:bookmarkEnd w:id="3"/>
    </w:p>
    <w:p>
      <w:pPr>
        <w:pStyle w:val="Heading4"/>
        <w:numPr>
          <w:ilvl w:val="1"/>
          <w:numId w:val="3"/>
        </w:numPr>
        <w:ind w:left="0" w:firstLine="63"/>
        <w:rPr/>
      </w:pPr>
      <w:bookmarkStart w:id="4" w:name="__RefHeading___Toc2663_4038638555"/>
      <w:bookmarkStart w:id="5" w:name="_Toc46743505"/>
      <w:bookmarkStart w:id="6" w:name="_Toc134194219"/>
      <w:bookmarkEnd w:id="4"/>
      <w:r>
        <w:rPr/>
        <w:t>Обозначения и сокращения</w:t>
      </w:r>
      <w:bookmarkEnd w:id="5"/>
      <w:bookmarkEnd w:id="6"/>
    </w:p>
    <w:p>
      <w:pPr>
        <w:pStyle w:val="Normal"/>
        <w:rPr>
          <w:rStyle w:val="Style8"/>
          <w:b w:val="false"/>
          <w:bCs/>
          <w:iCs/>
          <w:sz w:val="26"/>
          <w:szCs w:val="26"/>
        </w:rPr>
      </w:pPr>
      <w:r>
        <w:rPr>
          <w:b w:val="false"/>
          <w:bCs/>
          <w:iCs/>
          <w:sz w:val="26"/>
          <w:szCs w:val="26"/>
        </w:rPr>
      </w:r>
    </w:p>
    <w:tbl>
      <w:tblPr>
        <w:tblW w:w="9783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1785"/>
        <w:gridCol w:w="7997"/>
      </w:tblGrid>
      <w:tr>
        <w:trPr>
          <w:cantSplit w:val="true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pacing w:before="120"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АСУ ТП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pacing w:before="120" w:after="120"/>
              <w:jc w:val="both"/>
              <w:rPr/>
            </w:pPr>
            <w:r>
              <w:rPr>
                <w:rStyle w:val="Style8"/>
                <w:b w:val="false"/>
                <w:bCs/>
                <w:i w:val="false"/>
                <w:sz w:val="24"/>
                <w:szCs w:val="24"/>
                <w:shd w:fill="auto" w:val="clear"/>
              </w:rPr>
              <w:t>- автоматизированная система управления технологическим процессом</w:t>
            </w:r>
          </w:p>
        </w:tc>
      </w:tr>
      <w:tr>
        <w:trPr>
          <w:cantSplit w:val="true"/>
        </w:trPr>
        <w:tc>
          <w:tcPr>
            <w:tcW w:w="17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pacing w:before="120"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ГЭС</w:t>
            </w:r>
          </w:p>
        </w:tc>
        <w:tc>
          <w:tcPr>
            <w:tcW w:w="79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pacing w:before="120" w:after="120"/>
              <w:jc w:val="both"/>
              <w:rPr>
                <w:rStyle w:val="Style8"/>
                <w:b w:val="false"/>
                <w:bCs/>
                <w:i w:val="false"/>
                <w:i w:val="false"/>
                <w:sz w:val="24"/>
                <w:szCs w:val="24"/>
              </w:rPr>
            </w:pPr>
            <w:r>
              <w:rPr>
                <w:sz w:val="24"/>
                <w:szCs w:val="24"/>
              </w:rPr>
              <w:t>- гидроэлектростанция</w:t>
            </w:r>
          </w:p>
        </w:tc>
      </w:tr>
      <w:tr>
        <w:trPr>
          <w:cantSplit w:val="true"/>
        </w:trPr>
        <w:tc>
          <w:tcPr>
            <w:tcW w:w="17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pacing w:before="120" w:after="120"/>
              <w:jc w:val="both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en-US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en-US" w:eastAsia="ru-RU" w:bidi="ar-SA"/>
              </w:rPr>
              <w:t>ГОТВ</w:t>
            </w:r>
          </w:p>
        </w:tc>
        <w:tc>
          <w:tcPr>
            <w:tcW w:w="79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pacing w:before="120" w:after="120"/>
              <w:jc w:val="both"/>
              <w:rPr/>
            </w:pPr>
            <w:r>
              <w:rPr>
                <w:rStyle w:val="Style8"/>
                <w:rFonts w:eastAsia="Times New Roman" w:cs="Times New Roman"/>
                <w:b w:val="false"/>
                <w:bCs w:val="false"/>
                <w:i w:val="false"/>
                <w:iCs w:val="false"/>
                <w:color w:val="000000"/>
                <w:kern w:val="0"/>
                <w:sz w:val="24"/>
                <w:szCs w:val="24"/>
                <w:shd w:fill="auto" w:val="clear"/>
                <w:lang w:val="en-US" w:eastAsia="ru-RU" w:bidi="ar-SA"/>
              </w:rPr>
              <w:t>- газовое огнетушащее вещество</w:t>
            </w:r>
          </w:p>
        </w:tc>
      </w:tr>
      <w:tr>
        <w:trPr>
          <w:cantSplit w:val="true"/>
        </w:trPr>
        <w:tc>
          <w:tcPr>
            <w:tcW w:w="17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pacing w:before="120" w:after="120"/>
              <w:jc w:val="both"/>
              <w:rPr/>
            </w:pPr>
            <w:r>
              <w:rPr>
                <w:rStyle w:val="Style8"/>
                <w:rFonts w:eastAsia="Times New Roman" w:cs="Times New Roman"/>
                <w:b w:val="false"/>
                <w:bCs w:val="false"/>
                <w:i w:val="false"/>
                <w:iCs w:val="false"/>
                <w:color w:val="000000"/>
                <w:kern w:val="0"/>
                <w:sz w:val="24"/>
                <w:szCs w:val="24"/>
                <w:shd w:fill="auto" w:val="clear"/>
                <w:lang w:val="en-US" w:eastAsia="ru-RU" w:bidi="ar-SA"/>
              </w:rPr>
              <w:t>ЗПУ</w:t>
            </w:r>
          </w:p>
        </w:tc>
        <w:tc>
          <w:tcPr>
            <w:tcW w:w="79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pacing w:before="120" w:after="120"/>
              <w:jc w:val="both"/>
              <w:rPr/>
            </w:pPr>
            <w:r>
              <w:rPr>
                <w:rStyle w:val="Style8"/>
                <w:rFonts w:eastAsia="Times New Roman" w:cs="Times New Roman"/>
                <w:b w:val="false"/>
                <w:bCs w:val="false"/>
                <w:i w:val="false"/>
                <w:iCs w:val="false"/>
                <w:color w:val="000000"/>
                <w:kern w:val="0"/>
                <w:sz w:val="24"/>
                <w:szCs w:val="24"/>
                <w:shd w:fill="auto" w:val="clear"/>
                <w:lang w:val="en-US" w:eastAsia="ru-RU" w:bidi="ar-SA"/>
              </w:rPr>
              <w:t>- запорно-пусковое устройство</w:t>
            </w:r>
          </w:p>
        </w:tc>
      </w:tr>
      <w:tr>
        <w:trPr>
          <w:cantSplit w:val="true"/>
        </w:trPr>
        <w:tc>
          <w:tcPr>
            <w:tcW w:w="17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pacing w:before="120" w:after="120"/>
              <w:jc w:val="both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en-US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en-US" w:eastAsia="ru-RU" w:bidi="ar-SA"/>
              </w:rPr>
              <w:t>МГП</w:t>
            </w:r>
          </w:p>
        </w:tc>
        <w:tc>
          <w:tcPr>
            <w:tcW w:w="79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pacing w:before="120" w:after="120"/>
              <w:jc w:val="both"/>
              <w:rPr/>
            </w:pPr>
            <w:r>
              <w:rPr>
                <w:rStyle w:val="Style8"/>
                <w:rFonts w:eastAsia="Times New Roman" w:cs="Times New Roman"/>
                <w:b w:val="false"/>
                <w:bCs w:val="false"/>
                <w:i w:val="false"/>
                <w:iCs w:val="false"/>
                <w:color w:val="000000"/>
                <w:kern w:val="0"/>
                <w:sz w:val="24"/>
                <w:szCs w:val="24"/>
                <w:shd w:fill="auto" w:val="clear"/>
                <w:lang w:val="en-US" w:eastAsia="ru-RU" w:bidi="ar-SA"/>
              </w:rPr>
              <w:t>- модуль газового пожаротушения</w:t>
            </w:r>
          </w:p>
        </w:tc>
      </w:tr>
      <w:tr>
        <w:trPr>
          <w:cantSplit w:val="true"/>
        </w:trPr>
        <w:tc>
          <w:tcPr>
            <w:tcW w:w="17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pacing w:before="120" w:after="120"/>
              <w:jc w:val="both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en-US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en-US" w:eastAsia="ru-RU" w:bidi="ar-SA"/>
              </w:rPr>
              <w:t>МТР</w:t>
            </w:r>
          </w:p>
        </w:tc>
        <w:tc>
          <w:tcPr>
            <w:tcW w:w="79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pacing w:before="120" w:after="120"/>
              <w:jc w:val="both"/>
              <w:rPr/>
            </w:pPr>
            <w:r>
              <w:rPr>
                <w:rStyle w:val="Style8"/>
                <w:rFonts w:eastAsia="Times New Roman" w:cs="Times New Roman"/>
                <w:b w:val="false"/>
                <w:bCs w:val="false"/>
                <w:i w:val="false"/>
                <w:iCs w:val="false"/>
                <w:color w:val="000000"/>
                <w:kern w:val="0"/>
                <w:sz w:val="24"/>
                <w:szCs w:val="24"/>
                <w:shd w:fill="auto" w:val="clear"/>
                <w:lang w:val="en-US" w:eastAsia="ru-RU" w:bidi="ar-SA"/>
              </w:rPr>
              <w:t>- материально-технические ресурсы</w:t>
            </w:r>
          </w:p>
        </w:tc>
      </w:tr>
      <w:tr>
        <w:trPr>
          <w:cantSplit w:val="true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pacing w:before="120"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НТД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pacing w:before="120" w:after="120"/>
              <w:jc w:val="both"/>
              <w:rPr>
                <w:rStyle w:val="Style8"/>
                <w:b w:val="false"/>
                <w:bCs/>
                <w:i w:val="false"/>
                <w:i w:val="false"/>
                <w:sz w:val="24"/>
                <w:szCs w:val="24"/>
              </w:rPr>
            </w:pPr>
            <w:r>
              <w:rPr>
                <w:sz w:val="24"/>
                <w:szCs w:val="24"/>
              </w:rPr>
              <w:t>- нормативно-техническая документация</w:t>
            </w:r>
          </w:p>
        </w:tc>
      </w:tr>
      <w:tr>
        <w:trPr>
          <w:cantSplit w:val="true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pacing w:before="120"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РГЭС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pacing w:before="120"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Рыбинская ГЭС</w:t>
            </w:r>
          </w:p>
        </w:tc>
      </w:tr>
      <w:tr>
        <w:trPr>
          <w:cantSplit w:val="true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pacing w:before="120"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СТО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pacing w:before="120" w:after="120"/>
              <w:jc w:val="both"/>
              <w:rPr>
                <w:rStyle w:val="Style8"/>
                <w:b w:val="false"/>
                <w:bCs/>
                <w:i w:val="false"/>
                <w:i w:val="false"/>
                <w:sz w:val="24"/>
                <w:szCs w:val="24"/>
              </w:rPr>
            </w:pPr>
            <w:r>
              <w:rPr>
                <w:sz w:val="24"/>
                <w:szCs w:val="24"/>
              </w:rPr>
              <w:t>- стандарт организации</w:t>
            </w:r>
          </w:p>
        </w:tc>
      </w:tr>
      <w:tr>
        <w:trPr>
          <w:cantSplit w:val="true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pacing w:before="120" w:after="120"/>
              <w:jc w:val="both"/>
              <w:rPr/>
            </w:pPr>
            <w:r>
              <w:rPr>
                <w:sz w:val="24"/>
                <w:szCs w:val="24"/>
              </w:rPr>
              <w:t>ТТ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pacing w:before="120" w:after="120"/>
              <w:jc w:val="both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- технические требования</w:t>
            </w:r>
          </w:p>
        </w:tc>
      </w:tr>
      <w:tr>
        <w:trPr>
          <w:cantSplit w:val="true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pacing w:before="120" w:after="120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УГЭС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pacing w:before="120" w:after="120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- Угличская ГЭС</w:t>
            </w:r>
          </w:p>
        </w:tc>
      </w:tr>
      <w:tr>
        <w:trPr>
          <w:cantSplit w:val="true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pacing w:before="120"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филиал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pacing w:before="120"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филиал ПАО «РусГидро»-«Каскад Верхневолжских ГЭС»</w:t>
            </w:r>
          </w:p>
        </w:tc>
      </w:tr>
    </w:tbl>
    <w:p>
      <w:pPr>
        <w:pStyle w:val="Normal"/>
        <w:keepNext w:val="true"/>
        <w:keepLines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keepNext w:val="true"/>
        <w:keepLines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keepNext w:val="true"/>
        <w:keepLines/>
        <w:rPr>
          <w:sz w:val="24"/>
          <w:szCs w:val="24"/>
        </w:rPr>
      </w:pPr>
      <w:r>
        <w:rPr>
          <w:sz w:val="24"/>
          <w:szCs w:val="24"/>
        </w:rPr>
      </w:r>
      <w:r>
        <w:br w:type="page"/>
      </w:r>
    </w:p>
    <w:p>
      <w:pPr>
        <w:pStyle w:val="Heading4"/>
        <w:numPr>
          <w:ilvl w:val="1"/>
          <w:numId w:val="3"/>
        </w:numPr>
        <w:ind w:left="0" w:firstLine="63"/>
        <w:rPr>
          <w:b/>
        </w:rPr>
      </w:pPr>
      <w:bookmarkStart w:id="7" w:name="__RefHeading___Toc2665_4038638555"/>
      <w:bookmarkStart w:id="8" w:name="_Toc46743506"/>
      <w:bookmarkStart w:id="9" w:name="_Toc134194220"/>
      <w:bookmarkEnd w:id="7"/>
      <w:r>
        <w:rPr>
          <w:b/>
        </w:rPr>
        <w:t>Наименование закупаемой продукции</w:t>
      </w:r>
      <w:bookmarkEnd w:id="8"/>
      <w:bookmarkEnd w:id="9"/>
    </w:p>
    <w:p>
      <w:pPr>
        <w:pStyle w:val="Normal"/>
        <w:rPr/>
      </w:pPr>
      <w:bookmarkStart w:id="10" w:name="__RefHeading___Toc2667_4038638555"/>
      <w:bookmarkStart w:id="11" w:name="_Toc134194221"/>
      <w:bookmarkEnd w:id="10"/>
      <w:bookmarkEnd w:id="11"/>
      <w:r>
        <w:rPr/>
        <w:tab/>
      </w:r>
      <w:r>
        <w:rPr>
          <w:rFonts w:eastAsia="Calibri"/>
          <w:bCs/>
          <w:sz w:val="24"/>
          <w:lang w:val="x-none" w:eastAsia="x-none"/>
        </w:rPr>
        <w:t>Оказание услуг по выполнению технического освидетельствования модулей газового пожаротушения МПА-NVC1230 (42-180-50) Рыбинской и Угличской ГЭС</w:t>
      </w:r>
      <w:r>
        <w:rPr>
          <w:rFonts w:eastAsia="Calibri"/>
          <w:bCs/>
          <w:sz w:val="24"/>
          <w:lang w:eastAsia="x-none"/>
        </w:rPr>
        <w:t>.</w:t>
      </w:r>
    </w:p>
    <w:p>
      <w:pPr>
        <w:pStyle w:val="Heading4"/>
        <w:numPr>
          <w:ilvl w:val="1"/>
          <w:numId w:val="3"/>
        </w:numPr>
        <w:ind w:left="0" w:firstLine="63"/>
        <w:rPr>
          <w:b/>
        </w:rPr>
      </w:pPr>
      <w:bookmarkStart w:id="12" w:name="__RefHeading___Toc2669_4038638555"/>
      <w:bookmarkStart w:id="13" w:name="_Toc134194226"/>
      <w:bookmarkStart w:id="14" w:name="_Toc46743507"/>
      <w:bookmarkStart w:id="15" w:name="_Toc134194221_Копия_1"/>
      <w:bookmarkEnd w:id="12"/>
      <w:bookmarkEnd w:id="15"/>
      <w:r>
        <w:rPr>
          <w:b/>
        </w:rPr>
        <w:t xml:space="preserve">Цель </w:t>
      </w:r>
      <w:bookmarkEnd w:id="14"/>
      <w:r>
        <w:rPr>
          <w:b/>
          <w:lang w:val="ru-RU"/>
        </w:rPr>
        <w:t>оказания услуг</w:t>
      </w:r>
      <w:bookmarkEnd w:id="13"/>
      <w:r>
        <w:rPr>
          <w:b/>
        </w:rPr>
        <w:t xml:space="preserve"> </w:t>
      </w:r>
    </w:p>
    <w:p>
      <w:pPr>
        <w:pStyle w:val="Normal"/>
        <w:jc w:val="both"/>
        <w:rPr/>
      </w:pPr>
      <w:bookmarkStart w:id="16" w:name="__RefHeading___Toc2671_4038638555"/>
      <w:bookmarkStart w:id="17" w:name="_Toc134194227"/>
      <w:bookmarkEnd w:id="16"/>
      <w:bookmarkEnd w:id="17"/>
      <w:r>
        <w:rPr/>
        <w:tab/>
      </w:r>
      <w:r>
        <w:rPr>
          <w:sz w:val="24"/>
          <w:szCs w:val="24"/>
        </w:rPr>
        <w:t>Выполнение т</w:t>
      </w:r>
      <w:r>
        <w:rPr>
          <w:rFonts w:eastAsia="Calibri"/>
          <w:bCs/>
          <w:sz w:val="24"/>
          <w:szCs w:val="24"/>
          <w:lang w:val="x-none" w:eastAsia="x-none"/>
        </w:rPr>
        <w:t>ехнического освидетельствования модулей газового пожаротушения МПА-NVC1230 (42-180-50) Рыбинской и Угличской ГЭС для продления работоспособности и безопасности эксплуатации систем газового пожаротушения Рыбинской и Угличской ГЭС</w:t>
      </w:r>
      <w:r>
        <w:rPr>
          <w:sz w:val="24"/>
          <w:szCs w:val="24"/>
        </w:rPr>
        <w:t>.</w:t>
      </w:r>
    </w:p>
    <w:p>
      <w:pPr>
        <w:pStyle w:val="Heading4"/>
        <w:numPr>
          <w:ilvl w:val="1"/>
          <w:numId w:val="3"/>
        </w:numPr>
        <w:ind w:left="0" w:firstLine="63"/>
        <w:rPr>
          <w:b/>
          <w:lang w:val="ru-RU"/>
        </w:rPr>
      </w:pPr>
      <w:bookmarkStart w:id="18" w:name="__RefHeading___Toc2673_4038638555"/>
      <w:bookmarkStart w:id="19" w:name="_Toc46743508"/>
      <w:bookmarkStart w:id="20" w:name="_Toc134194228"/>
      <w:bookmarkStart w:id="21" w:name="_Toc134194227_Копия_1"/>
      <w:bookmarkEnd w:id="18"/>
      <w:bookmarkEnd w:id="21"/>
      <w:r>
        <w:rPr>
          <w:b/>
        </w:rPr>
        <w:t>Существующее положение</w:t>
      </w:r>
      <w:bookmarkEnd w:id="19"/>
      <w:bookmarkEnd w:id="20"/>
      <w:r>
        <w:rPr>
          <w:b/>
          <w:lang w:val="ru-RU"/>
        </w:rPr>
        <w:t xml:space="preserve"> </w:t>
      </w:r>
    </w:p>
    <w:p>
      <w:pPr>
        <w:pStyle w:val="Normal"/>
        <w:ind w:right="-1" w:hanging="0"/>
        <w:jc w:val="both"/>
        <w:rPr>
          <w:bCs/>
          <w:sz w:val="24"/>
          <w:szCs w:val="24"/>
        </w:rPr>
      </w:pPr>
      <w:r>
        <w:rPr>
          <w:sz w:val="24"/>
          <w:szCs w:val="24"/>
        </w:rPr>
        <w:tab/>
        <w:t xml:space="preserve">В 2015 году на Рыбинской и Угличской ГЭС введены в промышленную эксплуатацию серверные АСУ ТП. </w:t>
      </w:r>
      <w:r>
        <w:rPr>
          <w:rFonts w:cs="Times New Roman"/>
          <w:b w:val="false"/>
          <w:bCs w:val="false"/>
          <w:sz w:val="24"/>
          <w:szCs w:val="24"/>
        </w:rPr>
        <w:t xml:space="preserve">Для обеспечения требований пожарной безопасности помещений и серверного оборудования, установленного в серверных АСУ ТП РГЭС и УГЭС смонтированы системы газового пожаротушения. В состав систем пожаротушения входят модули газового пожаротушения МПА-NVC1230 (42-180-50), установленные непосредственно в серверных помещениях АСУ ТП Рыбинской и Угличской ГЭС. Дополнительно на РГЭС и УГЭС имеется по одному резервному модулю пожаротушения МПА-NVC1230 (42-180-50). Модули МПА-NVC1230 (42-180-50) для поддержания исправного состояния должны проходить периодическое техническое освидетельствование в срок, назначенный заводом-изготовителем - 1 раз в 10 лет. </w:t>
      </w:r>
    </w:p>
    <w:p>
      <w:pPr>
        <w:pStyle w:val="Normal"/>
        <w:ind w:right="-1" w:hanging="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</w:r>
    </w:p>
    <w:p>
      <w:pPr>
        <w:pStyle w:val="Normal"/>
        <w:rPr>
          <w:sz w:val="24"/>
          <w:szCs w:val="24"/>
        </w:rPr>
      </w:pPr>
      <w:bookmarkStart w:id="22" w:name="__RefHeading___Toc2675_4038638555"/>
      <w:bookmarkStart w:id="23" w:name="_Toc134194229"/>
      <w:bookmarkEnd w:id="22"/>
      <w:r>
        <w:rPr>
          <w:sz w:val="24"/>
          <w:szCs w:val="24"/>
        </w:rPr>
        <w:t>Таблица 1. Перечень объектов заказчика</w:t>
      </w:r>
      <w:bookmarkEnd w:id="23"/>
    </w:p>
    <w:tbl>
      <w:tblPr>
        <w:tblW w:w="9867" w:type="dxa"/>
        <w:jc w:val="left"/>
        <w:tblInd w:w="24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VBand="0" w:noHBand="0" w:lastColumn="0" w:firstColumn="0" w:lastRow="0" w:firstRow="0"/>
      </w:tblPr>
      <w:tblGrid>
        <w:gridCol w:w="589"/>
        <w:gridCol w:w="2972"/>
        <w:gridCol w:w="2737"/>
        <w:gridCol w:w="2307"/>
        <w:gridCol w:w="1262"/>
      </w:tblGrid>
      <w:tr>
        <w:trPr/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объекта</w:t>
            </w:r>
          </w:p>
        </w:tc>
        <w:tc>
          <w:tcPr>
            <w:tcW w:w="2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Расположение объекта  (место оказания услуг) 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основного средства (в отношении которого оказываются услуги)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Примечания</w:t>
            </w:r>
          </w:p>
        </w:tc>
      </w:tr>
      <w:tr>
        <w:trPr/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</w:tr>
      <w:tr>
        <w:trPr/>
        <w:tc>
          <w:tcPr>
            <w:tcW w:w="5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1</w:t>
            </w:r>
          </w:p>
        </w:tc>
        <w:tc>
          <w:tcPr>
            <w:tcW w:w="29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Автоматическая установка газового пожаротушения в серверной АСУ ТП здания РГЭС</w:t>
            </w:r>
          </w:p>
        </w:tc>
        <w:tc>
          <w:tcPr>
            <w:tcW w:w="27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 xml:space="preserve">Российская Федерация, </w:t>
            </w:r>
          </w:p>
          <w:p>
            <w:pPr>
              <w:pStyle w:val="Normal"/>
              <w:widowControl w:val="false"/>
              <w:jc w:val="both"/>
              <w:rPr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 xml:space="preserve">Ярославская обл., </w:t>
            </w:r>
          </w:p>
          <w:p>
            <w:pPr>
              <w:pStyle w:val="Normal"/>
              <w:widowControl w:val="false"/>
              <w:jc w:val="both"/>
              <w:rPr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г. Рыбинск, ул. Вяземского, д.31</w:t>
            </w:r>
          </w:p>
        </w:tc>
        <w:tc>
          <w:tcPr>
            <w:tcW w:w="2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Оборудование пожарной сигнализации здания ГЭС</w:t>
            </w:r>
          </w:p>
          <w:p>
            <w:pPr>
              <w:pStyle w:val="Normal"/>
              <w:widowControl w:val="false"/>
              <w:jc w:val="center"/>
              <w:rPr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(КВн000002232)</w:t>
            </w:r>
          </w:p>
        </w:tc>
        <w:tc>
          <w:tcPr>
            <w:tcW w:w="12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</w:r>
          </w:p>
        </w:tc>
      </w:tr>
      <w:tr>
        <w:trPr/>
        <w:tc>
          <w:tcPr>
            <w:tcW w:w="5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2</w:t>
            </w:r>
          </w:p>
        </w:tc>
        <w:tc>
          <w:tcPr>
            <w:tcW w:w="29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Автоматическая установка газового пожаротушения в серверной АСУ ТП здания УГЭС</w:t>
            </w:r>
          </w:p>
        </w:tc>
        <w:tc>
          <w:tcPr>
            <w:tcW w:w="27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 xml:space="preserve">Российская Федерация, </w:t>
            </w:r>
          </w:p>
          <w:p>
            <w:pPr>
              <w:pStyle w:val="Normal"/>
              <w:widowControl w:val="false"/>
              <w:jc w:val="both"/>
              <w:rPr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 xml:space="preserve">Ярославская обл., </w:t>
            </w:r>
          </w:p>
          <w:p>
            <w:pPr>
              <w:pStyle w:val="Normal"/>
              <w:widowControl w:val="false"/>
              <w:jc w:val="both"/>
              <w:rPr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г. Углич, ул. Спасская, д.33</w:t>
            </w:r>
          </w:p>
        </w:tc>
        <w:tc>
          <w:tcPr>
            <w:tcW w:w="2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Система пожарной сигнализации УГЭС</w:t>
            </w:r>
          </w:p>
          <w:p>
            <w:pPr>
              <w:pStyle w:val="Normal"/>
              <w:widowControl w:val="false"/>
              <w:jc w:val="center"/>
              <w:rPr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(КВ000002202)</w:t>
            </w:r>
          </w:p>
        </w:tc>
        <w:tc>
          <w:tcPr>
            <w:tcW w:w="12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</w:r>
          </w:p>
        </w:tc>
      </w:tr>
    </w:tbl>
    <w:p>
      <w:pPr>
        <w:pStyle w:val="Normal"/>
        <w:shd w:val="clear" w:color="auto" w:fill="FFFFFF"/>
        <w:tabs>
          <w:tab w:val="clear" w:pos="720"/>
          <w:tab w:val="left" w:pos="0" w:leader="none"/>
        </w:tabs>
        <w:spacing w:lineRule="auto" w:line="235" w:before="0" w:after="0"/>
        <w:contextualSpacing/>
        <w:jc w:val="both"/>
        <w:rPr>
          <w:bCs/>
          <w:sz w:val="24"/>
        </w:rPr>
      </w:pPr>
      <w:r>
        <w:rPr>
          <w:bCs/>
          <w:sz w:val="24"/>
        </w:rPr>
      </w:r>
    </w:p>
    <w:p>
      <w:pPr>
        <w:pStyle w:val="Heading4"/>
        <w:numPr>
          <w:ilvl w:val="1"/>
          <w:numId w:val="3"/>
        </w:numPr>
        <w:ind w:left="0" w:firstLine="63"/>
        <w:jc w:val="both"/>
        <w:rPr/>
      </w:pPr>
      <w:bookmarkStart w:id="24" w:name="__RefHeading___Toc2677_4038638555"/>
      <w:bookmarkEnd w:id="24"/>
      <w:r>
        <w:rPr/>
        <w:t>Информац</w:t>
      </w:r>
      <w:bookmarkStart w:id="25" w:name="_Hlk49857604"/>
      <w:bookmarkStart w:id="26" w:name="_Toc46743509"/>
      <w:bookmarkStart w:id="27" w:name="_Toc134194230"/>
      <w:r>
        <w:rPr/>
        <w:t xml:space="preserve">ия в отношении исполнения договора, </w:t>
      </w:r>
      <w:bookmarkStart w:id="28" w:name="_Hlk46492347"/>
      <w:r>
        <w:rPr/>
        <w:t>которая должна быть учтена при подготовке заявки</w:t>
      </w:r>
      <w:bookmarkEnd w:id="28"/>
      <w:r>
        <w:rPr/>
        <w:t xml:space="preserve"> (в том числе перечень ресурсов, услуг и документов, предоставляемых </w:t>
      </w:r>
      <w:r>
        <w:rPr>
          <w:lang w:val="ru-RU"/>
        </w:rPr>
        <w:t>заказчиком</w:t>
      </w:r>
      <w:r>
        <w:rPr/>
        <w:t xml:space="preserve"> на этапе исполнения договора)</w:t>
      </w:r>
      <w:bookmarkEnd w:id="25"/>
      <w:bookmarkEnd w:id="26"/>
      <w:bookmarkEnd w:id="27"/>
      <w:r>
        <w:rPr>
          <w:lang w:val="ru-RU"/>
        </w:rPr>
        <w:t>:</w:t>
      </w:r>
    </w:p>
    <w:p>
      <w:pPr>
        <w:pStyle w:val="Normal"/>
        <w:shd w:val="clear" w:color="auto" w:fill="FFFFFF"/>
        <w:tabs>
          <w:tab w:val="clear" w:pos="720"/>
          <w:tab w:val="left" w:pos="0" w:leader="none"/>
        </w:tabs>
        <w:spacing w:lineRule="auto" w:line="235" w:before="0" w:after="0"/>
        <w:contextualSpacing/>
        <w:jc w:val="both"/>
        <w:rPr>
          <w:bCs/>
          <w:sz w:val="24"/>
        </w:rPr>
      </w:pPr>
      <w:bookmarkStart w:id="29" w:name="_Toc50125126"/>
      <w:bookmarkStart w:id="30" w:name="_Toc46743510"/>
      <w:bookmarkEnd w:id="29"/>
      <w:bookmarkEnd w:id="30"/>
      <w:r>
        <w:rPr>
          <w:bCs/>
          <w:sz w:val="24"/>
        </w:rPr>
        <w:tab/>
        <w:t>Заказчик назначает представителя от филиала для оперативного рассмотрения и решения технических и организационных вопросов, связанных с оказанием услуг.</w:t>
      </w:r>
    </w:p>
    <w:p>
      <w:pPr>
        <w:pStyle w:val="Normal"/>
        <w:shd w:val="clear" w:color="auto" w:fill="FFFFFF"/>
        <w:tabs>
          <w:tab w:val="clear" w:pos="720"/>
          <w:tab w:val="left" w:pos="0" w:leader="none"/>
        </w:tabs>
        <w:spacing w:lineRule="auto" w:line="235" w:before="0" w:after="0"/>
        <w:contextualSpacing/>
        <w:jc w:val="both"/>
        <w:rPr>
          <w:bCs/>
          <w:sz w:val="24"/>
          <w:lang w:val="en-US"/>
        </w:rPr>
      </w:pPr>
      <w:r>
        <w:rPr>
          <w:bCs/>
          <w:sz w:val="24"/>
        </w:rPr>
        <w:tab/>
        <w:t>Заказчик обеспечивает</w:t>
      </w:r>
      <w:r>
        <w:rPr>
          <w:bCs/>
          <w:sz w:val="24"/>
          <w:lang w:val="en-US"/>
        </w:rPr>
        <w:t>:</w:t>
      </w:r>
    </w:p>
    <w:p>
      <w:pPr>
        <w:pStyle w:val="ListParagraph"/>
        <w:numPr>
          <w:ilvl w:val="0"/>
          <w:numId w:val="9"/>
        </w:numPr>
        <w:shd w:val="clear" w:color="auto" w:fill="FFFFFF"/>
        <w:tabs>
          <w:tab w:val="clear" w:pos="720"/>
          <w:tab w:val="left" w:pos="0" w:leader="none"/>
          <w:tab w:val="left" w:pos="993" w:leader="none"/>
        </w:tabs>
        <w:spacing w:lineRule="auto" w:line="235"/>
        <w:ind w:left="0" w:firstLine="709"/>
        <w:jc w:val="both"/>
        <w:rPr>
          <w:bCs/>
        </w:rPr>
      </w:pPr>
      <w:r>
        <w:rPr>
          <w:bCs/>
        </w:rPr>
        <w:t xml:space="preserve"> </w:t>
      </w:r>
      <w:r>
        <w:rPr>
          <w:bCs/>
        </w:rPr>
        <w:t>возможность подключения оборудования Исполнителя к имеющимся у Заказчика бытовым источникам электроснабжения, водоснабжения, канализации для целей оказания услуг;</w:t>
      </w:r>
    </w:p>
    <w:p>
      <w:pPr>
        <w:pStyle w:val="ListParagraph"/>
        <w:numPr>
          <w:ilvl w:val="0"/>
          <w:numId w:val="9"/>
        </w:numPr>
        <w:shd w:val="clear" w:color="auto" w:fill="FFFFFF"/>
        <w:tabs>
          <w:tab w:val="clear" w:pos="720"/>
          <w:tab w:val="left" w:pos="0" w:leader="none"/>
          <w:tab w:val="left" w:pos="993" w:leader="none"/>
        </w:tabs>
        <w:spacing w:lineRule="auto" w:line="235"/>
        <w:ind w:left="0" w:firstLine="709"/>
        <w:jc w:val="both"/>
        <w:rPr>
          <w:bCs/>
        </w:rPr>
      </w:pPr>
      <w:r>
        <w:rPr>
          <w:bCs/>
        </w:rPr>
        <w:t xml:space="preserve">ознакомление Исполнителя с локальными нормативными актами Заказчика, устанавливающими требования по охране труда, промышленной и пожарной безопасности, охране окружающей среды, правилами пропускного и внутриобъектового режима Заказчика; </w:t>
      </w:r>
    </w:p>
    <w:p>
      <w:pPr>
        <w:pStyle w:val="ListParagraph"/>
        <w:numPr>
          <w:ilvl w:val="0"/>
          <w:numId w:val="9"/>
        </w:numPr>
        <w:shd w:val="clear" w:color="auto" w:fill="FFFFFF"/>
        <w:tabs>
          <w:tab w:val="clear" w:pos="720"/>
          <w:tab w:val="left" w:pos="0" w:leader="none"/>
          <w:tab w:val="left" w:pos="993" w:leader="none"/>
        </w:tabs>
        <w:spacing w:lineRule="auto" w:line="235"/>
        <w:ind w:left="0" w:firstLine="709"/>
        <w:jc w:val="both"/>
        <w:rPr>
          <w:bCs/>
        </w:rPr>
      </w:pPr>
      <w:r>
        <w:rPr>
          <w:bCs/>
        </w:rPr>
        <w:t>предоставление Исполнителю необходимой для оказания услуг заводской документации, конструкторской, проектной документации, схемы постов энергоносителей; документы о ранее выполненных ремонтах оборудования, данные о его техническом состоянии и данные об отказах оборудования в процессе эксплуатации.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ab/>
        <w:t>Особые условия выполнения работ на объектах Заказчика:</w:t>
      </w:r>
    </w:p>
    <w:p>
      <w:pPr>
        <w:pStyle w:val="Normal"/>
        <w:shd w:val="clear" w:color="auto" w:fill="FFFFFF"/>
        <w:tabs>
          <w:tab w:val="clear" w:pos="720"/>
          <w:tab w:val="left" w:pos="0" w:leader="none"/>
        </w:tabs>
        <w:spacing w:lineRule="auto" w:line="235" w:before="0" w:after="0"/>
        <w:contextualSpacing/>
        <w:jc w:val="both"/>
        <w:rPr>
          <w:bCs/>
          <w:sz w:val="24"/>
        </w:rPr>
      </w:pPr>
      <w:r>
        <w:rPr>
          <w:bCs/>
          <w:sz w:val="24"/>
        </w:rPr>
      </w:r>
    </w:p>
    <w:tbl>
      <w:tblPr>
        <w:tblW w:w="9919" w:type="dxa"/>
        <w:jc w:val="left"/>
        <w:tblInd w:w="24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VBand="0" w:noHBand="0" w:lastColumn="0" w:firstColumn="0" w:lastRow="0" w:firstRow="0"/>
      </w:tblPr>
      <w:tblGrid>
        <w:gridCol w:w="561"/>
        <w:gridCol w:w="9357"/>
      </w:tblGrid>
      <w:tr>
        <w:trPr/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4"/>
                <w:szCs w:val="24"/>
              </w:rPr>
              <w:t>№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9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Условия производства работ</w:t>
            </w:r>
          </w:p>
        </w:tc>
      </w:tr>
      <w:tr>
        <w:trPr/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9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</w:tr>
      <w:tr>
        <w:trPr/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-113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9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ind w:left="0" w:right="113" w:hanging="0"/>
              <w:jc w:val="both"/>
              <w:rPr/>
            </w:pPr>
            <w:r>
              <w:rPr>
                <w:iCs/>
              </w:rPr>
              <w:t>Оказание услуг производится в существующих зданиях и сооружениях в стесненных условиях: с наличием в зоне оказания услуг действующего технологического оборудования (станков, установок, ПС и другого оборудования), загромождающих предметов.</w:t>
            </w:r>
          </w:p>
        </w:tc>
      </w:tr>
      <w:tr>
        <w:trPr/>
        <w:tc>
          <w:tcPr>
            <w:tcW w:w="5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-113" w:hanging="0"/>
              <w:jc w:val="center"/>
              <w:rPr/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93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ind w:left="0" w:right="113" w:hanging="0"/>
              <w:jc w:val="both"/>
              <w:rPr/>
            </w:pPr>
            <w:r>
              <w:rPr/>
              <w:t>Оказание услуг в стесненных условиях: с наличием в зоне оказания услуг действующего технологического оборудования.</w:t>
            </w:r>
          </w:p>
        </w:tc>
      </w:tr>
    </w:tbl>
    <w:p>
      <w:pPr>
        <w:pStyle w:val="Normal"/>
        <w:shd w:val="clear" w:color="auto" w:fill="FFFFFF"/>
        <w:tabs>
          <w:tab w:val="clear" w:pos="720"/>
          <w:tab w:val="left" w:pos="0" w:leader="none"/>
        </w:tabs>
        <w:spacing w:lineRule="auto" w:line="235" w:before="0" w:after="0"/>
        <w:contextualSpacing/>
        <w:jc w:val="both"/>
        <w:rPr>
          <w:bCs/>
          <w:sz w:val="24"/>
          <w:lang w:val="x-none"/>
        </w:rPr>
      </w:pPr>
      <w:r>
        <w:rPr>
          <w:bCs/>
          <w:sz w:val="24"/>
          <w:lang w:val="x-none"/>
        </w:rPr>
      </w:r>
    </w:p>
    <w:p>
      <w:pPr>
        <w:pStyle w:val="Heading1"/>
        <w:numPr>
          <w:ilvl w:val="0"/>
          <w:numId w:val="3"/>
        </w:numPr>
        <w:ind w:left="0" w:hanging="0"/>
        <w:jc w:val="left"/>
        <w:rPr>
          <w:sz w:val="24"/>
          <w:szCs w:val="24"/>
        </w:rPr>
      </w:pPr>
      <w:bookmarkStart w:id="31" w:name="__RefHeading___Toc2679_4038638555"/>
      <w:bookmarkStart w:id="32" w:name="_Toc51339693"/>
      <w:bookmarkStart w:id="33" w:name="_Toc134194231"/>
      <w:bookmarkEnd w:id="31"/>
      <w:r>
        <w:rPr>
          <w:sz w:val="24"/>
          <w:szCs w:val="24"/>
          <w:lang w:val="ru-RU"/>
        </w:rPr>
        <w:t>Требования</w:t>
      </w:r>
      <w:r>
        <w:rPr>
          <w:sz w:val="24"/>
          <w:szCs w:val="24"/>
        </w:rPr>
        <w:t xml:space="preserve"> к продукции</w:t>
      </w:r>
      <w:bookmarkEnd w:id="32"/>
      <w:bookmarkEnd w:id="33"/>
    </w:p>
    <w:p>
      <w:pPr>
        <w:pStyle w:val="Heading4"/>
        <w:numPr>
          <w:ilvl w:val="1"/>
          <w:numId w:val="3"/>
        </w:numPr>
        <w:ind w:left="0" w:firstLine="63"/>
        <w:rPr/>
      </w:pPr>
      <w:bookmarkStart w:id="34" w:name="__RefHeading___Toc2681_4038638555"/>
      <w:bookmarkStart w:id="35" w:name="_Toc134194232"/>
      <w:bookmarkEnd w:id="34"/>
      <w:r>
        <w:rPr/>
        <w:t xml:space="preserve">Требования к объемам и срокам </w:t>
      </w:r>
      <w:r>
        <w:rPr>
          <w:lang w:val="ru-RU"/>
        </w:rPr>
        <w:t>оказания услуг</w:t>
      </w:r>
      <w:bookmarkEnd w:id="35"/>
    </w:p>
    <w:p>
      <w:pPr>
        <w:pStyle w:val="Heading3"/>
        <w:numPr>
          <w:ilvl w:val="2"/>
          <w:numId w:val="3"/>
        </w:numPr>
        <w:ind w:left="0" w:firstLine="63"/>
        <w:rPr/>
      </w:pPr>
      <w:bookmarkStart w:id="36" w:name="__RefHeading___Toc2683_4038638555"/>
      <w:bookmarkStart w:id="37" w:name="_Toc134194233"/>
      <w:bookmarkEnd w:id="36"/>
      <w:r>
        <w:rPr/>
        <w:t>Требования к перечню и объему услуг</w:t>
      </w:r>
      <w:bookmarkEnd w:id="37"/>
    </w:p>
    <w:p>
      <w:pPr>
        <w:pStyle w:val="Normal"/>
        <w:rPr>
          <w:sz w:val="24"/>
          <w:szCs w:val="24"/>
        </w:rPr>
      </w:pPr>
      <w:bookmarkStart w:id="38" w:name="__RefHeading___Toc2685_4038638555"/>
      <w:bookmarkStart w:id="39" w:name="_Toc134194234"/>
      <w:bookmarkStart w:id="40" w:name="_Toc51339695"/>
      <w:bookmarkEnd w:id="38"/>
      <w:r>
        <w:rPr>
          <w:sz w:val="24"/>
          <w:szCs w:val="24"/>
        </w:rPr>
        <w:t xml:space="preserve">Таблица 2. Перечень </w:t>
      </w:r>
      <w:bookmarkEnd w:id="40"/>
      <w:r>
        <w:rPr>
          <w:sz w:val="24"/>
          <w:szCs w:val="24"/>
        </w:rPr>
        <w:t>и объем оказываемых услуг</w:t>
      </w:r>
      <w:bookmarkEnd w:id="39"/>
    </w:p>
    <w:tbl>
      <w:tblPr>
        <w:tblW w:w="9917" w:type="dxa"/>
        <w:jc w:val="left"/>
        <w:tblInd w:w="24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VBand="0" w:noHBand="0" w:lastColumn="0" w:firstColumn="0" w:lastRow="0" w:firstRow="0"/>
      </w:tblPr>
      <w:tblGrid>
        <w:gridCol w:w="562"/>
        <w:gridCol w:w="6525"/>
        <w:gridCol w:w="1353"/>
        <w:gridCol w:w="1476"/>
      </w:tblGrid>
      <w:tr>
        <w:trPr/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6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услуг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</w:t>
            </w:r>
          </w:p>
        </w:tc>
      </w:tr>
      <w:tr>
        <w:trPr/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6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>
        <w:trPr/>
        <w:tc>
          <w:tcPr>
            <w:tcW w:w="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65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highlight w:val="none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 xml:space="preserve">Оказание услуги по техническому освидетельствованию модуля пожаротушения МПА-NVC1230 </w:t>
            </w:r>
            <w:r>
              <w:rPr>
                <w:rFonts w:eastAsia="Calibri"/>
                <w:bCs/>
                <w:sz w:val="24"/>
                <w:szCs w:val="24"/>
                <w:shd w:fill="auto" w:val="clear"/>
                <w:lang w:val="x-none" w:eastAsia="x-none"/>
              </w:rPr>
              <w:t>(42-180-50)</w:t>
            </w:r>
            <w:r>
              <w:rPr>
                <w:iCs/>
                <w:sz w:val="24"/>
                <w:szCs w:val="24"/>
                <w:shd w:fill="auto" w:val="clear"/>
              </w:rPr>
              <w:t xml:space="preserve"> из состава системы пожаротушения серверной АСУ ТП РГЭС, масса ГОТВ 167 кг</w:t>
            </w:r>
          </w:p>
        </w:tc>
        <w:tc>
          <w:tcPr>
            <w:tcW w:w="13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шт.</w:t>
            </w:r>
          </w:p>
        </w:tc>
        <w:tc>
          <w:tcPr>
            <w:tcW w:w="14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1</w:t>
            </w:r>
          </w:p>
        </w:tc>
      </w:tr>
      <w:tr>
        <w:trPr/>
        <w:tc>
          <w:tcPr>
            <w:tcW w:w="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65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highlight w:val="none"/>
                <w:shd w:fill="auto" w:val="clear"/>
              </w:rPr>
            </w:pPr>
            <w:r>
              <w:rPr>
                <w:iCs/>
                <w:sz w:val="24"/>
                <w:szCs w:val="24"/>
                <w:shd w:fill="auto" w:val="clear"/>
              </w:rPr>
              <w:t xml:space="preserve">Оказание услуги по техническому освидетельствованию модуля пожаротушения МПА-NVC1230 </w:t>
            </w:r>
            <w:r>
              <w:rPr>
                <w:rFonts w:eastAsia="Calibri"/>
                <w:bCs/>
                <w:iCs/>
                <w:sz w:val="24"/>
                <w:szCs w:val="24"/>
                <w:shd w:fill="auto" w:val="clear"/>
                <w:lang w:val="x-none" w:eastAsia="x-none"/>
              </w:rPr>
              <w:t>(42-180-50)</w:t>
            </w:r>
            <w:r>
              <w:rPr>
                <w:iCs/>
                <w:sz w:val="24"/>
                <w:szCs w:val="24"/>
                <w:shd w:fill="auto" w:val="clear"/>
              </w:rPr>
              <w:t xml:space="preserve"> из состава системы пожаротушения серверной АСУ ТП УГЭС, масса ГОТВ 165 кг </w:t>
            </w:r>
          </w:p>
        </w:tc>
        <w:tc>
          <w:tcPr>
            <w:tcW w:w="13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шт.</w:t>
            </w:r>
          </w:p>
        </w:tc>
        <w:tc>
          <w:tcPr>
            <w:tcW w:w="14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1</w:t>
            </w:r>
          </w:p>
        </w:tc>
      </w:tr>
    </w:tbl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720" w:hanging="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numPr>
          <w:ilvl w:val="2"/>
          <w:numId w:val="3"/>
        </w:numPr>
        <w:ind w:left="930" w:hanging="504"/>
        <w:rPr>
          <w:sz w:val="24"/>
          <w:szCs w:val="24"/>
        </w:rPr>
      </w:pPr>
      <w:bookmarkStart w:id="41" w:name="__RefHeading___Toc2687_4038638555"/>
      <w:bookmarkStart w:id="42" w:name="_Toc134194235"/>
      <w:bookmarkStart w:id="43" w:name="_Toc132099804"/>
      <w:bookmarkEnd w:id="41"/>
      <w:r>
        <w:rPr>
          <w:sz w:val="24"/>
          <w:szCs w:val="24"/>
        </w:rPr>
        <w:t xml:space="preserve">Требования к срокам </w:t>
      </w:r>
      <w:bookmarkEnd w:id="43"/>
      <w:r>
        <w:rPr>
          <w:sz w:val="24"/>
          <w:szCs w:val="24"/>
        </w:rPr>
        <w:t>оказания услуг</w:t>
      </w:r>
      <w:bookmarkEnd w:id="42"/>
    </w:p>
    <w:p>
      <w:pPr>
        <w:pStyle w:val="Normal"/>
        <w:shd w:val="clear" w:color="auto" w:fill="FFFFFF"/>
        <w:tabs>
          <w:tab w:val="clear" w:pos="720"/>
          <w:tab w:val="left" w:pos="0" w:leader="none"/>
        </w:tabs>
        <w:spacing w:lineRule="auto" w:line="235" w:before="0" w:after="0"/>
        <w:contextualSpacing/>
        <w:jc w:val="both"/>
        <w:rPr>
          <w:bCs/>
          <w:sz w:val="24"/>
        </w:rPr>
      </w:pPr>
      <w:bookmarkStart w:id="44" w:name="_Toc54643134"/>
      <w:r>
        <w:rPr>
          <w:bCs/>
          <w:sz w:val="24"/>
        </w:rPr>
        <w:t>Таблица 3. Требования по срокам оказания услуг</w:t>
      </w:r>
      <w:bookmarkEnd w:id="44"/>
    </w:p>
    <w:tbl>
      <w:tblPr>
        <w:tblW w:w="9919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553"/>
        <w:gridCol w:w="4977"/>
        <w:gridCol w:w="2178"/>
        <w:gridCol w:w="2210"/>
      </w:tblGrid>
      <w:tr>
        <w:trPr/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№ </w:t>
            </w:r>
            <w:r>
              <w:rPr>
                <w:sz w:val="22"/>
                <w:szCs w:val="22"/>
              </w:rPr>
              <w:t>п/п</w:t>
            </w:r>
          </w:p>
        </w:tc>
        <w:tc>
          <w:tcPr>
            <w:tcW w:w="4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>Наименование услуг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0"/>
              <w:keepNext w:val="false"/>
              <w:widowControl w:val="false"/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Требования к началу срока оказания услуг </w:t>
            </w:r>
          </w:p>
        </w:tc>
        <w:tc>
          <w:tcPr>
            <w:tcW w:w="2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0"/>
              <w:keepNext w:val="false"/>
              <w:widowControl w:val="false"/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Требования к окончанию срока оказания услуг </w:t>
            </w:r>
          </w:p>
        </w:tc>
      </w:tr>
      <w:tr>
        <w:trPr/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4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2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</w:tr>
      <w:tr>
        <w:trPr/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tabs>
                <w:tab w:val="clear" w:pos="720"/>
                <w:tab w:val="left" w:pos="188" w:leader="none"/>
              </w:tabs>
              <w:suppressAutoHyphens w:val="true"/>
              <w:bidi w:val="0"/>
              <w:spacing w:before="0" w:after="0"/>
              <w:ind w:left="-57" w:right="57" w:hanging="0"/>
              <w:contextualSpacing/>
              <w:jc w:val="center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 xml:space="preserve">1. </w:t>
            </w:r>
          </w:p>
        </w:tc>
        <w:tc>
          <w:tcPr>
            <w:tcW w:w="4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bCs/>
                <w:iCs/>
                <w:sz w:val="24"/>
                <w:szCs w:val="24"/>
                <w:shd w:fill="auto" w:val="clear"/>
                <w:lang w:eastAsia="x-none"/>
              </w:rPr>
              <w:t xml:space="preserve">Техническое освидетельствование модуля пожаротушения МПА-NVC1230 </w:t>
            </w:r>
            <w:r>
              <w:rPr>
                <w:rFonts w:eastAsia="Calibri"/>
                <w:bCs/>
                <w:iCs/>
                <w:sz w:val="24"/>
                <w:szCs w:val="24"/>
                <w:shd w:fill="auto" w:val="clear"/>
                <w:lang w:val="x-none" w:eastAsia="x-none"/>
              </w:rPr>
              <w:t>(42-180-50)</w:t>
            </w:r>
            <w:r>
              <w:rPr>
                <w:bCs/>
                <w:iCs/>
                <w:sz w:val="24"/>
                <w:szCs w:val="24"/>
                <w:shd w:fill="auto" w:val="clear"/>
                <w:lang w:eastAsia="x-none"/>
              </w:rPr>
              <w:t xml:space="preserve"> из состава системы пожаротушения серверных АСУ ТП  РГЭС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right" w:pos="2648" w:leader="none"/>
              </w:tabs>
              <w:jc w:val="center"/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  <w:lang w:val="en-US"/>
              </w:rPr>
              <w:t>с даты заключения договора</w:t>
            </w:r>
          </w:p>
        </w:tc>
        <w:tc>
          <w:tcPr>
            <w:tcW w:w="2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highlight w:val="none"/>
                <w:shd w:fill="auto" w:val="clear"/>
              </w:rPr>
            </w:pPr>
            <w:r>
              <w:rPr>
                <w:iCs/>
                <w:sz w:val="24"/>
                <w:szCs w:val="24"/>
                <w:shd w:fill="auto" w:val="clear"/>
                <w:lang w:val="en-US"/>
              </w:rPr>
              <w:t>Не позднее 90 дней с даты заключения договора</w:t>
            </w:r>
          </w:p>
        </w:tc>
      </w:tr>
      <w:tr>
        <w:trPr/>
        <w:tc>
          <w:tcPr>
            <w:tcW w:w="5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tabs>
                <w:tab w:val="clear" w:pos="720"/>
                <w:tab w:val="left" w:pos="188" w:leader="none"/>
              </w:tabs>
              <w:suppressAutoHyphens w:val="true"/>
              <w:bidi w:val="0"/>
              <w:spacing w:before="0" w:after="0"/>
              <w:ind w:left="-57" w:right="57" w:hanging="0"/>
              <w:contextualSpacing/>
              <w:jc w:val="center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2.</w:t>
            </w:r>
          </w:p>
        </w:tc>
        <w:tc>
          <w:tcPr>
            <w:tcW w:w="49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bCs/>
                <w:iCs/>
                <w:sz w:val="24"/>
                <w:szCs w:val="24"/>
                <w:shd w:fill="auto" w:val="clear"/>
                <w:lang w:eastAsia="x-none"/>
              </w:rPr>
              <w:t xml:space="preserve">Техническое освидетельствование модуля пожаротушения МПА-NVC1230 </w:t>
            </w:r>
            <w:r>
              <w:rPr>
                <w:rFonts w:eastAsia="Calibri"/>
                <w:bCs/>
                <w:iCs/>
                <w:sz w:val="24"/>
                <w:szCs w:val="24"/>
                <w:shd w:fill="auto" w:val="clear"/>
                <w:lang w:val="x-none" w:eastAsia="x-none"/>
              </w:rPr>
              <w:t>(42-180-50)</w:t>
            </w:r>
            <w:r>
              <w:rPr>
                <w:bCs/>
                <w:iCs/>
                <w:sz w:val="24"/>
                <w:szCs w:val="24"/>
                <w:shd w:fill="auto" w:val="clear"/>
                <w:lang w:eastAsia="x-none"/>
              </w:rPr>
              <w:t xml:space="preserve"> из состава системы пожаротушения серверных АСУ ТП  УГЭС</w:t>
            </w:r>
          </w:p>
        </w:tc>
        <w:tc>
          <w:tcPr>
            <w:tcW w:w="21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right" w:pos="2648" w:leader="none"/>
              </w:tabs>
              <w:jc w:val="center"/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  <w:lang w:val="en-US"/>
              </w:rPr>
              <w:t>с даты заключения договора</w:t>
            </w:r>
          </w:p>
        </w:tc>
        <w:tc>
          <w:tcPr>
            <w:tcW w:w="2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highlight w:val="none"/>
                <w:shd w:fill="auto" w:val="clear"/>
              </w:rPr>
            </w:pPr>
            <w:r>
              <w:rPr>
                <w:iCs/>
                <w:sz w:val="24"/>
                <w:szCs w:val="24"/>
                <w:shd w:fill="auto" w:val="clear"/>
                <w:lang w:val="en-US"/>
              </w:rPr>
              <w:t>Не позднее 90 дней с даты заключения договора</w:t>
            </w:r>
          </w:p>
        </w:tc>
      </w:tr>
    </w:tbl>
    <w:p>
      <w:pPr>
        <w:pStyle w:val="Normal"/>
        <w:rPr>
          <w:rFonts w:eastAsia="Calibri"/>
          <w:b/>
          <w:sz w:val="24"/>
          <w:szCs w:val="24"/>
          <w:lang w:eastAsia="x-none"/>
        </w:rPr>
      </w:pPr>
      <w:r>
        <w:rPr>
          <w:iCs/>
          <w:sz w:val="24"/>
          <w:szCs w:val="24"/>
        </w:rPr>
        <w:tab/>
      </w:r>
    </w:p>
    <w:p>
      <w:pPr>
        <w:sectPr>
          <w:headerReference w:type="even" r:id="rId2"/>
          <w:headerReference w:type="default" r:id="rId3"/>
          <w:headerReference w:type="first" r:id="rId4"/>
          <w:type w:val="nextPage"/>
          <w:pgSz w:w="11906" w:h="16838"/>
          <w:pgMar w:left="1134" w:right="851" w:gutter="0" w:header="680" w:top="1134" w:footer="0" w:bottom="992"/>
          <w:pgNumType w:fmt="decimal"/>
          <w:formProt w:val="false"/>
          <w:titlePg/>
          <w:textDirection w:val="lrTb"/>
          <w:docGrid w:type="default" w:linePitch="360" w:charSpace="0"/>
        </w:sectPr>
        <w:pStyle w:val="Normal"/>
        <w:jc w:val="both"/>
        <w:rPr>
          <w:rFonts w:eastAsia="Calibri"/>
          <w:b/>
          <w:sz w:val="24"/>
          <w:szCs w:val="24"/>
          <w:lang w:eastAsia="x-none"/>
        </w:rPr>
      </w:pPr>
      <w:r>
        <w:rPr>
          <w:iCs/>
          <w:sz w:val="24"/>
          <w:szCs w:val="24"/>
        </w:rPr>
        <w:tab/>
      </w:r>
      <w:r>
        <w:rPr>
          <w:iCs/>
          <w:sz w:val="24"/>
          <w:szCs w:val="24"/>
          <w:shd w:fill="auto" w:val="clear"/>
        </w:rPr>
        <w:t xml:space="preserve">Конкретные </w:t>
      </w:r>
      <w:r>
        <w:rPr>
          <w:rFonts w:eastAsia="Calibri"/>
          <w:sz w:val="24"/>
          <w:szCs w:val="24"/>
          <w:shd w:fill="auto" w:val="clear"/>
        </w:rPr>
        <w:t>сроки оказания услуг</w:t>
      </w:r>
      <w:r>
        <w:rPr>
          <w:rFonts w:eastAsia="Calibri"/>
          <w:sz w:val="24"/>
          <w:szCs w:val="24"/>
        </w:rPr>
        <w:t xml:space="preserve"> по каждому объекту согласовываются Заказчиком и Исполнителем непосредственно перед выполнением работ</w:t>
      </w:r>
      <w:r>
        <w:rPr>
          <w:bCs/>
          <w:sz w:val="24"/>
          <w:szCs w:val="24"/>
        </w:rPr>
        <w:t>.</w:t>
      </w:r>
    </w:p>
    <w:p>
      <w:pPr>
        <w:pStyle w:val="Heading4"/>
        <w:numPr>
          <w:ilvl w:val="1"/>
          <w:numId w:val="3"/>
        </w:numPr>
        <w:ind w:left="0" w:firstLine="63"/>
        <w:rPr/>
      </w:pPr>
      <w:bookmarkStart w:id="45" w:name="__RefHeading___Toc2691_4038638555"/>
      <w:bookmarkStart w:id="46" w:name="_Toc134194236"/>
      <w:bookmarkStart w:id="47" w:name="_Toc46743511"/>
      <w:bookmarkEnd w:id="45"/>
      <w:r>
        <w:rPr/>
        <w:t xml:space="preserve">Требования к </w:t>
      </w:r>
      <w:bookmarkEnd w:id="47"/>
      <w:r>
        <w:rPr>
          <w:lang w:val="ru-RU"/>
        </w:rPr>
        <w:t>качеству услуг</w:t>
      </w:r>
      <w:bookmarkEnd w:id="46"/>
    </w:p>
    <w:p>
      <w:pPr>
        <w:pStyle w:val="Normal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rPr>
          <w:rStyle w:val="Style8"/>
          <w:b w:val="false"/>
          <w:sz w:val="24"/>
          <w:szCs w:val="24"/>
        </w:rPr>
      </w:pPr>
      <w:bookmarkStart w:id="48" w:name="__RefHeading___Toc2693_4038638555"/>
      <w:bookmarkStart w:id="49" w:name="_Toc134194237"/>
      <w:bookmarkStart w:id="50" w:name="_Toc51339698"/>
      <w:bookmarkEnd w:id="48"/>
      <w:r>
        <w:rPr>
          <w:sz w:val="24"/>
          <w:szCs w:val="24"/>
        </w:rPr>
        <w:t xml:space="preserve">Таблица 4. Требования к </w:t>
      </w:r>
      <w:bookmarkEnd w:id="50"/>
      <w:r>
        <w:rPr>
          <w:sz w:val="24"/>
          <w:szCs w:val="24"/>
        </w:rPr>
        <w:t>качеству услуг</w:t>
      </w:r>
      <w:bookmarkEnd w:id="49"/>
    </w:p>
    <w:tbl>
      <w:tblPr>
        <w:tblStyle w:val="affffb"/>
        <w:tblW w:w="15339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889"/>
        <w:gridCol w:w="2040"/>
        <w:gridCol w:w="6133"/>
        <w:gridCol w:w="1923"/>
        <w:gridCol w:w="2209"/>
        <w:gridCol w:w="2144"/>
      </w:tblGrid>
      <w:tr>
        <w:trPr/>
        <w:tc>
          <w:tcPr>
            <w:tcW w:w="889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 xml:space="preserve">№ </w:t>
            </w: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п/п</w:t>
            </w:r>
          </w:p>
        </w:tc>
        <w:tc>
          <w:tcPr>
            <w:tcW w:w="2040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Наименование параметра</w:t>
            </w:r>
          </w:p>
        </w:tc>
        <w:tc>
          <w:tcPr>
            <w:tcW w:w="6133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Требование заказчика</w:t>
            </w:r>
          </w:p>
        </w:tc>
        <w:tc>
          <w:tcPr>
            <w:tcW w:w="4132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Способ подтверждения участником соответствия требованиям</w:t>
            </w:r>
          </w:p>
        </w:tc>
        <w:tc>
          <w:tcPr>
            <w:tcW w:w="2144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Предложение участника по характеристикам и параметрам</w:t>
            </w:r>
          </w:p>
        </w:tc>
      </w:tr>
      <w:tr>
        <w:trPr/>
        <w:tc>
          <w:tcPr>
            <w:tcW w:w="889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2040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6133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192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Согласие с требованием/ указание характеристик</w:t>
            </w:r>
          </w:p>
        </w:tc>
        <w:tc>
          <w:tcPr>
            <w:tcW w:w="220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Предоставление подтверждающего документа или иной способ подтверждения</w:t>
            </w:r>
          </w:p>
        </w:tc>
        <w:tc>
          <w:tcPr>
            <w:tcW w:w="2144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</w:tr>
      <w:tr>
        <w:trPr>
          <w:trHeight w:val="359" w:hRule="atLeast"/>
        </w:trPr>
        <w:tc>
          <w:tcPr>
            <w:tcW w:w="88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bookmarkStart w:id="51" w:name="_Toc53499667"/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1</w:t>
            </w:r>
            <w:bookmarkEnd w:id="51"/>
          </w:p>
        </w:tc>
        <w:tc>
          <w:tcPr>
            <w:tcW w:w="204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2</w:t>
            </w:r>
          </w:p>
        </w:tc>
        <w:tc>
          <w:tcPr>
            <w:tcW w:w="613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3</w:t>
            </w:r>
          </w:p>
        </w:tc>
        <w:tc>
          <w:tcPr>
            <w:tcW w:w="192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4</w:t>
            </w:r>
          </w:p>
        </w:tc>
        <w:tc>
          <w:tcPr>
            <w:tcW w:w="220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5</w:t>
            </w:r>
          </w:p>
        </w:tc>
        <w:tc>
          <w:tcPr>
            <w:tcW w:w="214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6</w:t>
            </w:r>
          </w:p>
        </w:tc>
      </w:tr>
      <w:tr>
        <w:trPr>
          <w:trHeight w:val="569" w:hRule="atLeast"/>
        </w:trPr>
        <w:tc>
          <w:tcPr>
            <w:tcW w:w="889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8173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 xml:space="preserve">Требования к оказанию услуг </w:t>
            </w:r>
          </w:p>
        </w:tc>
        <w:tc>
          <w:tcPr>
            <w:tcW w:w="1923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209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144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>
          <w:trHeight w:val="626" w:hRule="atLeast"/>
        </w:trPr>
        <w:tc>
          <w:tcPr>
            <w:tcW w:w="889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8173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Общие требования к оказанию услуг</w:t>
            </w:r>
          </w:p>
        </w:tc>
        <w:tc>
          <w:tcPr>
            <w:tcW w:w="1923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209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144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>
          <w:trHeight w:val="7024" w:hRule="atLeast"/>
        </w:trPr>
        <w:tc>
          <w:tcPr>
            <w:tcW w:w="889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tabs>
                <w:tab w:val="clear" w:pos="720"/>
                <w:tab w:val="left" w:pos="1190" w:leader="none"/>
              </w:tabs>
              <w:suppressAutoHyphens w:val="true"/>
              <w:bidi w:val="0"/>
              <w:spacing w:before="60" w:after="60"/>
              <w:ind w:left="1247" w:right="0" w:hanging="1191"/>
              <w:contextualSpacing/>
              <w:jc w:val="right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2040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Соблюдение при выполнении работ норм и правил нормативно-технических документов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133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ind w:firstLine="454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При оказании услуг Исполнитель должен руководствоваться следующими национальными, отраслевыми и корпоративными нормативно-техническими документами (НТД):</w:t>
            </w:r>
          </w:p>
          <w:p>
            <w:pPr>
              <w:pStyle w:val="Normal"/>
              <w:widowControl w:val="false"/>
              <w:numPr>
                <w:ilvl w:val="0"/>
                <w:numId w:val="8"/>
              </w:numPr>
              <w:suppressAutoHyphens w:val="true"/>
              <w:bidi w:val="0"/>
              <w:spacing w:before="0" w:after="0"/>
              <w:ind w:left="113" w:right="0" w:hanging="0"/>
              <w:jc w:val="both"/>
              <w:rPr/>
            </w:pPr>
            <w:r>
              <w:rPr>
                <w:rFonts w:eastAsia="Times New Roman" w:cs="Times New Roman"/>
                <w:bCs/>
                <w:color w:val="auto"/>
                <w:kern w:val="0"/>
                <w:sz w:val="24"/>
                <w:szCs w:val="24"/>
                <w:lang w:val="ru-RU" w:eastAsia="ru-RU" w:bidi="ar-SA"/>
              </w:rPr>
              <w:t>Правила по охране труда при эксплуатации электроустановок. Утверждены приказом Министерства труда и социальной защиты России от 15.12.2020 №903н  (с изменениями);</w:t>
            </w:r>
          </w:p>
          <w:p>
            <w:pPr>
              <w:pStyle w:val="ListParagraph"/>
              <w:widowControl w:val="false"/>
              <w:numPr>
                <w:ilvl w:val="0"/>
                <w:numId w:val="8"/>
              </w:numPr>
              <w:suppressAutoHyphens w:val="true"/>
              <w:bidi w:val="0"/>
              <w:spacing w:before="0" w:after="0"/>
              <w:ind w:left="113" w:right="0" w:hanging="0"/>
              <w:contextualSpacing/>
              <w:jc w:val="both"/>
              <w:rPr/>
            </w:pPr>
            <w:r>
              <w:rPr>
                <w:rFonts w:eastAsia="Times New Roman" w:cs="Times New Roman"/>
                <w:bCs/>
                <w:color w:val="auto"/>
                <w:kern w:val="0"/>
                <w:sz w:val="24"/>
                <w:szCs w:val="24"/>
                <w:lang w:val="ru-RU" w:eastAsia="ru-RU" w:bidi="ar-SA"/>
              </w:rPr>
              <w:t>Правила по охране труда при размещении, монтаже, техническом обслуживании и ремонте технологического оборудования. Утверждены приказом Министерства труда и социальной защиты РФ от 27.11.2020 № 833н;</w:t>
            </w:r>
          </w:p>
          <w:p>
            <w:pPr>
              <w:pStyle w:val="Normal"/>
              <w:widowControl w:val="false"/>
              <w:numPr>
                <w:ilvl w:val="0"/>
                <w:numId w:val="8"/>
              </w:numPr>
              <w:suppressAutoHyphens w:val="true"/>
              <w:bidi w:val="0"/>
              <w:spacing w:before="0" w:after="0"/>
              <w:ind w:left="113" w:right="0" w:hanging="0"/>
              <w:jc w:val="both"/>
              <w:rPr/>
            </w:pPr>
            <w:r>
              <w:rPr>
                <w:rFonts w:eastAsia="Times New Roman" w:cs="Times New Roman"/>
                <w:bCs/>
                <w:color w:val="auto"/>
                <w:kern w:val="0"/>
                <w:sz w:val="24"/>
                <w:szCs w:val="24"/>
                <w:lang w:val="ru-RU" w:eastAsia="ru-RU" w:bidi="ar-SA"/>
              </w:rPr>
              <w:t>Правила по охране труда при работе с инструментом и приспособлениями. Утверждены приказом Министерства труда и социальной защиты России от 27.11.2020 г. № 835н;</w:t>
            </w:r>
          </w:p>
          <w:p>
            <w:pPr>
              <w:pStyle w:val="Normal"/>
              <w:widowControl w:val="false"/>
              <w:numPr>
                <w:ilvl w:val="1"/>
                <w:numId w:val="8"/>
              </w:numPr>
              <w:suppressAutoHyphens w:val="true"/>
              <w:bidi w:val="0"/>
              <w:spacing w:before="0" w:after="0"/>
              <w:ind w:left="113" w:right="0" w:hanging="0"/>
              <w:jc w:val="both"/>
              <w:rPr/>
            </w:pP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x-none" w:eastAsia="ru-RU" w:bidi="ar-SA"/>
              </w:rPr>
              <w:t>ГОСТ Р 59636-2021. Национальный стандарт Российской Федерации. Установки пожаротушения автоматические. Руководство по проектированию, монтажу, техническому обслуживанию и ремонту. Методы испытаний на работоспособность. Утвержден Приказом Росстандарта от 24.08.2021 № 789-ст</w:t>
            </w: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  <w:t>;</w:t>
            </w:r>
          </w:p>
          <w:p>
            <w:pPr>
              <w:pStyle w:val="ListParagraph"/>
              <w:widowControl w:val="false"/>
              <w:numPr>
                <w:ilvl w:val="0"/>
                <w:numId w:val="8"/>
              </w:numPr>
              <w:suppressAutoHyphens w:val="true"/>
              <w:bidi w:val="0"/>
              <w:spacing w:before="0" w:after="0"/>
              <w:ind w:left="113" w:right="0" w:hanging="0"/>
              <w:contextualSpacing/>
              <w:jc w:val="both"/>
              <w:rPr/>
            </w:pPr>
            <w:r>
              <w:rPr>
                <w:rFonts w:eastAsia="Times New Roman" w:cs="Times New Roman"/>
                <w:bCs/>
                <w:iCs/>
                <w:kern w:val="0"/>
                <w:sz w:val="24"/>
                <w:szCs w:val="24"/>
                <w:lang w:val="ru-RU" w:eastAsia="ru-RU" w:bidi="ar-SA"/>
              </w:rPr>
              <w:t>Правила противопожарного режима в Российской Федерации, Постановление Правительства РФ от 16.09.2020 N 1479 в действующей редакции;</w:t>
            </w:r>
          </w:p>
          <w:p>
            <w:pPr>
              <w:pStyle w:val="ListParagraph"/>
              <w:widowControl w:val="false"/>
              <w:numPr>
                <w:ilvl w:val="0"/>
                <w:numId w:val="8"/>
              </w:numPr>
              <w:suppressAutoHyphens w:val="true"/>
              <w:bidi w:val="0"/>
              <w:spacing w:before="0" w:after="0"/>
              <w:ind w:left="113" w:right="0" w:hanging="0"/>
              <w:contextualSpacing/>
              <w:jc w:val="both"/>
              <w:rPr/>
            </w:pPr>
            <w:r>
              <w:rPr>
                <w:rFonts w:eastAsia="Times New Roman" w:cs="Times New Roman"/>
                <w:bCs/>
                <w:iCs/>
                <w:kern w:val="0"/>
                <w:sz w:val="24"/>
                <w:szCs w:val="24"/>
                <w:lang w:val="ru-RU" w:eastAsia="ru-RU" w:bidi="ar-SA"/>
              </w:rPr>
              <w:t>Инструкция о мерах пожарной безопасности в здании Рыбинской ГЭС филиала ПАО «РусГидро»-«Каскад Верхневолжских ГЭС» (</w:t>
            </w:r>
            <w:r>
              <w:rPr>
                <w:rFonts w:eastAsia="Times New Roman" w:cs="Times New Roman"/>
                <w:bCs/>
                <w:iCs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Приложение №1</w:t>
            </w:r>
            <w:r>
              <w:rPr>
                <w:rFonts w:eastAsia="Times New Roman" w:cs="Times New Roman"/>
                <w:bCs/>
                <w:iCs/>
                <w:kern w:val="0"/>
                <w:sz w:val="24"/>
                <w:szCs w:val="24"/>
                <w:lang w:val="ru-RU" w:eastAsia="ru-RU" w:bidi="ar-SA"/>
              </w:rPr>
              <w:t xml:space="preserve"> к настоящим ТТ);</w:t>
            </w:r>
          </w:p>
          <w:p>
            <w:pPr>
              <w:pStyle w:val="ListParagraph"/>
              <w:widowControl w:val="false"/>
              <w:numPr>
                <w:ilvl w:val="0"/>
                <w:numId w:val="8"/>
              </w:numPr>
              <w:suppressAutoHyphens w:val="true"/>
              <w:bidi w:val="0"/>
              <w:spacing w:before="0" w:after="0"/>
              <w:ind w:left="113" w:right="0" w:hanging="0"/>
              <w:contextualSpacing/>
              <w:jc w:val="both"/>
              <w:rPr/>
            </w:pPr>
            <w:r>
              <w:rPr>
                <w:rFonts w:eastAsia="Times New Roman" w:cs="Times New Roman"/>
                <w:bCs/>
                <w:iCs/>
                <w:kern w:val="0"/>
                <w:sz w:val="24"/>
                <w:szCs w:val="24"/>
                <w:lang w:val="ru-RU" w:eastAsia="ru-RU" w:bidi="ar-SA"/>
              </w:rPr>
              <w:t>Инструкция о мерах пожарной безопасности в здании Угличской ГЭС филиала ПАО «РусГидро»-«Каскад Верхневолжских ГЭС» (</w:t>
            </w:r>
            <w:r>
              <w:rPr>
                <w:rFonts w:eastAsia="Times New Roman" w:cs="Times New Roman"/>
                <w:bCs/>
                <w:iCs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Приложение №2</w:t>
            </w:r>
            <w:r>
              <w:rPr>
                <w:rFonts w:eastAsia="Times New Roman" w:cs="Times New Roman"/>
                <w:bCs/>
                <w:iCs/>
                <w:kern w:val="0"/>
                <w:sz w:val="24"/>
                <w:szCs w:val="24"/>
                <w:lang w:val="ru-RU" w:eastAsia="ru-RU" w:bidi="ar-SA"/>
              </w:rPr>
              <w:t xml:space="preserve"> к настоящим ТТ);</w:t>
            </w:r>
          </w:p>
          <w:p>
            <w:pPr>
              <w:pStyle w:val="ListParagraph"/>
              <w:widowControl w:val="false"/>
              <w:numPr>
                <w:ilvl w:val="0"/>
                <w:numId w:val="8"/>
              </w:numPr>
              <w:suppressAutoHyphens w:val="true"/>
              <w:bidi w:val="0"/>
              <w:spacing w:before="0" w:after="0"/>
              <w:ind w:left="113" w:right="0" w:hanging="0"/>
              <w:contextualSpacing/>
              <w:jc w:val="both"/>
              <w:rPr/>
            </w:pPr>
            <w:r>
              <w:rPr>
                <w:rFonts w:eastAsia="Times New Roman" w:cs="Times New Roman"/>
                <w:bCs/>
                <w:iCs/>
                <w:kern w:val="0"/>
                <w:sz w:val="24"/>
                <w:szCs w:val="24"/>
                <w:lang w:val="ru-RU" w:eastAsia="ru-RU" w:bidi="ar-SA"/>
              </w:rPr>
              <w:t>Федеральные нормы и правила в области промышленной безопасности «Правила промышленной безопасности при использовании оборудования, работающего под избыточным давлением», утверждённые приказом Ростехнадзора от 15.12.2020 №536.</w:t>
            </w:r>
          </w:p>
        </w:tc>
        <w:tc>
          <w:tcPr>
            <w:tcW w:w="1923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209" w:type="dxa"/>
            <w:tcBorders/>
            <w:shd w:color="auto" w:fill="auto" w:val="clear"/>
          </w:tcPr>
          <w:p>
            <w:pPr>
              <w:pStyle w:val="Style29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60"/>
              <w:ind w:left="0" w:hanging="0"/>
              <w:jc w:val="left"/>
              <w:outlineLvl w:val="2"/>
              <w:rPr>
                <w:rFonts w:eastAsia="Times New Roman"/>
                <w:lang w:val="ru-RU" w:eastAsia="ru-RU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2144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3108" w:hRule="atLeast"/>
        </w:trPr>
        <w:tc>
          <w:tcPr>
            <w:tcW w:w="889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bidi w:val="0"/>
              <w:spacing w:before="60" w:after="60"/>
              <w:ind w:left="1077" w:right="0" w:hanging="1020"/>
              <w:contextualSpacing/>
              <w:jc w:val="right"/>
              <w:rPr/>
            </w:pPr>
            <w:r>
              <w:rPr/>
            </w:r>
          </w:p>
        </w:tc>
        <w:tc>
          <w:tcPr>
            <w:tcW w:w="2040" w:type="dxa"/>
            <w:tcBorders/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Исполнителю работ</w:t>
            </w:r>
          </w:p>
        </w:tc>
        <w:tc>
          <w:tcPr>
            <w:tcW w:w="6133" w:type="dxa"/>
            <w:tcBorders/>
            <w:shd w:color="auto" w:fill="auto" w:val="clear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0" w:hanging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Наличие у Исполнителя лицензии согласно пункту 1 Приложения к Положению о лицензировании деятельности по монтажу, техническому обслуживанию и ремонту средств обеспечения пожарной безопасности зданий и сооружений (Постановление Правительства РФ от 28.07.2020 №1128):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0" w:hanging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«Монтаж, техническое обслуживание и ремонт систем пожаротушения и их элементов, включая диспетчеризацию и проведение пусконаладочных работ.»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0" w:hanging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Наличие действующего сертификата на ГОТВ NOVEC 1230 или SINECO 1230, разрешенные для заправки в модули согласно Руководству по эксплуатации на модули МПА-NVC1230.</w:t>
            </w:r>
          </w:p>
        </w:tc>
        <w:tc>
          <w:tcPr>
            <w:tcW w:w="1923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209" w:type="dxa"/>
            <w:tcBorders/>
            <w:shd w:color="auto" w:fill="auto" w:val="clear"/>
          </w:tcPr>
          <w:p>
            <w:pPr>
              <w:pStyle w:val="Style29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60"/>
              <w:ind w:left="0" w:hanging="0"/>
              <w:jc w:val="left"/>
              <w:outlineLvl w:val="2"/>
              <w:rPr>
                <w:rFonts w:ascii="Times New Roman" w:hAnsi="Times New Roman" w:eastAsia="Times New Roman" w:cs="Times New Roman"/>
                <w:b w:val="false"/>
                <w:bCs w:val="false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4"/>
                <w:szCs w:val="24"/>
                <w:lang w:val="ru-RU" w:eastAsia="ru-RU" w:bidi="ar-SA"/>
              </w:rPr>
              <w:t>Предоставить документы</w:t>
            </w:r>
          </w:p>
        </w:tc>
        <w:tc>
          <w:tcPr>
            <w:tcW w:w="2144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</w:r>
          </w:p>
        </w:tc>
      </w:tr>
      <w:tr>
        <w:trPr>
          <w:trHeight w:val="5999" w:hRule="atLeast"/>
        </w:trPr>
        <w:tc>
          <w:tcPr>
            <w:tcW w:w="889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bidi w:val="0"/>
              <w:spacing w:before="60" w:after="60"/>
              <w:ind w:left="1077" w:right="0" w:hanging="1020"/>
              <w:contextualSpacing/>
              <w:jc w:val="right"/>
              <w:rPr/>
            </w:pPr>
            <w:r>
              <w:rPr/>
            </w:r>
          </w:p>
        </w:tc>
        <w:tc>
          <w:tcPr>
            <w:tcW w:w="2040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Объем услуг</w:t>
            </w:r>
          </w:p>
        </w:tc>
        <w:tc>
          <w:tcPr>
            <w:tcW w:w="6133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numPr>
                <w:ilvl w:val="0"/>
                <w:numId w:val="7"/>
              </w:numPr>
              <w:suppressAutoHyphens w:val="true"/>
              <w:spacing w:before="0" w:after="0"/>
              <w:ind w:left="392" w:hanging="392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Получение на месте хранения резервного модуля  МПА-NVC1230.</w:t>
            </w:r>
          </w:p>
          <w:p>
            <w:pPr>
              <w:pStyle w:val="Normal"/>
              <w:widowControl w:val="false"/>
              <w:numPr>
                <w:ilvl w:val="0"/>
                <w:numId w:val="7"/>
              </w:numPr>
              <w:suppressAutoHyphens w:val="true"/>
              <w:spacing w:before="0" w:after="0"/>
              <w:ind w:left="392" w:hanging="392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Транспортировка резервного модуля МПА-NVC1230 к месту проведения технического освидетельствования.</w:t>
            </w:r>
          </w:p>
          <w:p>
            <w:pPr>
              <w:pStyle w:val="Normal"/>
              <w:widowControl w:val="false"/>
              <w:numPr>
                <w:ilvl w:val="0"/>
                <w:numId w:val="7"/>
              </w:numPr>
              <w:suppressAutoHyphens w:val="true"/>
              <w:spacing w:before="0" w:after="0"/>
              <w:ind w:left="392" w:hanging="392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Выполнение комплекса работ по техническому освидетельствованию резервного модуля МПА-NVC1230: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392" w:hanging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3.1 Эвакуация ГОТВ из модуля МПА-NVC1230;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392" w:hanging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3.2 Разборка модуля  МПА-NVC1230;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392" w:hanging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3.3 Техническое освидетельствование баллона модуля МПА-NVC1230, очистка и сушка;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392" w:hanging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3.4 Восстановление лакокрасочного покрытия модуля МПА-NVC1230;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392" w:hanging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3.5 Профилактический ремонт ЗПУ, контроль работоспособности и герметичности;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392" w:hanging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3.6 Замена (поверка) манометра;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392" w:hanging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3.7 Сборка  модуля МПА-NVC1230;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392" w:hanging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3.8 Заправка ГОТВ в модуль МПА-NVC1230;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392" w:hanging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3.9 Заполнение (восстановление) паспорта  модуля МПА-NVC1230.</w:t>
            </w:r>
          </w:p>
          <w:p>
            <w:pPr>
              <w:pStyle w:val="Normal"/>
              <w:widowControl w:val="false"/>
              <w:numPr>
                <w:ilvl w:val="0"/>
                <w:numId w:val="7"/>
              </w:numPr>
              <w:suppressAutoHyphens w:val="true"/>
              <w:spacing w:before="0" w:after="0"/>
              <w:ind w:left="392" w:hanging="392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Транспортировка резервного модуля МПА-NVC1230 на объект Заказчика.</w:t>
            </w:r>
          </w:p>
          <w:p>
            <w:pPr>
              <w:pStyle w:val="Normal"/>
              <w:widowControl w:val="false"/>
              <w:numPr>
                <w:ilvl w:val="0"/>
                <w:numId w:val="7"/>
              </w:numPr>
              <w:suppressAutoHyphens w:val="true"/>
              <w:spacing w:before="0" w:after="0"/>
              <w:ind w:left="392" w:hanging="392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Демонтаж основного модуля МПА-NVC1230 из системы пожаротушения.</w:t>
            </w:r>
          </w:p>
          <w:p>
            <w:pPr>
              <w:pStyle w:val="Normal"/>
              <w:widowControl w:val="false"/>
              <w:numPr>
                <w:ilvl w:val="0"/>
                <w:numId w:val="7"/>
              </w:numPr>
              <w:suppressAutoHyphens w:val="true"/>
              <w:spacing w:before="0" w:after="0"/>
              <w:ind w:left="392" w:hanging="392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Монтаж резервного модуля МПА-NVC1230 после освидетельствования в существующую систему пожаротушения.</w:t>
            </w:r>
          </w:p>
          <w:p>
            <w:pPr>
              <w:pStyle w:val="Normal"/>
              <w:widowControl w:val="false"/>
              <w:numPr>
                <w:ilvl w:val="0"/>
                <w:numId w:val="7"/>
              </w:numPr>
              <w:suppressAutoHyphens w:val="true"/>
              <w:spacing w:before="0" w:after="0"/>
              <w:ind w:left="392" w:hanging="392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Перемещение демонтированного модуля МПА-NVC1230 на место хранения на объекте Заказчика.</w:t>
            </w:r>
          </w:p>
        </w:tc>
        <w:tc>
          <w:tcPr>
            <w:tcW w:w="1923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209" w:type="dxa"/>
            <w:tcBorders>
              <w:top w:val="nil"/>
            </w:tcBorders>
            <w:shd w:color="auto" w:fill="auto" w:val="clear"/>
          </w:tcPr>
          <w:p>
            <w:pPr>
              <w:pStyle w:val="Style29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60"/>
              <w:ind w:left="0" w:hanging="0"/>
              <w:jc w:val="left"/>
              <w:outlineLvl w:val="2"/>
              <w:rPr>
                <w:rFonts w:eastAsia="Times New Roman"/>
                <w:lang w:val="ru-RU" w:eastAsia="ru-RU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2144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2482" w:hRule="atLeast"/>
        </w:trPr>
        <w:tc>
          <w:tcPr>
            <w:tcW w:w="889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bidi w:val="0"/>
              <w:spacing w:before="60" w:after="60"/>
              <w:ind w:left="1077" w:right="0" w:hanging="1020"/>
              <w:contextualSpacing/>
              <w:jc w:val="right"/>
              <w:rPr/>
            </w:pPr>
            <w:r>
              <w:rPr/>
            </w:r>
          </w:p>
        </w:tc>
        <w:tc>
          <w:tcPr>
            <w:tcW w:w="2040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Организационно-технические мероприятия по допуску персонала Исполнителя</w:t>
            </w:r>
          </w:p>
        </w:tc>
        <w:tc>
          <w:tcPr>
            <w:tcW w:w="6133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 xml:space="preserve">Подготовку рабочих мест и допуск к оказанию услуг на объектах Заказчика выполняет персонал Заказчика. Допуск персонала Исполнителя для </w:t>
            </w:r>
            <w:r>
              <w:rPr>
                <w:rFonts w:eastAsia="Times New Roman" w:cs="Times New Roman"/>
                <w:bCs/>
                <w:kern w:val="0"/>
                <w:sz w:val="24"/>
                <w:lang w:val="ru-RU" w:eastAsia="ru-RU" w:bidi="ar-SA"/>
              </w:rPr>
              <w:t>оказания услуг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 xml:space="preserve"> осуществляется в соответствии с Регламентом процесса «Допуск персонала подрядных организаций на объекты ПАО «РусГидро» в соответствии с приказом ПАО РусГидро от 28.04.2023 №300 (</w:t>
            </w:r>
            <w:r>
              <w:rPr>
                <w:rFonts w:eastAsia="Times New Roman" w:cs="Times New Roman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Приложение №3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 xml:space="preserve"> к настоящим ТТ).</w:t>
            </w:r>
          </w:p>
        </w:tc>
        <w:tc>
          <w:tcPr>
            <w:tcW w:w="1923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209" w:type="dxa"/>
            <w:tcBorders>
              <w:top w:val="nil"/>
            </w:tcBorders>
            <w:shd w:color="auto" w:fill="auto" w:val="clear"/>
          </w:tcPr>
          <w:p>
            <w:pPr>
              <w:pStyle w:val="Style29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60"/>
              <w:ind w:left="0" w:hanging="0"/>
              <w:jc w:val="left"/>
              <w:outlineLvl w:val="2"/>
              <w:rPr>
                <w:rFonts w:eastAsia="Times New Roman"/>
                <w:lang w:val="ru-RU" w:eastAsia="ru-RU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2144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854" w:hRule="atLeast"/>
        </w:trPr>
        <w:tc>
          <w:tcPr>
            <w:tcW w:w="889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bidi w:val="0"/>
              <w:spacing w:before="60" w:after="60"/>
              <w:ind w:left="1077" w:right="0" w:hanging="1020"/>
              <w:contextualSpacing/>
              <w:jc w:val="right"/>
              <w:rPr/>
            </w:pPr>
            <w:r>
              <w:rPr/>
            </w:r>
          </w:p>
        </w:tc>
        <w:tc>
          <w:tcPr>
            <w:tcW w:w="2040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en-US" w:eastAsia="ru-RU" w:bidi="ar-SA"/>
              </w:rPr>
              <w:t xml:space="preserve">Содержание мест 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оказания услуг</w:t>
            </w:r>
          </w:p>
        </w:tc>
        <w:tc>
          <w:tcPr>
            <w:tcW w:w="6133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Персонал Исполнителя обеспечивает поддержание чистоты на рабочих местах, своевременную уборку рабочего места по окончании оказания услуг.</w:t>
            </w:r>
          </w:p>
        </w:tc>
        <w:tc>
          <w:tcPr>
            <w:tcW w:w="1923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209" w:type="dxa"/>
            <w:tcBorders>
              <w:top w:val="nil"/>
            </w:tcBorders>
            <w:shd w:color="auto" w:fill="auto" w:val="clear"/>
          </w:tcPr>
          <w:p>
            <w:pPr>
              <w:pStyle w:val="Style29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60"/>
              <w:ind w:left="0" w:hanging="0"/>
              <w:jc w:val="left"/>
              <w:outlineLvl w:val="2"/>
              <w:rPr>
                <w:rFonts w:eastAsia="Times New Roman"/>
                <w:lang w:val="ru-RU" w:eastAsia="ru-RU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2144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702" w:hRule="atLeast"/>
        </w:trPr>
        <w:tc>
          <w:tcPr>
            <w:tcW w:w="889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bidi w:val="0"/>
              <w:spacing w:before="60" w:after="60"/>
              <w:ind w:left="-113" w:right="0" w:firstLine="113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8173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применяемым при оказании услуг оборудованию и материалам</w:t>
            </w:r>
          </w:p>
        </w:tc>
        <w:tc>
          <w:tcPr>
            <w:tcW w:w="1923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209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144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>
          <w:trHeight w:val="1640" w:hRule="atLeast"/>
        </w:trPr>
        <w:tc>
          <w:tcPr>
            <w:tcW w:w="889" w:type="dxa"/>
            <w:vMerge w:val="restart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bidi w:val="0"/>
              <w:spacing w:before="60" w:after="60"/>
              <w:ind w:left="1077" w:right="0" w:hanging="102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2040" w:type="dxa"/>
            <w:vMerge w:val="restart"/>
            <w:tcBorders/>
          </w:tcPr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uppressAutoHyphens w:val="true"/>
              <w:spacing w:before="6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Оборудование, материалы и запасные части</w:t>
            </w:r>
          </w:p>
        </w:tc>
        <w:tc>
          <w:tcPr>
            <w:tcW w:w="6133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Наличие у Исполнителя технологического оборудования: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 по нанесению лакокрасочного покрытия (полимеризации), отвечающего требованиям ГОСТ 9.407-2015;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 заправочной станции, обеспечивающей заправку модулей газового пожаротушения по закрытому циклу без доступа факторов окисления металлов;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 установки по абсорбции Азота в ГОТВ.</w:t>
            </w:r>
          </w:p>
        </w:tc>
        <w:tc>
          <w:tcPr>
            <w:tcW w:w="1923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 w:val="false"/>
                <w:bCs w:val="false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4"/>
                <w:szCs w:val="24"/>
                <w:lang w:val="ru-RU" w:eastAsia="ru-RU" w:bidi="ar-SA"/>
              </w:rPr>
              <w:t>Согласие с требованием, указать наименования и марки оборудования</w:t>
            </w:r>
          </w:p>
        </w:tc>
        <w:tc>
          <w:tcPr>
            <w:tcW w:w="2209" w:type="dxa"/>
            <w:tcBorders/>
          </w:tcPr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uppressAutoHyphens w:val="true"/>
              <w:spacing w:before="6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</w:p>
        </w:tc>
        <w:tc>
          <w:tcPr>
            <w:tcW w:w="2144" w:type="dxa"/>
            <w:tcBorders/>
          </w:tcPr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uppressAutoHyphens w:val="true"/>
              <w:spacing w:before="60" w:after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>
          <w:trHeight w:val="1640" w:hRule="atLeast"/>
        </w:trPr>
        <w:tc>
          <w:tcPr>
            <w:tcW w:w="889" w:type="dxa"/>
            <w:vMerge w:val="continue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suppressAutoHyphens w:val="true"/>
              <w:bidi w:val="0"/>
              <w:spacing w:before="60" w:after="60"/>
              <w:ind w:left="1077" w:right="0" w:hanging="102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2040" w:type="dxa"/>
            <w:vMerge w:val="continue"/>
            <w:tcBorders>
              <w:top w:val="nil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uppressAutoHyphens w:val="true"/>
              <w:spacing w:before="6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133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Материалы и запасные части, необходимые для оказания услуг по техническому освидетельствованию  модулей пожаротушения МПА-NVC1230 (42-180-50) должны иметь действующие сертификаты по пожарной безопасности.</w:t>
            </w:r>
          </w:p>
        </w:tc>
        <w:tc>
          <w:tcPr>
            <w:tcW w:w="1923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209" w:type="dxa"/>
            <w:tcBorders>
              <w:top w:val="nil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uppressAutoHyphens w:val="true"/>
              <w:spacing w:before="6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144" w:type="dxa"/>
            <w:tcBorders>
              <w:top w:val="nil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uppressAutoHyphens w:val="true"/>
              <w:spacing w:before="60" w:after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>
          <w:trHeight w:val="1397" w:hRule="atLeast"/>
        </w:trPr>
        <w:tc>
          <w:tcPr>
            <w:tcW w:w="889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ind w:left="710" w:hanging="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  <w:tc>
          <w:tcPr>
            <w:tcW w:w="2040" w:type="dxa"/>
            <w:vMerge w:val="continue"/>
            <w:tcBorders/>
          </w:tcPr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uppressAutoHyphens w:val="true"/>
              <w:spacing w:before="60" w:after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6133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При закрытии актов сдачи-приемки услуг Исполнителем должны быть предоставлены паспорта и сертификаты качества и сертификаты по пожарной безопасности на поставляемые материалы и запасные части на бумажном носителе.</w:t>
            </w:r>
          </w:p>
        </w:tc>
        <w:tc>
          <w:tcPr>
            <w:tcW w:w="1923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209" w:type="dxa"/>
            <w:tcBorders/>
          </w:tcPr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uppressAutoHyphens w:val="true"/>
              <w:spacing w:before="6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144" w:type="dxa"/>
            <w:tcBorders/>
          </w:tcPr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uppressAutoHyphens w:val="true"/>
              <w:spacing w:before="60" w:after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>
          <w:trHeight w:val="994" w:hRule="atLeast"/>
        </w:trPr>
        <w:tc>
          <w:tcPr>
            <w:tcW w:w="889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ind w:left="710" w:hanging="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‍</w:t>
            </w:r>
          </w:p>
        </w:tc>
        <w:tc>
          <w:tcPr>
            <w:tcW w:w="2040" w:type="dxa"/>
            <w:vMerge w:val="continue"/>
            <w:tcBorders/>
          </w:tcPr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uppressAutoHyphens w:val="true"/>
              <w:spacing w:before="6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133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Все закупаемые и применяемые материалы и запасные части должны быть новыми и не использованными ранее.</w:t>
            </w:r>
          </w:p>
        </w:tc>
        <w:tc>
          <w:tcPr>
            <w:tcW w:w="1923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209" w:type="dxa"/>
            <w:tcBorders/>
          </w:tcPr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uppressAutoHyphens w:val="true"/>
              <w:spacing w:before="6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144" w:type="dxa"/>
            <w:tcBorders/>
          </w:tcPr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uppressAutoHyphens w:val="true"/>
              <w:spacing w:before="60" w:after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>
          <w:trHeight w:val="805" w:hRule="atLeast"/>
        </w:trPr>
        <w:tc>
          <w:tcPr>
            <w:tcW w:w="889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8173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b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color w:val="auto"/>
                <w:kern w:val="0"/>
                <w:sz w:val="24"/>
                <w:szCs w:val="24"/>
                <w:lang w:val="ru-RU" w:eastAsia="ru-RU" w:bidi="ar-SA"/>
              </w:rPr>
              <w:t>Требования к персоналу исполнителя</w:t>
            </w:r>
          </w:p>
        </w:tc>
        <w:tc>
          <w:tcPr>
            <w:tcW w:w="1923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209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144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>
          <w:trHeight w:val="1449" w:hRule="atLeast"/>
        </w:trPr>
        <w:tc>
          <w:tcPr>
            <w:tcW w:w="889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bidi w:val="0"/>
              <w:spacing w:before="60" w:after="60"/>
              <w:ind w:left="1077" w:right="0" w:hanging="102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2040" w:type="dxa"/>
            <w:vMerge w:val="restart"/>
            <w:tcBorders/>
          </w:tcPr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uppressAutoHyphens w:val="true"/>
              <w:spacing w:before="60" w:after="0"/>
              <w:jc w:val="left"/>
              <w:rPr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Квалификация персонала Исполнителя, привлекаемого к оказанию услуг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uppressAutoHyphens w:val="true"/>
              <w:spacing w:before="60" w:after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6133" w:type="dxa"/>
            <w:tcBorders/>
          </w:tcPr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uppressAutoHyphens w:val="true"/>
              <w:spacing w:before="6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lang w:val="ru-RU" w:eastAsia="ru-RU" w:bidi="ar-SA"/>
              </w:rPr>
              <w:t>Наличие у Исполнителя или у привлекаемой субподрядной организации собственного или привлеченного квалифицированного персонала в количестве не менее 3 человек, имеющих группу по электробезопасности не ниже 3.</w:t>
            </w:r>
          </w:p>
        </w:tc>
        <w:tc>
          <w:tcPr>
            <w:tcW w:w="1923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209" w:type="dxa"/>
            <w:tcBorders/>
          </w:tcPr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uppressAutoHyphens w:val="true"/>
              <w:spacing w:before="60" w:after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2144" w:type="dxa"/>
            <w:tcBorders/>
          </w:tcPr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uppressAutoHyphens w:val="true"/>
              <w:spacing w:before="60" w:after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>
          <w:trHeight w:val="2663" w:hRule="atLeast"/>
        </w:trPr>
        <w:tc>
          <w:tcPr>
            <w:tcW w:w="889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bidi w:val="0"/>
              <w:spacing w:before="60" w:after="60"/>
              <w:ind w:left="1077" w:right="0" w:hanging="102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2040" w:type="dxa"/>
            <w:vMerge w:val="continue"/>
            <w:tcBorders>
              <w:top w:val="nil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uppressAutoHyphens w:val="true"/>
              <w:spacing w:before="60" w:after="0"/>
              <w:jc w:val="left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</w:r>
          </w:p>
        </w:tc>
        <w:tc>
          <w:tcPr>
            <w:tcW w:w="6133" w:type="dxa"/>
            <w:tcBorders>
              <w:top w:val="nil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uppressAutoHyphens w:val="true"/>
              <w:spacing w:lineRule="auto" w:line="240" w:before="60" w:after="0"/>
              <w:jc w:val="both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8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8"/>
                <w:lang w:val="ru-RU" w:eastAsia="ru-RU" w:bidi="ar-SA"/>
              </w:rPr>
              <w:t>Наличие у персонала Исполнителя: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uppressAutoHyphens w:val="true"/>
              <w:spacing w:lineRule="auto" w:line="240" w:before="60" w:after="0"/>
              <w:jc w:val="both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8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8"/>
                <w:lang w:val="ru-RU" w:eastAsia="ru-RU" w:bidi="ar-SA"/>
              </w:rPr>
              <w:t>- аттестации сотрудников, допущенных к работам с сосудами под давлением, согласно ТР ТС 032/2013;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uppressAutoHyphens w:val="true"/>
              <w:spacing w:lineRule="auto" w:line="240" w:before="60" w:after="0"/>
              <w:jc w:val="both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8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8"/>
                <w:lang w:val="ru-RU" w:eastAsia="ru-RU" w:bidi="ar-SA"/>
              </w:rPr>
              <w:t>- аттестации сотрудников отдела контроля качества – ВИК, НАКС;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uppressAutoHyphens w:val="true"/>
              <w:spacing w:lineRule="auto" w:line="240" w:before="60" w:after="0"/>
              <w:jc w:val="both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8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8"/>
                <w:lang w:val="ru-RU" w:eastAsia="ru-RU" w:bidi="ar-SA"/>
              </w:rPr>
              <w:t>- аттестации согласно СДАНК-02-2020 по неразрушающему контролю;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uppressAutoHyphens w:val="true"/>
              <w:spacing w:lineRule="auto" w:line="240" w:before="60" w:after="0"/>
              <w:jc w:val="both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8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8"/>
                <w:lang w:val="ru-RU" w:eastAsia="ru-RU" w:bidi="ar-SA"/>
              </w:rPr>
              <w:t>- аттестации по магнитно-порошковой дефектоскопии.</w:t>
            </w:r>
          </w:p>
        </w:tc>
        <w:tc>
          <w:tcPr>
            <w:tcW w:w="1923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2209" w:type="dxa"/>
            <w:tcBorders>
              <w:top w:val="nil"/>
            </w:tcBorders>
          </w:tcPr>
          <w:p>
            <w:pPr>
              <w:pStyle w:val="Style29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60"/>
              <w:ind w:left="0" w:hanging="0"/>
              <w:jc w:val="left"/>
              <w:outlineLvl w:val="2"/>
              <w:rPr>
                <w:rFonts w:ascii="Times New Roman" w:hAnsi="Times New Roman" w:eastAsia="Times New Roman" w:cs="Times New Roman"/>
                <w:b w:val="false"/>
                <w:bCs w:val="false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color w:val="auto"/>
                <w:kern w:val="0"/>
                <w:sz w:val="24"/>
                <w:szCs w:val="24"/>
                <w:lang w:val="ru-RU" w:eastAsia="ru-RU" w:bidi="ar-SA"/>
              </w:rPr>
              <w:t>Предоставить документы</w:t>
            </w:r>
          </w:p>
        </w:tc>
        <w:tc>
          <w:tcPr>
            <w:tcW w:w="2144" w:type="dxa"/>
            <w:tcBorders>
              <w:top w:val="nil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uppressAutoHyphens w:val="true"/>
              <w:spacing w:before="60" w:after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>
          <w:trHeight w:val="1785" w:hRule="atLeast"/>
        </w:trPr>
        <w:tc>
          <w:tcPr>
            <w:tcW w:w="889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bidi w:val="0"/>
              <w:spacing w:before="60" w:after="60"/>
              <w:ind w:left="1077" w:right="0" w:hanging="102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2040" w:type="dxa"/>
            <w:vMerge w:val="continue"/>
            <w:tcBorders/>
          </w:tcPr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uppressAutoHyphens w:val="true"/>
              <w:spacing w:before="60" w:after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6133" w:type="dxa"/>
            <w:tcBorders/>
          </w:tcPr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uppressAutoHyphens w:val="true"/>
              <w:spacing w:before="60" w:after="0"/>
              <w:jc w:val="both"/>
              <w:rPr>
                <w:sz w:val="24"/>
              </w:rPr>
            </w:pPr>
            <w:r>
              <w:rPr>
                <w:rFonts w:eastAsia="Times New Roman" w:cs="Times New Roman"/>
                <w:kern w:val="0"/>
                <w:sz w:val="24"/>
                <w:lang w:val="ru-RU" w:eastAsia="ru-RU" w:bidi="ar-SA"/>
              </w:rPr>
              <w:t>Исполнитель предоставляет список персонала с указанием сведений  о квалификации персонала, разрядах и группах по электробезопасности с приложением копий протоколов, удостоверений о проверке знаний  правил работы в электроустановках с записью на производство специальных видов работ.</w:t>
            </w:r>
          </w:p>
        </w:tc>
        <w:tc>
          <w:tcPr>
            <w:tcW w:w="1923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209" w:type="dxa"/>
            <w:tcBorders/>
          </w:tcPr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uppressAutoHyphens w:val="true"/>
              <w:spacing w:before="60" w:after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2144" w:type="dxa"/>
            <w:tcBorders/>
          </w:tcPr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uppressAutoHyphens w:val="true"/>
              <w:spacing w:before="60" w:after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>
          <w:trHeight w:val="1204" w:hRule="atLeast"/>
        </w:trPr>
        <w:tc>
          <w:tcPr>
            <w:tcW w:w="889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bidi w:val="0"/>
              <w:spacing w:before="60" w:after="60"/>
              <w:ind w:left="1077" w:right="0" w:hanging="102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2040" w:type="dxa"/>
            <w:vMerge w:val="continue"/>
            <w:tcBorders/>
          </w:tcPr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uppressAutoHyphens w:val="true"/>
              <w:spacing w:before="60" w:after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6133" w:type="dxa"/>
            <w:tcBorders/>
          </w:tcPr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uppressAutoHyphens w:val="true"/>
              <w:spacing w:before="60" w:after="0"/>
              <w:jc w:val="both"/>
              <w:rPr>
                <w:sz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Исполнитель обязуется оказывать услуги с привлечением собственного, либо персонала сторонних организаций (субподряд), обладающего соответствующими работе компетенциями.</w:t>
            </w:r>
          </w:p>
        </w:tc>
        <w:tc>
          <w:tcPr>
            <w:tcW w:w="1923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209" w:type="dxa"/>
            <w:tcBorders/>
          </w:tcPr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uppressAutoHyphens w:val="true"/>
              <w:spacing w:before="60" w:after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2144" w:type="dxa"/>
            <w:tcBorders/>
          </w:tcPr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uppressAutoHyphens w:val="true"/>
              <w:spacing w:before="60" w:after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>
          <w:trHeight w:val="968" w:hRule="atLeast"/>
        </w:trPr>
        <w:tc>
          <w:tcPr>
            <w:tcW w:w="889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8173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b/>
                <w:bCs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color w:val="auto"/>
                <w:kern w:val="0"/>
                <w:sz w:val="24"/>
                <w:szCs w:val="24"/>
                <w:lang w:val="ru-RU" w:eastAsia="ru-RU" w:bidi="ar-SA"/>
              </w:rPr>
              <w:t>Требования к результатам услуг</w:t>
            </w:r>
          </w:p>
        </w:tc>
        <w:tc>
          <w:tcPr>
            <w:tcW w:w="1923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209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144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>
          <w:trHeight w:val="785" w:hRule="atLeast"/>
        </w:trPr>
        <w:tc>
          <w:tcPr>
            <w:tcW w:w="889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8173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Общие требования к результатам услуг</w:t>
            </w:r>
          </w:p>
        </w:tc>
        <w:tc>
          <w:tcPr>
            <w:tcW w:w="1923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209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144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>
          <w:trHeight w:val="1127" w:hRule="atLeast"/>
        </w:trPr>
        <w:tc>
          <w:tcPr>
            <w:tcW w:w="889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bidi w:val="0"/>
              <w:spacing w:before="60" w:after="60"/>
              <w:ind w:left="1077" w:right="0" w:hanging="102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2040" w:type="dxa"/>
            <w:tcBorders/>
          </w:tcPr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uppressAutoHyphens w:val="true"/>
              <w:spacing w:before="6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133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Результат оказания услуг – исправное состояние  модулей пожаротушения МПА-NVC1230 (42-180-50) установленных в системах пожаротушения серверных АСУ ТП РГЭС и УГЭС.</w:t>
            </w:r>
          </w:p>
        </w:tc>
        <w:tc>
          <w:tcPr>
            <w:tcW w:w="1923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209" w:type="dxa"/>
            <w:tcBorders/>
          </w:tcPr>
          <w:p>
            <w:pPr>
              <w:pStyle w:val="Style29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60"/>
              <w:ind w:left="0" w:hanging="0"/>
              <w:jc w:val="left"/>
              <w:outlineLvl w:val="2"/>
              <w:rPr>
                <w:rFonts w:eastAsia="Times New Roman"/>
                <w:b w:val="false"/>
                <w:lang w:val="ru-RU" w:eastAsia="ru-RU"/>
              </w:rPr>
            </w:pPr>
            <w:r>
              <w:rPr>
                <w:rFonts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2144" w:type="dxa"/>
            <w:tcBorders/>
          </w:tcPr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uppressAutoHyphens w:val="true"/>
              <w:spacing w:before="60" w:after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>
          <w:trHeight w:val="501" w:hRule="atLeast"/>
        </w:trPr>
        <w:tc>
          <w:tcPr>
            <w:tcW w:w="889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8173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before="6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безопасности оказываемых услуг и охране труда</w:t>
            </w:r>
          </w:p>
        </w:tc>
        <w:tc>
          <w:tcPr>
            <w:tcW w:w="1923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209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144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>
          <w:trHeight w:val="5329" w:hRule="atLeast"/>
        </w:trPr>
        <w:tc>
          <w:tcPr>
            <w:tcW w:w="889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bidi w:val="0"/>
              <w:spacing w:before="60" w:after="60"/>
              <w:ind w:left="1077" w:right="0" w:hanging="102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204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Требования к безопасности выполняемых работ</w:t>
            </w:r>
          </w:p>
        </w:tc>
        <w:tc>
          <w:tcPr>
            <w:tcW w:w="6133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eastAsia="Times New Roman" w:cs="Times New Roman"/>
                <w:color w:val="auto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Исполнитель должен соблюдать требования действующего федерального законодательства Российской Федерации, нормативных правовых актов субъектов Российской Федерации, а также все прочие законы и нормативные акты, относящиеся к сфере деятельности.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eastAsia="Times New Roman" w:cs="Times New Roman"/>
                <w:color w:val="auto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Исполнитель обязан направлять на объекты заказчика работников, обученных правилам безопасного ведения работ/оказания услуг и имеющих все необходимые допуски к производству работ/оказанию услуг, а также представлять документы на русском языке, подтверждающие квалификацию работников на проведение соответствующих видов работ/услуг.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eastAsia="Times New Roman" w:cs="Times New Roman"/>
                <w:color w:val="auto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Исполнитель обязан обеспечить работников, направляемых для оказания услуг, соответствующими выполняемой работе средствами индивидуальной защиты, спецодеждой  и спецобувью.</w:t>
            </w:r>
          </w:p>
        </w:tc>
        <w:tc>
          <w:tcPr>
            <w:tcW w:w="1923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209" w:type="dxa"/>
            <w:tcBorders/>
          </w:tcPr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uppressAutoHyphens w:val="true"/>
              <w:spacing w:before="6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214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</w:tr>
      <w:tr>
        <w:trPr>
          <w:trHeight w:val="626" w:hRule="atLeast"/>
        </w:trPr>
        <w:tc>
          <w:tcPr>
            <w:tcW w:w="889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8173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/>
            </w:pPr>
            <w:r>
              <w:rPr>
                <w:rFonts w:eastAsia="Times New Roman" w:cs="Times New Roman"/>
                <w:b/>
                <w:bCs/>
                <w:color w:val="auto"/>
                <w:kern w:val="0"/>
                <w:sz w:val="24"/>
                <w:szCs w:val="24"/>
                <w:lang w:val="ru-RU" w:eastAsia="ru-RU" w:bidi="ar-SA"/>
              </w:rPr>
              <w:t>Требования к приемке результата оказания у</w:t>
            </w:r>
            <w:r>
              <w:rPr>
                <w:rFonts w:eastAsia="Times New Roman" w:cs="Times New Roman"/>
                <w:b/>
                <w:color w:val="auto"/>
                <w:kern w:val="0"/>
                <w:sz w:val="24"/>
                <w:szCs w:val="24"/>
                <w:lang w:val="ru-RU" w:eastAsia="ru-RU" w:bidi="ar-SA"/>
              </w:rPr>
              <w:t>слуг</w:t>
            </w:r>
            <w:r>
              <w:rPr>
                <w:rStyle w:val="Style8"/>
                <w:rFonts w:eastAsia="Times New Roman" w:cs="Times New Roman"/>
                <w:b w:val="false"/>
                <w:bCs/>
                <w:i w:val="false"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 xml:space="preserve"> </w:t>
            </w:r>
          </w:p>
        </w:tc>
        <w:tc>
          <w:tcPr>
            <w:tcW w:w="1923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209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144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>
          <w:trHeight w:val="1248" w:hRule="atLeast"/>
        </w:trPr>
        <w:tc>
          <w:tcPr>
            <w:tcW w:w="889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bidi w:val="0"/>
              <w:spacing w:before="60" w:after="60"/>
              <w:ind w:left="1077" w:right="0" w:hanging="102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2040" w:type="dxa"/>
            <w:tcBorders/>
          </w:tcPr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uppressAutoHyphens w:val="true"/>
              <w:spacing w:before="6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Контроль за выполнением</w:t>
            </w:r>
          </w:p>
        </w:tc>
        <w:tc>
          <w:tcPr>
            <w:tcW w:w="6133" w:type="dxa"/>
            <w:tcBorders/>
          </w:tcPr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uppressAutoHyphens w:val="true"/>
              <w:spacing w:before="6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Исполнитель обеспечивает текущий контроль выполняемых услуг, включающий в себя надзор за правильностью и последовательностью выполнения отдельных технологических операций.</w:t>
            </w:r>
          </w:p>
        </w:tc>
        <w:tc>
          <w:tcPr>
            <w:tcW w:w="1923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209" w:type="dxa"/>
            <w:tcBorders/>
          </w:tcPr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uppressAutoHyphens w:val="true"/>
              <w:spacing w:before="60" w:after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2144" w:type="dxa"/>
            <w:tcBorders/>
          </w:tcPr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uppressAutoHyphens w:val="true"/>
              <w:spacing w:before="60" w:after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>
          <w:trHeight w:val="1742" w:hRule="atLeast"/>
        </w:trPr>
        <w:tc>
          <w:tcPr>
            <w:tcW w:w="889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bidi w:val="0"/>
              <w:spacing w:before="60" w:after="60"/>
              <w:ind w:left="1077" w:right="0" w:hanging="102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2040" w:type="dxa"/>
            <w:tcBorders>
              <w:top w:val="nil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uppressAutoHyphens w:val="true"/>
              <w:spacing w:before="6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Документация</w:t>
            </w:r>
          </w:p>
        </w:tc>
        <w:tc>
          <w:tcPr>
            <w:tcW w:w="6133" w:type="dxa"/>
            <w:tcBorders>
              <w:top w:val="nil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uppressAutoHyphens w:val="true"/>
              <w:spacing w:before="6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При проведении сторонами сдачи-приемки услуг, Исполнителем на бумажных носителях должны быть предоставлены паспорта модулей с отметкой о заправке в таблице заправки и отметкой о годности к дальнейшей эксплуатации, паспорта баллонов с отметкой о проведенном техническом освидетельствовании, копию сертификата  на ГОТВ, паспорта на манометр и датчик давления (данные об актуальной дате поверки манометра должны быть внесены в общероссийский метрологический реестр "Аршин")</w:t>
            </w:r>
          </w:p>
        </w:tc>
        <w:tc>
          <w:tcPr>
            <w:tcW w:w="1923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209" w:type="dxa"/>
            <w:tcBorders>
              <w:top w:val="nil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uppressAutoHyphens w:val="true"/>
              <w:spacing w:before="60" w:after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2144" w:type="dxa"/>
            <w:tcBorders>
              <w:top w:val="nil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uppressAutoHyphens w:val="true"/>
              <w:spacing w:before="60" w:after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>
          <w:trHeight w:val="569" w:hRule="atLeast"/>
        </w:trPr>
        <w:tc>
          <w:tcPr>
            <w:tcW w:w="889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8173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документации, описывающей результат оказания услуг</w:t>
            </w:r>
          </w:p>
        </w:tc>
        <w:tc>
          <w:tcPr>
            <w:tcW w:w="1923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209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144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>
          <w:trHeight w:val="1197" w:hRule="atLeast"/>
        </w:trPr>
        <w:tc>
          <w:tcPr>
            <w:tcW w:w="889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bidi w:val="0"/>
              <w:spacing w:before="60" w:after="60"/>
              <w:ind w:left="1077" w:right="0" w:hanging="102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204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13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 xml:space="preserve">Отчетную документацию предоставить в соответствии с </w:t>
            </w: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  <w:t>нормативно-технической документацией (далее - НТД), приведенной в пункте 1.1.1 таблицы 4 настоящих ТТ.</w:t>
            </w:r>
          </w:p>
        </w:tc>
        <w:tc>
          <w:tcPr>
            <w:tcW w:w="1923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209" w:type="dxa"/>
            <w:tcBorders/>
          </w:tcPr>
          <w:p>
            <w:pPr>
              <w:pStyle w:val="Style29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60"/>
              <w:ind w:left="0" w:hanging="0"/>
              <w:jc w:val="left"/>
              <w:outlineLvl w:val="2"/>
              <w:rPr>
                <w:lang w:val="ru-RU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2144" w:type="dxa"/>
            <w:tcBorders/>
          </w:tcPr>
          <w:p>
            <w:pPr>
              <w:pStyle w:val="Style29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60"/>
              <w:ind w:left="0" w:hanging="0"/>
              <w:jc w:val="left"/>
              <w:outlineLvl w:val="2"/>
              <w:rPr>
                <w:rFonts w:eastAsia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>
          <w:trHeight w:val="1471" w:hRule="atLeast"/>
        </w:trPr>
        <w:tc>
          <w:tcPr>
            <w:tcW w:w="889" w:type="dxa"/>
            <w:tcBorders/>
            <w:vAlign w:val="center"/>
          </w:tcPr>
          <w:p>
            <w:pPr>
              <w:pStyle w:val="Normal"/>
              <w:widowControl w:val="false"/>
              <w:numPr>
                <w:ilvl w:val="2"/>
                <w:numId w:val="6"/>
              </w:numPr>
              <w:suppressAutoHyphens w:val="true"/>
              <w:bidi w:val="0"/>
              <w:spacing w:before="60" w:after="60"/>
              <w:ind w:left="-113" w:right="0" w:firstLine="113"/>
              <w:jc w:val="center"/>
              <w:rPr>
                <w:rFonts w:ascii="Times New Roman" w:hAnsi="Times New Roman" w:eastAsia="Calibri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Calibri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04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13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Документацию по техническому освидетельствованию модулей пожаротушения представить на бумажном носителе в 1 экземпляре, на электронном носителе в 1 экземпляре в форматах *.dос, *.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en-US" w:eastAsia="ru-RU" w:bidi="ar-SA"/>
              </w:rPr>
              <w:t xml:space="preserve">pdf, 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*.хls, *.dwg, *.vsd.</w:t>
            </w:r>
          </w:p>
        </w:tc>
        <w:tc>
          <w:tcPr>
            <w:tcW w:w="1923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209" w:type="dxa"/>
            <w:tcBorders/>
          </w:tcPr>
          <w:p>
            <w:pPr>
              <w:pStyle w:val="Style29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60"/>
              <w:ind w:left="0" w:hanging="0"/>
              <w:jc w:val="left"/>
              <w:outlineLvl w:val="2"/>
              <w:rPr>
                <w:lang w:val="ru-RU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2144" w:type="dxa"/>
            <w:tcBorders/>
          </w:tcPr>
          <w:p>
            <w:pPr>
              <w:pStyle w:val="Style29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60"/>
              <w:ind w:left="0" w:hanging="0"/>
              <w:jc w:val="left"/>
              <w:outlineLvl w:val="2"/>
              <w:rPr>
                <w:rFonts w:eastAsia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889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ind w:left="360" w:hanging="0"/>
              <w:contextualSpacing/>
              <w:jc w:val="center"/>
              <w:rPr>
                <w:rFonts w:ascii="Times New Roman" w:hAnsi="Times New Roman" w:eastAsia="Calibri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Calibri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8173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both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ответственности и гарантиям исполнителя</w:t>
            </w:r>
          </w:p>
        </w:tc>
        <w:tc>
          <w:tcPr>
            <w:tcW w:w="1923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209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144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889" w:type="dxa"/>
            <w:vMerge w:val="restart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bidi w:val="0"/>
              <w:spacing w:before="60" w:after="60"/>
              <w:ind w:left="57" w:right="0" w:hanging="0"/>
              <w:contextualSpacing/>
              <w:jc w:val="center"/>
              <w:rPr>
                <w:rFonts w:ascii="Times New Roman" w:hAnsi="Times New Roman" w:eastAsia="Calibri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Calibri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040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Срок гарантии на результаты предоставляемых услуг</w:t>
            </w:r>
          </w:p>
        </w:tc>
        <w:tc>
          <w:tcPr>
            <w:tcW w:w="6133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В течение 1 года с момента приемки работ после предоставления услуг по техническому освидетельствованию модулей пожаротушения.</w:t>
            </w:r>
          </w:p>
        </w:tc>
        <w:tc>
          <w:tcPr>
            <w:tcW w:w="1923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209" w:type="dxa"/>
            <w:tcBorders/>
          </w:tcPr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uppressAutoHyphens w:val="true"/>
              <w:spacing w:before="4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2144" w:type="dxa"/>
            <w:tcBorders/>
          </w:tcPr>
          <w:p>
            <w:pPr>
              <w:pStyle w:val="Style29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60"/>
              <w:ind w:left="0" w:hanging="0"/>
              <w:jc w:val="left"/>
              <w:outlineLvl w:val="2"/>
              <w:rPr>
                <w:rFonts w:eastAsia="Times New Roman"/>
                <w:b w:val="false"/>
                <w:bCs/>
                <w:lang w:val="ru-RU" w:eastAsia="ru-RU"/>
              </w:rPr>
            </w:pPr>
            <w:r>
              <w:rPr>
                <w:rFonts w:eastAsia="Times New Roman" w:cs="Times New Roman"/>
                <w:b w:val="false"/>
                <w:bCs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889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ind w:left="710" w:hanging="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  <w:tc>
          <w:tcPr>
            <w:tcW w:w="2040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40" w:after="0"/>
              <w:jc w:val="left"/>
              <w:rPr>
                <w:b/>
                <w:bCs/>
                <w:i/>
                <w:i/>
                <w:sz w:val="24"/>
                <w:szCs w:val="24"/>
              </w:rPr>
            </w:pPr>
            <w:r>
              <w:rPr>
                <w:b/>
                <w:bCs/>
                <w:i/>
                <w:sz w:val="24"/>
                <w:szCs w:val="24"/>
              </w:rPr>
            </w:r>
          </w:p>
        </w:tc>
        <w:tc>
          <w:tcPr>
            <w:tcW w:w="6133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Исполнитель обязуется производить в течение   гарантийного периода устранение всех неисправностей, появившихся в результате выполненных работ по техническому освидетельствованию модулей пожаротушения своими силами и за свой счет.</w:t>
            </w:r>
          </w:p>
        </w:tc>
        <w:tc>
          <w:tcPr>
            <w:tcW w:w="1923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bookmarkStart w:id="52" w:name="__RefHeading___Toc2695_4038638555"/>
            <w:bookmarkStart w:id="53" w:name="_Toc134194238"/>
            <w:bookmarkEnd w:id="52"/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  <w:bookmarkEnd w:id="53"/>
          </w:p>
        </w:tc>
        <w:tc>
          <w:tcPr>
            <w:tcW w:w="220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2144" w:type="dxa"/>
            <w:tcBorders/>
          </w:tcPr>
          <w:p>
            <w:pPr>
              <w:pStyle w:val="Style29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60"/>
              <w:ind w:left="0" w:hanging="0"/>
              <w:jc w:val="left"/>
              <w:outlineLvl w:val="2"/>
              <w:rPr>
                <w:rFonts w:eastAsia="Times New Roman"/>
                <w:b w:val="false"/>
                <w:lang w:val="ru-RU" w:eastAsia="ru-RU"/>
              </w:rPr>
            </w:pPr>
            <w:r>
              <w:rPr>
                <w:rFonts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889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8173" w:type="dxa"/>
            <w:gridSpan w:val="2"/>
            <w:tcBorders/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исполнителю (и соисполнителям) и его обязательствам, влияющим на исполнение договора</w:t>
            </w:r>
          </w:p>
        </w:tc>
        <w:tc>
          <w:tcPr>
            <w:tcW w:w="1923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209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144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889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bidi w:val="0"/>
              <w:spacing w:before="60" w:after="60"/>
              <w:ind w:left="1077" w:right="0" w:hanging="964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204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Пропускной и внутриобъектовый режимы Заказчика</w:t>
            </w:r>
          </w:p>
        </w:tc>
        <w:tc>
          <w:tcPr>
            <w:tcW w:w="6133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Соблюдение Положения о пропускном и внутриобъектовом режимах на объектах Филиала (</w:t>
            </w:r>
            <w:r>
              <w:rPr>
                <w:rFonts w:eastAsia="Calibri" w:cs="Times New Roman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Приложение №4</w:t>
            </w: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 xml:space="preserve"> к настоящим ТТ)</w:t>
            </w:r>
          </w:p>
        </w:tc>
        <w:tc>
          <w:tcPr>
            <w:tcW w:w="1923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209" w:type="dxa"/>
            <w:tcBorders/>
          </w:tcPr>
          <w:p>
            <w:pPr>
              <w:pStyle w:val="Style29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60"/>
              <w:ind w:left="0" w:hanging="0"/>
              <w:jc w:val="left"/>
              <w:outlineLvl w:val="2"/>
              <w:rPr>
                <w:lang w:val="ru-RU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2144" w:type="dxa"/>
            <w:tcBorders/>
          </w:tcPr>
          <w:p>
            <w:pPr>
              <w:pStyle w:val="Style29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60"/>
              <w:ind w:left="0" w:hanging="0"/>
              <w:jc w:val="left"/>
              <w:outlineLvl w:val="2"/>
              <w:rPr>
                <w:rFonts w:eastAsia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889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8173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 xml:space="preserve">Прочие требования к оказанию услуг </w:t>
            </w:r>
          </w:p>
        </w:tc>
        <w:tc>
          <w:tcPr>
            <w:tcW w:w="1923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20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bookmarkStart w:id="54" w:name="__RefHeading___Toc2697_4038638555"/>
            <w:bookmarkEnd w:id="54"/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144" w:type="dxa"/>
            <w:tcBorders/>
          </w:tcPr>
          <w:p>
            <w:pPr>
              <w:pStyle w:val="Style29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60"/>
              <w:ind w:left="0" w:hanging="0"/>
              <w:jc w:val="left"/>
              <w:outlineLvl w:val="2"/>
              <w:rPr>
                <w:rFonts w:eastAsia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889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bidi w:val="0"/>
              <w:spacing w:before="60" w:after="60"/>
              <w:ind w:left="567" w:right="0" w:hanging="510"/>
              <w:contextualSpacing/>
              <w:jc w:val="left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204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Оказание услуг в выходные и праздничные дни</w:t>
            </w:r>
          </w:p>
        </w:tc>
        <w:tc>
          <w:tcPr>
            <w:tcW w:w="6133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0" w:leader="none"/>
                <w:tab w:val="left" w:pos="284" w:leader="none"/>
              </w:tabs>
              <w:suppressAutoHyphens w:val="true"/>
              <w:spacing w:before="0" w:after="0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Возможность организации работ на объектах Заказчика в выходные и праздничные дни согласовывается с исполнителем на этапе планирования.</w:t>
            </w:r>
          </w:p>
        </w:tc>
        <w:tc>
          <w:tcPr>
            <w:tcW w:w="1923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20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bookmarkStart w:id="55" w:name="__RefHeading___Toc2699_4038638555"/>
            <w:bookmarkEnd w:id="55"/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14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bookmarkStart w:id="56" w:name="__RefHeading___Toc2701_4038638555"/>
            <w:bookmarkEnd w:id="56"/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</w:tbl>
    <w:p>
      <w:pPr>
        <w:sectPr>
          <w:headerReference w:type="default" r:id="rId5"/>
          <w:headerReference w:type="first" r:id="rId6"/>
          <w:type w:val="nextPage"/>
          <w:pgSz w:orient="landscape" w:w="16838" w:h="11906"/>
          <w:pgMar w:left="992" w:right="567" w:gutter="0" w:header="680" w:top="851" w:footer="0" w:bottom="851"/>
          <w:pgNumType w:fmt="decimal"/>
          <w:formProt w:val="false"/>
          <w:titlePg/>
          <w:textDirection w:val="lrTb"/>
          <w:docGrid w:type="default" w:linePitch="381" w:charSpace="0"/>
        </w:sectPr>
      </w:pPr>
    </w:p>
    <w:p>
      <w:pPr>
        <w:pStyle w:val="Normal"/>
        <w:jc w:val="both"/>
        <w:rPr>
          <w:b/>
          <w:i/>
          <w:i/>
          <w:sz w:val="24"/>
          <w:szCs w:val="24"/>
        </w:rPr>
      </w:pPr>
      <w:r>
        <w:rPr>
          <w:b/>
          <w:i/>
          <w:sz w:val="24"/>
          <w:szCs w:val="24"/>
        </w:rPr>
      </w:r>
      <w:bookmarkStart w:id="57" w:name="_Toc51339699"/>
      <w:bookmarkStart w:id="58" w:name="_Toc46743519"/>
      <w:bookmarkStart w:id="59" w:name="_Toc51339699"/>
      <w:bookmarkStart w:id="60" w:name="_Toc46743519"/>
      <w:bookmarkEnd w:id="59"/>
      <w:bookmarkEnd w:id="60"/>
    </w:p>
    <w:p>
      <w:pPr>
        <w:pStyle w:val="Heading1"/>
        <w:numPr>
          <w:ilvl w:val="0"/>
          <w:numId w:val="3"/>
        </w:numPr>
        <w:ind w:left="0" w:hanging="0"/>
        <w:jc w:val="center"/>
        <w:rPr>
          <w:b/>
          <w:sz w:val="24"/>
        </w:rPr>
      </w:pPr>
      <w:bookmarkStart w:id="61" w:name="__RefHeading___Toc2703_4038638555"/>
      <w:bookmarkEnd w:id="61"/>
      <w:r>
        <w:rPr>
          <w:b/>
          <w:sz w:val="24"/>
        </w:rPr>
        <w:t>Требования к документации по ценообразованию на этапе закупки</w:t>
      </w:r>
    </w:p>
    <w:p>
      <w:pPr>
        <w:pStyle w:val="Normal"/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t>3.1</w:t>
        <w:tab/>
        <w:t>По результатам настоящей закупки заключается договор с ценой, указанной в заявке Участника, с которым принято решение заключить договор. В обоснование стоимости своей заявки Исполнитель предоставляет коммерческое предложение, приведенное в документации о закупке.</w:t>
      </w:r>
    </w:p>
    <w:p>
      <w:pPr>
        <w:pStyle w:val="Normal"/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t>3.2</w:t>
        <w:tab/>
        <w:t>Дополнительные документы по ценообразованию (сметная документация) в состав заявки Исполнителя не включаются.</w:t>
      </w:r>
    </w:p>
    <w:p>
      <w:pPr>
        <w:pStyle w:val="Heading1"/>
        <w:numPr>
          <w:ilvl w:val="0"/>
          <w:numId w:val="0"/>
        </w:numPr>
        <w:ind w:left="0" w:hanging="0"/>
        <w:rPr>
          <w:b/>
          <w:sz w:val="24"/>
        </w:rPr>
      </w:pPr>
      <w:r>
        <w:rPr>
          <w:b/>
          <w:sz w:val="24"/>
        </w:rPr>
      </w:r>
    </w:p>
    <w:p>
      <w:pPr>
        <w:pStyle w:val="Normal"/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</w:r>
    </w:p>
    <w:p>
      <w:pPr>
        <w:pStyle w:val="Normal"/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</w:r>
    </w:p>
    <w:p>
      <w:pPr>
        <w:pStyle w:val="Heading1"/>
        <w:tabs>
          <w:tab w:val="clear" w:pos="0"/>
        </w:tabs>
        <w:ind w:hanging="0"/>
        <w:rPr>
          <w:rFonts w:eastAsia="Times New Roman"/>
          <w:iCs/>
          <w:caps/>
          <w:lang w:val="ru-RU" w:eastAsia="ru-RU"/>
        </w:rPr>
      </w:pPr>
      <w:r>
        <w:rPr>
          <w:rFonts w:eastAsia="Times New Roman"/>
          <w:iCs/>
          <w:caps/>
          <w:lang w:val="ru-RU" w:eastAsia="ru-RU"/>
        </w:rPr>
      </w:r>
      <w:bookmarkStart w:id="62" w:name="_Toc132099807"/>
      <w:bookmarkStart w:id="63" w:name="_Toc132099807"/>
      <w:bookmarkEnd w:id="63"/>
    </w:p>
    <w:p>
      <w:pPr>
        <w:pStyle w:val="Heading1"/>
        <w:tabs>
          <w:tab w:val="clear" w:pos="0"/>
        </w:tabs>
        <w:ind w:hanging="0"/>
        <w:rPr>
          <w:rFonts w:eastAsia="Times New Roman"/>
          <w:iCs/>
          <w:caps/>
          <w:lang w:val="ru-RU" w:eastAsia="ru-RU"/>
        </w:rPr>
      </w:pPr>
      <w:r>
        <w:rPr>
          <w:rFonts w:eastAsia="Times New Roman"/>
          <w:iCs/>
          <w:caps/>
          <w:lang w:val="ru-RU" w:eastAsia="ru-RU"/>
        </w:rPr>
      </w:r>
    </w:p>
    <w:p>
      <w:pPr>
        <w:pStyle w:val="Heading1"/>
        <w:tabs>
          <w:tab w:val="clear" w:pos="0"/>
        </w:tabs>
        <w:ind w:hanging="0"/>
        <w:rPr>
          <w:rFonts w:eastAsia="Times New Roman"/>
          <w:iCs/>
          <w:caps/>
          <w:lang w:val="ru-RU" w:eastAsia="ru-RU"/>
        </w:rPr>
      </w:pPr>
      <w:r>
        <w:rPr>
          <w:rFonts w:eastAsia="Times New Roman"/>
          <w:iCs/>
          <w:caps/>
          <w:lang w:val="ru-RU" w:eastAsia="ru-RU"/>
        </w:rPr>
      </w:r>
    </w:p>
    <w:p>
      <w:pPr>
        <w:pStyle w:val="Heading1"/>
        <w:tabs>
          <w:tab w:val="clear" w:pos="0"/>
        </w:tabs>
        <w:ind w:hanging="0"/>
        <w:rPr>
          <w:rFonts w:eastAsia="Times New Roman"/>
          <w:iCs/>
          <w:caps/>
          <w:lang w:val="ru-RU" w:eastAsia="ru-RU"/>
        </w:rPr>
      </w:pPr>
      <w:r>
        <w:rPr>
          <w:rFonts w:eastAsia="Times New Roman"/>
          <w:iCs/>
          <w:caps/>
          <w:lang w:val="ru-RU" w:eastAsia="ru-RU"/>
        </w:rPr>
      </w:r>
    </w:p>
    <w:p>
      <w:pPr>
        <w:pStyle w:val="Heading1"/>
        <w:tabs>
          <w:tab w:val="clear" w:pos="0"/>
        </w:tabs>
        <w:ind w:hanging="0"/>
        <w:rPr>
          <w:rFonts w:eastAsia="Times New Roman"/>
          <w:iCs/>
          <w:caps/>
          <w:lang w:val="ru-RU" w:eastAsia="ru-RU"/>
        </w:rPr>
      </w:pPr>
      <w:r>
        <w:rPr>
          <w:rFonts w:eastAsia="Times New Roman"/>
          <w:iCs/>
          <w:caps/>
          <w:lang w:val="ru-RU" w:eastAsia="ru-RU"/>
        </w:rPr>
      </w:r>
    </w:p>
    <w:p>
      <w:pPr>
        <w:pStyle w:val="Heading1"/>
        <w:tabs>
          <w:tab w:val="clear" w:pos="0"/>
        </w:tabs>
        <w:ind w:hanging="0"/>
        <w:rPr>
          <w:rFonts w:eastAsia="Times New Roman"/>
          <w:iCs/>
          <w:caps/>
          <w:lang w:val="ru-RU" w:eastAsia="ru-RU"/>
        </w:rPr>
      </w:pPr>
      <w:r>
        <w:rPr>
          <w:rFonts w:eastAsia="Times New Roman"/>
          <w:iCs/>
          <w:caps/>
          <w:lang w:val="ru-RU" w:eastAsia="ru-RU"/>
        </w:rPr>
      </w:r>
    </w:p>
    <w:p>
      <w:pPr>
        <w:pStyle w:val="Heading1"/>
        <w:tabs>
          <w:tab w:val="clear" w:pos="0"/>
        </w:tabs>
        <w:ind w:hanging="0"/>
        <w:rPr>
          <w:rFonts w:eastAsia="Times New Roman"/>
          <w:iCs/>
          <w:caps/>
          <w:lang w:val="ru-RU" w:eastAsia="ru-RU"/>
        </w:rPr>
      </w:pPr>
      <w:r>
        <w:rPr>
          <w:rFonts w:eastAsia="Times New Roman"/>
          <w:iCs/>
          <w:caps/>
          <w:lang w:val="ru-RU" w:eastAsia="ru-RU"/>
        </w:rPr>
      </w:r>
    </w:p>
    <w:p>
      <w:pPr>
        <w:pStyle w:val="Heading1"/>
        <w:tabs>
          <w:tab w:val="clear" w:pos="0"/>
        </w:tabs>
        <w:ind w:hanging="0"/>
        <w:rPr>
          <w:rFonts w:eastAsia="Times New Roman"/>
          <w:iCs/>
          <w:caps/>
          <w:lang w:val="ru-RU" w:eastAsia="ru-RU"/>
        </w:rPr>
      </w:pPr>
      <w:r>
        <w:rPr>
          <w:rFonts w:eastAsia="Times New Roman"/>
          <w:iCs/>
          <w:caps/>
          <w:lang w:val="ru-RU" w:eastAsia="ru-RU"/>
        </w:rPr>
      </w:r>
    </w:p>
    <w:p>
      <w:pPr>
        <w:pStyle w:val="Heading1"/>
        <w:tabs>
          <w:tab w:val="clear" w:pos="0"/>
        </w:tabs>
        <w:ind w:hanging="0"/>
        <w:rPr>
          <w:rFonts w:eastAsia="Times New Roman"/>
          <w:iCs/>
          <w:caps/>
          <w:lang w:val="ru-RU" w:eastAsia="ru-RU"/>
        </w:rPr>
      </w:pPr>
      <w:r>
        <w:rPr>
          <w:rFonts w:eastAsia="Times New Roman"/>
          <w:iCs/>
          <w:caps/>
          <w:lang w:val="ru-RU" w:eastAsia="ru-RU"/>
        </w:rPr>
      </w:r>
    </w:p>
    <w:p>
      <w:pPr>
        <w:pStyle w:val="Heading1"/>
        <w:tabs>
          <w:tab w:val="clear" w:pos="0"/>
        </w:tabs>
        <w:ind w:hanging="0"/>
        <w:rPr>
          <w:rFonts w:eastAsia="Times New Roman"/>
          <w:iCs/>
          <w:caps/>
          <w:lang w:val="ru-RU" w:eastAsia="ru-RU"/>
        </w:rPr>
      </w:pPr>
      <w:r>
        <w:rPr>
          <w:rFonts w:eastAsia="Times New Roman"/>
          <w:iCs/>
          <w:caps/>
          <w:lang w:val="ru-RU" w:eastAsia="ru-RU"/>
        </w:rPr>
      </w:r>
    </w:p>
    <w:p>
      <w:pPr>
        <w:pStyle w:val="Heading1"/>
        <w:tabs>
          <w:tab w:val="clear" w:pos="0"/>
        </w:tabs>
        <w:ind w:hanging="0"/>
        <w:rPr>
          <w:rFonts w:eastAsia="Times New Roman"/>
          <w:iCs/>
          <w:caps/>
          <w:lang w:val="ru-RU" w:eastAsia="ru-RU"/>
        </w:rPr>
      </w:pPr>
      <w:r>
        <w:rPr>
          <w:rFonts w:eastAsia="Times New Roman"/>
          <w:iCs/>
          <w:caps/>
          <w:lang w:val="ru-RU" w:eastAsia="ru-RU"/>
        </w:rPr>
      </w:r>
    </w:p>
    <w:p>
      <w:pPr>
        <w:pStyle w:val="Heading1"/>
        <w:tabs>
          <w:tab w:val="clear" w:pos="0"/>
        </w:tabs>
        <w:ind w:hanging="0"/>
        <w:rPr>
          <w:rFonts w:eastAsia="Times New Roman"/>
          <w:iCs/>
          <w:caps/>
          <w:lang w:val="ru-RU" w:eastAsia="ru-RU"/>
        </w:rPr>
      </w:pPr>
      <w:r>
        <w:rPr>
          <w:rFonts w:eastAsia="Times New Roman"/>
          <w:iCs/>
          <w:caps/>
          <w:lang w:val="ru-RU" w:eastAsia="ru-RU"/>
        </w:rPr>
      </w:r>
    </w:p>
    <w:p>
      <w:pPr>
        <w:pStyle w:val="Heading1"/>
        <w:tabs>
          <w:tab w:val="clear" w:pos="0"/>
        </w:tabs>
        <w:ind w:hanging="0"/>
        <w:rPr>
          <w:rFonts w:eastAsia="Times New Roman"/>
          <w:iCs/>
          <w:caps/>
          <w:lang w:val="ru-RU" w:eastAsia="ru-RU"/>
        </w:rPr>
      </w:pPr>
      <w:r>
        <w:rPr>
          <w:rFonts w:eastAsia="Times New Roman"/>
          <w:iCs/>
          <w:caps/>
          <w:lang w:val="ru-RU" w:eastAsia="ru-RU"/>
        </w:rPr>
      </w:r>
    </w:p>
    <w:p>
      <w:pPr>
        <w:pStyle w:val="Heading1"/>
        <w:tabs>
          <w:tab w:val="clear" w:pos="0"/>
        </w:tabs>
        <w:ind w:hanging="0"/>
        <w:rPr>
          <w:rFonts w:eastAsia="Times New Roman"/>
          <w:iCs/>
          <w:caps/>
          <w:lang w:val="ru-RU" w:eastAsia="ru-RU"/>
        </w:rPr>
      </w:pPr>
      <w:r>
        <w:rPr>
          <w:rFonts w:eastAsia="Times New Roman"/>
          <w:iCs/>
          <w:caps/>
          <w:lang w:val="ru-RU" w:eastAsia="ru-RU"/>
        </w:rPr>
      </w:r>
    </w:p>
    <w:p>
      <w:pPr>
        <w:pStyle w:val="Heading1"/>
        <w:tabs>
          <w:tab w:val="clear" w:pos="0"/>
        </w:tabs>
        <w:ind w:hanging="0"/>
        <w:rPr>
          <w:rFonts w:eastAsia="Times New Roman"/>
          <w:iCs/>
          <w:caps/>
          <w:lang w:val="ru-RU" w:eastAsia="ru-RU"/>
        </w:rPr>
      </w:pPr>
      <w:r>
        <w:rPr>
          <w:rFonts w:eastAsia="Times New Roman"/>
          <w:iCs/>
          <w:caps/>
          <w:lang w:val="ru-RU" w:eastAsia="ru-RU"/>
        </w:rPr>
      </w:r>
    </w:p>
    <w:p>
      <w:pPr>
        <w:pStyle w:val="Normal"/>
        <w:tabs>
          <w:tab w:val="clear" w:pos="720"/>
        </w:tabs>
        <w:ind w:hanging="0"/>
        <w:rPr>
          <w:rFonts w:eastAsia="Times New Roman"/>
          <w:iCs/>
          <w:caps/>
          <w:lang w:val="ru-RU" w:eastAsia="ru-RU"/>
        </w:rPr>
      </w:pPr>
      <w:r>
        <w:rPr>
          <w:rFonts w:eastAsia="Times New Roman"/>
          <w:iCs/>
          <w:caps/>
          <w:lang w:val="ru-RU" w:eastAsia="ru-RU"/>
        </w:rPr>
      </w:r>
    </w:p>
    <w:p>
      <w:pPr>
        <w:pStyle w:val="Normal"/>
        <w:tabs>
          <w:tab w:val="clear" w:pos="720"/>
        </w:tabs>
        <w:ind w:hanging="0"/>
        <w:rPr>
          <w:rFonts w:eastAsia="Times New Roman"/>
          <w:iCs/>
          <w:caps/>
          <w:lang w:val="ru-RU" w:eastAsia="ru-RU"/>
        </w:rPr>
      </w:pPr>
      <w:r>
        <w:rPr>
          <w:rFonts w:eastAsia="Times New Roman"/>
          <w:iCs/>
          <w:caps/>
          <w:lang w:val="ru-RU" w:eastAsia="ru-RU"/>
        </w:rPr>
      </w:r>
    </w:p>
    <w:p>
      <w:pPr>
        <w:pStyle w:val="Normal"/>
        <w:tabs>
          <w:tab w:val="clear" w:pos="720"/>
        </w:tabs>
        <w:ind w:hanging="0"/>
        <w:rPr>
          <w:rFonts w:eastAsia="Times New Roman"/>
          <w:iCs/>
          <w:caps/>
          <w:lang w:val="ru-RU" w:eastAsia="ru-RU"/>
        </w:rPr>
      </w:pPr>
      <w:r>
        <w:rPr>
          <w:rFonts w:eastAsia="Times New Roman"/>
          <w:iCs/>
          <w:caps/>
          <w:lang w:val="ru-RU" w:eastAsia="ru-RU"/>
        </w:rPr>
      </w:r>
    </w:p>
    <w:p>
      <w:pPr>
        <w:pStyle w:val="Normal"/>
        <w:tabs>
          <w:tab w:val="clear" w:pos="720"/>
        </w:tabs>
        <w:ind w:hanging="0"/>
        <w:rPr>
          <w:rFonts w:eastAsia="Times New Roman"/>
          <w:iCs/>
          <w:caps/>
          <w:lang w:val="ru-RU" w:eastAsia="ru-RU"/>
        </w:rPr>
      </w:pPr>
      <w:r>
        <w:rPr>
          <w:rFonts w:eastAsia="Times New Roman"/>
          <w:iCs/>
          <w:caps/>
          <w:lang w:val="ru-RU" w:eastAsia="ru-RU"/>
        </w:rPr>
      </w:r>
    </w:p>
    <w:p>
      <w:pPr>
        <w:pStyle w:val="Normal"/>
        <w:tabs>
          <w:tab w:val="clear" w:pos="720"/>
        </w:tabs>
        <w:ind w:hanging="0"/>
        <w:rPr>
          <w:rFonts w:eastAsia="Times New Roman"/>
          <w:iCs/>
          <w:caps/>
          <w:lang w:val="ru-RU" w:eastAsia="ru-RU"/>
        </w:rPr>
      </w:pPr>
      <w:r>
        <w:rPr>
          <w:rFonts w:eastAsia="Times New Roman"/>
          <w:iCs/>
          <w:caps/>
          <w:lang w:val="ru-RU" w:eastAsia="ru-RU"/>
        </w:rPr>
      </w:r>
    </w:p>
    <w:p>
      <w:pPr>
        <w:pStyle w:val="Normal"/>
        <w:tabs>
          <w:tab w:val="clear" w:pos="720"/>
        </w:tabs>
        <w:ind w:hanging="0"/>
        <w:rPr>
          <w:rFonts w:eastAsia="Times New Roman"/>
          <w:iCs/>
          <w:caps/>
          <w:lang w:val="ru-RU" w:eastAsia="ru-RU"/>
        </w:rPr>
      </w:pPr>
      <w:r>
        <w:rPr>
          <w:rFonts w:eastAsia="Times New Roman"/>
          <w:iCs/>
          <w:caps/>
          <w:lang w:val="ru-RU" w:eastAsia="ru-RU"/>
        </w:rPr>
      </w:r>
    </w:p>
    <w:p>
      <w:pPr>
        <w:pStyle w:val="Normal"/>
        <w:tabs>
          <w:tab w:val="clear" w:pos="720"/>
        </w:tabs>
        <w:ind w:hanging="0"/>
        <w:rPr>
          <w:rFonts w:eastAsia="Times New Roman"/>
          <w:iCs/>
          <w:caps/>
          <w:lang w:val="ru-RU" w:eastAsia="ru-RU"/>
        </w:rPr>
      </w:pPr>
      <w:r>
        <w:rPr>
          <w:rFonts w:eastAsia="Times New Roman"/>
          <w:iCs/>
          <w:caps/>
          <w:lang w:val="ru-RU" w:eastAsia="ru-RU"/>
        </w:rPr>
      </w:r>
    </w:p>
    <w:p>
      <w:pPr>
        <w:pStyle w:val="Heading1"/>
        <w:tabs>
          <w:tab w:val="clear" w:pos="0"/>
        </w:tabs>
        <w:ind w:left="5038" w:hanging="0"/>
        <w:rPr>
          <w:caps/>
          <w:sz w:val="24"/>
          <w:lang w:val="ru-RU"/>
        </w:rPr>
      </w:pPr>
      <w:r>
        <w:rPr>
          <w:caps/>
          <w:sz w:val="24"/>
          <w:lang w:val="ru-RU"/>
        </w:rPr>
      </w:r>
      <w:bookmarkStart w:id="64" w:name="_Toc51339699_Копия_1"/>
      <w:bookmarkStart w:id="65" w:name="_Toc46743519_Копия_1"/>
      <w:bookmarkStart w:id="66" w:name="_Toc132099807_Копия_1"/>
      <w:bookmarkStart w:id="67" w:name="_Toc51339699_Копия_1"/>
      <w:bookmarkStart w:id="68" w:name="_Toc46743519_Копия_1"/>
      <w:bookmarkStart w:id="69" w:name="_Toc132099807_Копия_1"/>
      <w:bookmarkEnd w:id="67"/>
      <w:bookmarkEnd w:id="68"/>
      <w:bookmarkEnd w:id="69"/>
    </w:p>
    <w:p>
      <w:pPr>
        <w:pStyle w:val="Normal"/>
        <w:rPr>
          <w:lang w:eastAsia="x-none"/>
        </w:rPr>
      </w:pPr>
      <w:r>
        <w:rPr>
          <w:lang w:eastAsia="x-none"/>
        </w:rPr>
      </w:r>
    </w:p>
    <w:p>
      <w:pPr>
        <w:pStyle w:val="Normal"/>
        <w:rPr>
          <w:lang w:eastAsia="x-none"/>
        </w:rPr>
      </w:pPr>
      <w:r>
        <w:rPr>
          <w:lang w:eastAsia="x-none"/>
        </w:rPr>
      </w:r>
    </w:p>
    <w:p>
      <w:pPr>
        <w:pStyle w:val="Normal"/>
        <w:rPr>
          <w:lang w:eastAsia="x-none"/>
        </w:rPr>
      </w:pPr>
      <w:r>
        <w:rPr>
          <w:lang w:eastAsia="x-none"/>
        </w:rPr>
      </w:r>
    </w:p>
    <w:p>
      <w:pPr>
        <w:pStyle w:val="Normal"/>
        <w:rPr>
          <w:lang w:eastAsia="x-none"/>
        </w:rPr>
      </w:pPr>
      <w:r>
        <w:rPr>
          <w:lang w:eastAsia="x-none"/>
        </w:rPr>
      </w:r>
    </w:p>
    <w:p>
      <w:pPr>
        <w:pStyle w:val="Normal"/>
        <w:rPr>
          <w:lang w:eastAsia="x-none"/>
        </w:rPr>
      </w:pPr>
      <w:r>
        <w:rPr>
          <w:lang w:eastAsia="x-none"/>
        </w:rPr>
      </w:r>
    </w:p>
    <w:p>
      <w:pPr>
        <w:pStyle w:val="Heading1"/>
        <w:numPr>
          <w:ilvl w:val="0"/>
          <w:numId w:val="3"/>
        </w:numPr>
        <w:ind w:left="0" w:firstLine="63"/>
        <w:rPr>
          <w:b/>
          <w:bCs/>
        </w:rPr>
      </w:pPr>
      <w:bookmarkStart w:id="70" w:name="__RefHeading___Toc2707_4038638555"/>
      <w:bookmarkStart w:id="71" w:name="_Toc134194240"/>
      <w:bookmarkEnd w:id="70"/>
      <w:r>
        <w:rPr>
          <w:b/>
          <w:bCs/>
          <w:sz w:val="24"/>
        </w:rPr>
        <w:t>Приложения</w:t>
      </w:r>
      <w:r>
        <w:rPr>
          <w:b/>
          <w:bCs/>
          <w:sz w:val="24"/>
          <w:lang w:val="ru-RU"/>
        </w:rPr>
        <w:t>:</w:t>
      </w:r>
      <w:bookmarkEnd w:id="71"/>
    </w:p>
    <w:p>
      <w:pPr>
        <w:pStyle w:val="Normal"/>
        <w:tabs>
          <w:tab w:val="clear" w:pos="720"/>
          <w:tab w:val="left" w:pos="567" w:leader="none"/>
        </w:tabs>
        <w:jc w:val="both"/>
        <w:rPr>
          <w:sz w:val="24"/>
        </w:rPr>
      </w:pPr>
      <w:r>
        <w:rPr>
          <w:sz w:val="24"/>
          <w:szCs w:val="20"/>
        </w:rPr>
        <w:t xml:space="preserve">Приложение №1 </w:t>
      </w:r>
      <w:r>
        <w:rPr>
          <w:rFonts w:eastAsia="Times New Roman" w:cs="Times New Roman"/>
          <w:bCs/>
          <w:iCs/>
          <w:kern w:val="0"/>
          <w:sz w:val="24"/>
          <w:szCs w:val="24"/>
          <w:lang w:val="ru-RU" w:eastAsia="ru-RU" w:bidi="ar-SA"/>
        </w:rPr>
        <w:t>Инструкция о мерах пожарной безопасности в здании Рыбинской ГЭС филиала ПАО «РусГидро»-«Каскад Верхневолжских ГЭС»</w:t>
      </w:r>
      <w:r>
        <w:rPr>
          <w:sz w:val="24"/>
        </w:rPr>
        <w:t>;</w:t>
      </w:r>
    </w:p>
    <w:p>
      <w:pPr>
        <w:pStyle w:val="Normal"/>
        <w:tabs>
          <w:tab w:val="clear" w:pos="720"/>
          <w:tab w:val="left" w:pos="7500" w:leader="none"/>
        </w:tabs>
        <w:jc w:val="both"/>
        <w:rPr>
          <w:sz w:val="24"/>
        </w:rPr>
      </w:pPr>
      <w:r>
        <w:rPr>
          <w:bCs/>
          <w:sz w:val="24"/>
          <w:szCs w:val="20"/>
        </w:rPr>
        <w:t xml:space="preserve">Приложение №2 </w:t>
      </w:r>
      <w:r>
        <w:rPr>
          <w:rFonts w:eastAsia="Times New Roman" w:cs="Times New Roman"/>
          <w:bCs/>
          <w:iCs/>
          <w:kern w:val="0"/>
          <w:sz w:val="24"/>
          <w:szCs w:val="24"/>
          <w:lang w:val="ru-RU" w:eastAsia="ru-RU" w:bidi="ar-SA"/>
        </w:rPr>
        <w:t>Инструкция о мерах пожарной безопасности в здании Угличской ГЭС филиала ПАО «РусГидро»-«Каскад Верхневолжских ГЭС»</w:t>
      </w:r>
      <w:r>
        <w:rPr>
          <w:bCs/>
          <w:sz w:val="24"/>
          <w:szCs w:val="20"/>
        </w:rPr>
        <w:t>;</w:t>
      </w:r>
    </w:p>
    <w:p>
      <w:pPr>
        <w:pStyle w:val="Normal"/>
        <w:tabs>
          <w:tab w:val="clear" w:pos="720"/>
          <w:tab w:val="left" w:pos="567" w:leader="none"/>
        </w:tabs>
        <w:jc w:val="both"/>
        <w:rPr>
          <w:bCs/>
          <w:sz w:val="24"/>
          <w:szCs w:val="20"/>
        </w:rPr>
      </w:pPr>
      <w:r>
        <w:rPr>
          <w:bCs/>
          <w:sz w:val="24"/>
          <w:szCs w:val="20"/>
        </w:rPr>
        <w:t>Приложение №3 Р</w:t>
      </w:r>
      <w:r>
        <w:rPr>
          <w:rFonts w:eastAsia="Times New Roman" w:cs="Times New Roman"/>
          <w:bCs/>
          <w:kern w:val="0"/>
          <w:sz w:val="24"/>
          <w:szCs w:val="24"/>
          <w:lang w:val="ru-RU" w:eastAsia="ru-RU" w:bidi="ar-SA"/>
        </w:rPr>
        <w:t>егламент процесса «Допуск персонала подрядных организаций на объекты ПАО «РусГидро» в соответствии с приказом ПАО РусГидро от 28.04.2023 №300</w:t>
      </w:r>
      <w:r>
        <w:rPr>
          <w:sz w:val="24"/>
        </w:rPr>
        <w:t>;</w:t>
      </w:r>
    </w:p>
    <w:p>
      <w:pPr>
        <w:pStyle w:val="Normal"/>
        <w:tabs>
          <w:tab w:val="clear" w:pos="720"/>
          <w:tab w:val="left" w:pos="567" w:leader="none"/>
        </w:tabs>
        <w:jc w:val="both"/>
        <w:rPr>
          <w:sz w:val="24"/>
        </w:rPr>
      </w:pPr>
      <w:r>
        <w:rPr>
          <w:bCs/>
          <w:sz w:val="24"/>
          <w:szCs w:val="20"/>
          <w:shd w:fill="auto" w:val="clear"/>
        </w:rPr>
        <w:t>Приложение №4</w:t>
      </w:r>
      <w:r>
        <w:rPr>
          <w:bCs/>
          <w:sz w:val="24"/>
          <w:szCs w:val="20"/>
        </w:rPr>
        <w:t xml:space="preserve"> Положение о пропускном и внутриобъектовом режимах филиала ПАО «РусГидро» - «Каскад Верхневолжских ГЭС».</w:t>
      </w:r>
      <w:r>
        <w:rPr>
          <w:sz w:val="24"/>
        </w:rPr>
        <w:t xml:space="preserve"> </w:t>
      </w:r>
    </w:p>
    <w:p>
      <w:pPr>
        <w:pStyle w:val="Normal"/>
        <w:tabs>
          <w:tab w:val="clear" w:pos="720"/>
          <w:tab w:val="left" w:pos="567" w:leader="none"/>
        </w:tabs>
        <w:jc w:val="both"/>
        <w:rPr>
          <w:sz w:val="24"/>
          <w:szCs w:val="20"/>
        </w:rPr>
      </w:pPr>
      <w:r>
        <w:rPr/>
      </w:r>
    </w:p>
    <w:sectPr>
      <w:headerReference w:type="default" r:id="rId7"/>
      <w:headerReference w:type="first" r:id="rId8"/>
      <w:type w:val="nextPage"/>
      <w:pgSz w:w="11906" w:h="16838"/>
      <w:pgMar w:left="1134" w:right="851" w:gutter="0" w:header="680" w:top="1134" w:footer="0" w:bottom="992"/>
      <w:pgNumType w:fmt="decimal"/>
      <w:formProt w:val="false"/>
      <w:titlePg/>
      <w:textDirection w:val="lrTb"/>
      <w:docGrid w:type="default" w:linePitch="381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Cambria">
    <w:charset w:val="01"/>
    <w:family w:val="roman"/>
    <w:pitch w:val="variable"/>
  </w:font>
  <w:font w:name="Arial">
    <w:charset w:val="01"/>
    <w:family w:val="roman"/>
    <w:pitch w:val="variable"/>
  </w:font>
  <w:font w:name="Calibri">
    <w:charset w:val="01"/>
    <w:family w:val="roman"/>
    <w:pitch w:val="variable"/>
  </w:font>
  <w:font w:name="Courier New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ahoma">
    <w:charset w:val="01"/>
    <w:family w:val="roman"/>
    <w:pitch w:val="variable"/>
  </w:font>
  <w:font w:name="Arial Unicode MS">
    <w:charset w:val="01"/>
    <w:family w:val="roman"/>
    <w:pitch w:val="variable"/>
  </w:font>
  <w:font w:name="Verdana">
    <w:charset w:val="01"/>
    <w:family w:val="roman"/>
    <w:pitch w:val="variable"/>
  </w:font>
  <w:font w:name="Garamond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mc:AlternateContent>
        <mc:Choice Requires="wps">
          <w:drawing>
            <wp:anchor behindDoc="0" distT="0" distB="0" distL="0" distR="0" simplePos="0" locked="0" layoutInCell="0" allowOverlap="1" relativeHeight="2" wp14:anchorId="4A5E3A03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1" path="m0,0l-2147483645,0l-2147483645,-2147483646l0,-2147483646xe" stroked="f" o:allowincell="f" style="position:absolute;margin-left:0pt;margin-top:0.05pt;width:1.1pt;height:1.1pt;mso-wrap-style:square;v-text-anchor:top;mso-position-horizontal:center;mso-position-horizontal-relative:margin" wp14:anchorId="4A5E3A03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5</w:t>
    </w:r>
    <w:r>
      <w:rPr/>
      <w:fldChar w:fldCharType="end"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13</w:t>
    </w:r>
    <w:r>
      <w:rPr/>
      <w:fldChar w:fldCharType="end"/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15</w:t>
    </w:r>
    <w:r>
      <w:rPr/>
      <w:fldChar w:fldCharType="end"/>
    </w:r>
  </w:p>
</w:hdr>
</file>

<file path=word/header7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357"/>
        </w:tabs>
        <w:ind w:left="0" w:hanging="0"/>
      </w:pPr>
      <w:rPr/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hanging="0"/>
      </w:pPr>
      <w:rPr/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hanging="0"/>
      </w:pPr>
      <w:rPr/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hanging="0"/>
      </w:pPr>
      <w:rPr/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hanging="0"/>
      </w:pPr>
      <w:rPr/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hanging="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hanging="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hanging="0"/>
      </w:pPr>
      <w:rPr/>
    </w:lvl>
  </w:abstractNum>
  <w:abstractNum w:abstractNumId="2">
    <w:lvl w:ilvl="0">
      <w:start w:val="4"/>
      <w:numFmt w:val="bullet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4"/>
        <w:sz w:val="24"/>
        <w:spacing w:val="0"/>
        <w:i w:val="false"/>
        <w:u w:val="none"/>
        <w:b/>
        <w:kern w:val="0"/>
        <w:effect w:val="none"/>
        <w:szCs w:val="24"/>
        <w:iCs w:val="false"/>
        <w:bCs w:val="false"/>
        <w:em w:val="none"/>
        <w:vanish w:val="false"/>
        <w:rFonts w:ascii="Times New Roman" w:hAnsi="Times New Roman" w:cs="Times New Roman"/>
        <w:color w:val="000000"/>
        <w:lang w:val="ru-RU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sz w:val="24"/>
        <w:i w:val="false"/>
        <w:b w:val="false"/>
        <w:szCs w:val="24"/>
        <w:iCs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  <w:rPr/>
    </w:lvl>
    <w:lvl w:ilvl="3">
      <w:start w:val="1"/>
      <w:numFmt w:val="russianLower"/>
      <w:lvlText w:val="(%4)"/>
      <w:lvlJc w:val="left"/>
      <w:pPr>
        <w:tabs>
          <w:tab w:val="num" w:pos="0"/>
        </w:tabs>
        <w:ind w:left="1985" w:hanging="567"/>
      </w:pPr>
      <w:rPr/>
    </w:lvl>
    <w:lvl w:ilvl="4">
      <w:start w:val="1"/>
      <w:numFmt w:val="bullet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701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</w:abstractNum>
  <w:abstractNum w:abstractNumId="5">
    <w:lvl w:ilvl="0">
      <w:start w:val="1"/>
      <w:numFmt w:val="decimal"/>
      <w:lvlText w:val="1.%1"/>
      <w:lvlJc w:val="left"/>
      <w:pPr>
        <w:tabs>
          <w:tab w:val="num" w:pos="0"/>
        </w:tabs>
        <w:ind w:left="1429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  <w:rPr/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sz w:val="24"/>
        <w:b/>
        <w:szCs w:val="24"/>
        <w:bCs w:val="fals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sz w:val="24"/>
        <w:b w:val="false"/>
        <w:szCs w:val="24"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72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7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8">
    <w:lvl w:ilvl="0">
      <w:start w:val="1"/>
      <w:numFmt w:val="bullet"/>
      <w:lvlText w:val=""/>
      <w:lvlJc w:val="left"/>
      <w:pPr>
        <w:tabs>
          <w:tab w:val="num" w:pos="0"/>
        </w:tabs>
        <w:ind w:left="502" w:hanging="360"/>
      </w:pPr>
      <w:rPr>
        <w:rFonts w:ascii="Symbol" w:hAnsi="Symbol" w:cs="Symbol" w:hint="default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360" w:hanging="360"/>
      </w:pPr>
      <w:rPr>
        <w:rFonts w:ascii="Symbol" w:hAnsi="Symbol" w:cs="Symbol"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/>
    </w:lvl>
  </w:abstractNum>
  <w:abstractNum w:abstractNumId="9">
    <w:lvl w:ilvl="0">
      <w:numFmt w:val="bullet"/>
      <w:lvlText w:val="-"/>
      <w:lvlJc w:val="left"/>
      <w:pPr>
        <w:tabs>
          <w:tab w:val="num" w:pos="0"/>
        </w:tabs>
        <w:ind w:left="4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1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3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0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7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80" w:hanging="360"/>
      </w:pPr>
      <w:rPr>
        <w:rFonts w:ascii="Wingdings" w:hAnsi="Wingdings" w:cs="Wingdings" w:hint="default"/>
      </w:rPr>
    </w:lvl>
  </w:abstractNum>
  <w:abstractNum w:abstractNumId="10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zh-TW" w:bidi="ar-SA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99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uiPriority="99" w:semiHidden="1" w:unhideWhenUsed="1"/>
    <w:lsdException w:name="HTML Top of Form" w:semiHidden="1" w:unhideWhenUsed="1"/>
    <w:lsdException w:name="HTML Bottom of Form" w:semiHidden="1" w:unhideWhenUsed="1"/>
    <w:lsdException w:name="Normal (Web)" w:uiPriority="99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uiPriority="99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a2166f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8"/>
      <w:lang w:val="ru-RU" w:eastAsia="ru-RU" w:bidi="ar-SA"/>
    </w:rPr>
  </w:style>
  <w:style w:type="paragraph" w:styleId="Heading1">
    <w:name w:val="Heading 1"/>
    <w:basedOn w:val="Heading3"/>
    <w:next w:val="Normal"/>
    <w:link w:val="1"/>
    <w:qFormat/>
    <w:rsid w:val="00353a27"/>
    <w:pPr>
      <w:outlineLvl w:val="0"/>
    </w:pPr>
    <w:rPr>
      <w:sz w:val="28"/>
      <w:szCs w:val="28"/>
    </w:rPr>
  </w:style>
  <w:style w:type="paragraph" w:styleId="Heading2">
    <w:name w:val="Heading 2"/>
    <w:basedOn w:val="Heading4"/>
    <w:next w:val="Normal"/>
    <w:link w:val="2"/>
    <w:qFormat/>
    <w:rsid w:val="00ea61a8"/>
    <w:pPr>
      <w:outlineLvl w:val="1"/>
    </w:pPr>
    <w:rPr/>
  </w:style>
  <w:style w:type="paragraph" w:styleId="Heading3">
    <w:name w:val="Heading 3"/>
    <w:basedOn w:val="Normal"/>
    <w:next w:val="Normal"/>
    <w:link w:val="3"/>
    <w:autoRedefine/>
    <w:qFormat/>
    <w:rsid w:val="00e533a4"/>
    <w:pPr>
      <w:keepNext w:val="true"/>
      <w:tabs>
        <w:tab w:val="clear" w:pos="720"/>
        <w:tab w:val="left" w:pos="0" w:leader="none"/>
      </w:tabs>
      <w:spacing w:before="120" w:after="60"/>
      <w:ind w:firstLine="63"/>
      <w:outlineLvl w:val="2"/>
    </w:pPr>
    <w:rPr>
      <w:rFonts w:eastAsia="Calibri"/>
      <w:sz w:val="24"/>
      <w:szCs w:val="24"/>
      <w:lang w:val="x-none" w:eastAsia="x-none"/>
    </w:rPr>
  </w:style>
  <w:style w:type="paragraph" w:styleId="Heading4">
    <w:name w:val="Heading 4"/>
    <w:basedOn w:val="Heading3"/>
    <w:next w:val="Normal"/>
    <w:link w:val="4"/>
    <w:qFormat/>
    <w:rsid w:val="006629c9"/>
    <w:pPr>
      <w:outlineLvl w:val="3"/>
    </w:pPr>
    <w:rPr>
      <w:bCs/>
    </w:rPr>
  </w:style>
  <w:style w:type="paragraph" w:styleId="Heading5">
    <w:name w:val="Heading 5"/>
    <w:basedOn w:val="Normal"/>
    <w:next w:val="Normal"/>
    <w:link w:val="5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Heading6">
    <w:name w:val="Heading 6"/>
    <w:basedOn w:val="Normal"/>
    <w:next w:val="Normal"/>
    <w:link w:val="6"/>
    <w:uiPriority w:val="9"/>
    <w:qFormat/>
    <w:rsid w:val="00d22f6d"/>
    <w:pPr>
      <w:keepNext w:val="true"/>
      <w:keepLines/>
      <w:spacing w:before="200" w:after="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Heading7">
    <w:name w:val="Heading 7"/>
    <w:basedOn w:val="Normal"/>
    <w:next w:val="Normal"/>
    <w:link w:val="7"/>
    <w:uiPriority w:val="9"/>
    <w:qFormat/>
    <w:rsid w:val="00d22f6d"/>
    <w:pPr>
      <w:keepNext w:val="true"/>
      <w:keepLines/>
      <w:spacing w:before="200" w:after="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Heading8">
    <w:name w:val="Heading 8"/>
    <w:basedOn w:val="Normal"/>
    <w:next w:val="Normal"/>
    <w:link w:val="8"/>
    <w:uiPriority w:val="9"/>
    <w:qFormat/>
    <w:rsid w:val="00d22f6d"/>
    <w:pPr>
      <w:keepNext w:val="true"/>
      <w:keepLines/>
      <w:spacing w:before="200" w:after="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Heading9">
    <w:name w:val="Heading 9"/>
    <w:basedOn w:val="Normal"/>
    <w:next w:val="Normal"/>
    <w:link w:val="9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" w:customStyle="1">
    <w:name w:val="Символ сноски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FootnoteCharacters" w:customStyle="1">
    <w:name w:val="Footnote Characters"/>
    <w:qFormat/>
    <w:rsid w:val="00d561d9"/>
    <w:rPr>
      <w:vertAlign w:val="superscript"/>
    </w:rPr>
  </w:style>
  <w:style w:type="character" w:styleId="Pagenumber">
    <w:name w:val="page number"/>
    <w:basedOn w:val="DefaultParagraphFont"/>
    <w:qFormat/>
    <w:rsid w:val="006c2f3f"/>
    <w:rPr/>
  </w:style>
  <w:style w:type="character" w:styleId="Hyperlink">
    <w:name w:val="Hyperlink"/>
    <w:uiPriority w:val="99"/>
    <w:rsid w:val="006c2f3f"/>
    <w:rPr>
      <w:color w:val="0000FF"/>
      <w:u w:val="single"/>
    </w:rPr>
  </w:style>
  <w:style w:type="character" w:styleId="Annotationreference">
    <w:name w:val="annotation reference"/>
    <w:semiHidden/>
    <w:qFormat/>
    <w:rsid w:val="00b714b0"/>
    <w:rPr>
      <w:sz w:val="16"/>
      <w:szCs w:val="16"/>
    </w:rPr>
  </w:style>
  <w:style w:type="character" w:styleId="Strong1">
    <w:name w:val="Strong1"/>
    <w:uiPriority w:val="22"/>
    <w:qFormat/>
    <w:rsid w:val="00165965"/>
    <w:rPr>
      <w:b/>
      <w:bCs/>
    </w:rPr>
  </w:style>
  <w:style w:type="character" w:styleId="6" w:customStyle="1">
    <w:name w:val="Заголовок 6 Знак"/>
    <w:uiPriority w:val="9"/>
    <w:qFormat/>
    <w:rsid w:val="00d22f6d"/>
    <w:rPr>
      <w:rFonts w:ascii="Cambria" w:hAnsi="Cambria"/>
      <w:i/>
      <w:iCs/>
      <w:color w:val="243F60"/>
      <w:lang w:val="x-none" w:eastAsia="x-none"/>
    </w:rPr>
  </w:style>
  <w:style w:type="character" w:styleId="7" w:customStyle="1">
    <w:name w:val="Заголовок 7 Знак"/>
    <w:uiPriority w:val="9"/>
    <w:qFormat/>
    <w:rsid w:val="00d22f6d"/>
    <w:rPr>
      <w:rFonts w:ascii="Cambria" w:hAnsi="Cambria"/>
      <w:i/>
      <w:iCs/>
      <w:color w:val="404040"/>
      <w:lang w:val="x-none" w:eastAsia="x-none"/>
    </w:rPr>
  </w:style>
  <w:style w:type="character" w:styleId="8" w:customStyle="1">
    <w:name w:val="Заголовок 8 Знак"/>
    <w:uiPriority w:val="9"/>
    <w:qFormat/>
    <w:rsid w:val="00d22f6d"/>
    <w:rPr>
      <w:rFonts w:ascii="Cambria" w:hAnsi="Cambria"/>
      <w:color w:val="4F81BD"/>
      <w:lang w:val="x-none" w:eastAsia="x-none"/>
    </w:rPr>
  </w:style>
  <w:style w:type="character" w:styleId="1" w:customStyle="1">
    <w:name w:val="Заголовок 1 Знак"/>
    <w:qFormat/>
    <w:rsid w:val="00353a27"/>
    <w:rPr>
      <w:rFonts w:eastAsia="Calibri"/>
      <w:sz w:val="28"/>
      <w:szCs w:val="28"/>
      <w:lang w:val="x-none" w:eastAsia="x-none"/>
    </w:rPr>
  </w:style>
  <w:style w:type="character" w:styleId="2" w:customStyle="1">
    <w:name w:val="Заголовок 2 Знак"/>
    <w:qFormat/>
    <w:rsid w:val="00ea61a8"/>
    <w:rPr>
      <w:rFonts w:eastAsia="Calibri"/>
      <w:bCs/>
      <w:sz w:val="24"/>
      <w:szCs w:val="24"/>
      <w:lang w:val="x-none" w:eastAsia="x-none"/>
    </w:rPr>
  </w:style>
  <w:style w:type="character" w:styleId="3" w:customStyle="1">
    <w:name w:val="Заголовок 3 Знак"/>
    <w:qFormat/>
    <w:rsid w:val="00e533a4"/>
    <w:rPr>
      <w:rFonts w:eastAsia="Calibri"/>
      <w:sz w:val="24"/>
      <w:szCs w:val="24"/>
      <w:lang w:val="x-none" w:eastAsia="x-none"/>
    </w:rPr>
  </w:style>
  <w:style w:type="character" w:styleId="4" w:customStyle="1">
    <w:name w:val="Заголовок 4 Знак"/>
    <w:qFormat/>
    <w:rsid w:val="006629c9"/>
    <w:rPr>
      <w:rFonts w:eastAsia="Calibri"/>
      <w:bCs/>
      <w:sz w:val="24"/>
      <w:szCs w:val="24"/>
      <w:lang w:val="x-none" w:eastAsia="x-none"/>
    </w:rPr>
  </w:style>
  <w:style w:type="character" w:styleId="5" w:customStyle="1">
    <w:name w:val="Заголовок 5 Знак"/>
    <w:uiPriority w:val="9"/>
    <w:qFormat/>
    <w:rsid w:val="00d22f6d"/>
    <w:rPr>
      <w:b/>
      <w:bCs/>
      <w:i/>
      <w:iCs/>
      <w:sz w:val="26"/>
      <w:szCs w:val="26"/>
    </w:rPr>
  </w:style>
  <w:style w:type="character" w:styleId="9" w:customStyle="1">
    <w:name w:val="Заголовок 9 Знак"/>
    <w:uiPriority w:val="9"/>
    <w:qFormat/>
    <w:rsid w:val="00d22f6d"/>
    <w:rPr>
      <w:rFonts w:ascii="Arial" w:hAnsi="Arial" w:cs="Arial"/>
      <w:sz w:val="22"/>
      <w:szCs w:val="22"/>
    </w:rPr>
  </w:style>
  <w:style w:type="character" w:styleId="Style1" w:customStyle="1">
    <w:name w:val="Название Знак"/>
    <w:link w:val="14"/>
    <w:uiPriority w:val="10"/>
    <w:qFormat/>
    <w:rsid w:val="00d22f6d"/>
    <w:rPr>
      <w:sz w:val="28"/>
    </w:rPr>
  </w:style>
  <w:style w:type="character" w:styleId="Style2" w:customStyle="1">
    <w:name w:val="Подзаголовок Знак"/>
    <w:uiPriority w:val="11"/>
    <w:qFormat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Emphasis">
    <w:name w:val="Emphasis"/>
    <w:uiPriority w:val="20"/>
    <w:qFormat/>
    <w:rsid w:val="00d22f6d"/>
    <w:rPr>
      <w:i/>
      <w:iCs/>
    </w:rPr>
  </w:style>
  <w:style w:type="character" w:styleId="21" w:customStyle="1">
    <w:name w:val="Цитата 2 Знак"/>
    <w:link w:val="Quote"/>
    <w:uiPriority w:val="29"/>
    <w:qFormat/>
    <w:rsid w:val="00d22f6d"/>
    <w:rPr>
      <w:rFonts w:ascii="Calibri" w:hAnsi="Calibri" w:eastAsia="Calibri"/>
      <w:i/>
      <w:iCs/>
      <w:color w:val="000000"/>
      <w:lang w:val="x-none" w:eastAsia="x-none"/>
    </w:rPr>
  </w:style>
  <w:style w:type="character" w:styleId="Style3" w:customStyle="1">
    <w:name w:val="Выделенная цитата Знак"/>
    <w:link w:val="IntenseQuote"/>
    <w:uiPriority w:val="30"/>
    <w:qFormat/>
    <w:rsid w:val="00d22f6d"/>
    <w:rPr>
      <w:rFonts w:ascii="Calibri" w:hAnsi="Calibri" w:eastAsia="Calibri"/>
      <w:b/>
      <w:bCs/>
      <w:i/>
      <w:iCs/>
      <w:color w:val="4F81BD"/>
      <w:lang w:val="x-none" w:eastAsia="x-none"/>
    </w:rPr>
  </w:style>
  <w:style w:type="character" w:styleId="SubtleEmphasis">
    <w:name w:val="Subtle Emphasis"/>
    <w:uiPriority w:val="19"/>
    <w:qFormat/>
    <w:rsid w:val="00d22f6d"/>
    <w:rPr>
      <w:i/>
      <w:iCs/>
      <w:color w:val="808080"/>
    </w:rPr>
  </w:style>
  <w:style w:type="character" w:styleId="IntenseEmphasis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SubtleReference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IntenseReference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BookTitle">
    <w:name w:val="Book Title"/>
    <w:uiPriority w:val="33"/>
    <w:qFormat/>
    <w:rsid w:val="00d22f6d"/>
    <w:rPr>
      <w:b/>
      <w:bCs/>
      <w:smallCaps/>
      <w:spacing w:val="5"/>
    </w:rPr>
  </w:style>
  <w:style w:type="character" w:styleId="Style4" w:customStyle="1">
    <w:name w:val="Электронная подпись Знак"/>
    <w:link w:val="E-mailSignature"/>
    <w:uiPriority w:val="99"/>
    <w:qFormat/>
    <w:rsid w:val="00d22f6d"/>
    <w:rPr>
      <w:rFonts w:eastAsia="Calibri"/>
      <w:sz w:val="24"/>
      <w:szCs w:val="24"/>
    </w:rPr>
  </w:style>
  <w:style w:type="character" w:styleId="11" w:customStyle="1">
    <w:name w:val="Подпункт Знак1"/>
    <w:link w:val="Style23"/>
    <w:qFormat/>
    <w:locked/>
    <w:rsid w:val="00d22f6d"/>
    <w:rPr>
      <w:sz w:val="28"/>
    </w:rPr>
  </w:style>
  <w:style w:type="character" w:styleId="Style5" w:customStyle="1">
    <w:name w:val="Текст сноски Знак"/>
    <w:qFormat/>
    <w:rsid w:val="00d22f6d"/>
    <w:rPr/>
  </w:style>
  <w:style w:type="character" w:styleId="Style6" w:customStyle="1">
    <w:name w:val="Основной текст Знак"/>
    <w:qFormat/>
    <w:rsid w:val="004459a5"/>
    <w:rPr>
      <w:sz w:val="28"/>
      <w:szCs w:val="28"/>
    </w:rPr>
  </w:style>
  <w:style w:type="character" w:styleId="Blk" w:customStyle="1">
    <w:name w:val="blk"/>
    <w:qFormat/>
    <w:rsid w:val="00431ace"/>
    <w:rPr/>
  </w:style>
  <w:style w:type="character" w:styleId="Style7" w:customStyle="1">
    <w:name w:val="Абзац списка Знак"/>
    <w:link w:val="ListParagraph"/>
    <w:uiPriority w:val="34"/>
    <w:qFormat/>
    <w:locked/>
    <w:rsid w:val="00310eb4"/>
    <w:rPr>
      <w:rFonts w:eastAsia="Calibri"/>
      <w:sz w:val="24"/>
      <w:szCs w:val="24"/>
    </w:rPr>
  </w:style>
  <w:style w:type="character" w:styleId="Style8" w:customStyle="1">
    <w:name w:val="комментарий"/>
    <w:qFormat/>
    <w:rsid w:val="0025139e"/>
    <w:rPr>
      <w:b/>
      <w:i/>
      <w:shd w:fill="FFFF99" w:val="clear"/>
    </w:rPr>
  </w:style>
  <w:style w:type="character" w:styleId="Style9" w:customStyle="1">
    <w:name w:val="Подподпункт Знак"/>
    <w:link w:val="Style31"/>
    <w:qFormat/>
    <w:locked/>
    <w:rsid w:val="0025139e"/>
    <w:rPr>
      <w:sz w:val="26"/>
      <w:szCs w:val="26"/>
    </w:rPr>
  </w:style>
  <w:style w:type="character" w:styleId="31" w:customStyle="1">
    <w:name w:val="УРОВЕНЬ_Абзац_тип3 Знак"/>
    <w:link w:val="35"/>
    <w:qFormat/>
    <w:rsid w:val="00b56f46"/>
    <w:rPr>
      <w:rFonts w:eastAsia="Calibri"/>
      <w:sz w:val="26"/>
      <w:szCs w:val="28"/>
      <w:lang w:eastAsia="en-US"/>
    </w:rPr>
  </w:style>
  <w:style w:type="character" w:styleId="Style10" w:customStyle="1">
    <w:name w:val="Верхний колонтитул Знак"/>
    <w:uiPriority w:val="99"/>
    <w:qFormat/>
    <w:rsid w:val="002f31af"/>
    <w:rPr>
      <w:sz w:val="24"/>
      <w:szCs w:val="24"/>
    </w:rPr>
  </w:style>
  <w:style w:type="character" w:styleId="Style11" w:customStyle="1">
    <w:name w:val="Текст примечания Знак"/>
    <w:link w:val="Annotationtext"/>
    <w:semiHidden/>
    <w:qFormat/>
    <w:rsid w:val="00dc0f7d"/>
    <w:rPr/>
  </w:style>
  <w:style w:type="character" w:styleId="Style12" w:customStyle="1">
    <w:name w:val="Текст концевой сноски Знак"/>
    <w:basedOn w:val="DefaultParagraphFont"/>
    <w:qFormat/>
    <w:rsid w:val="003879d4"/>
    <w:rPr/>
  </w:style>
  <w:style w:type="character" w:styleId="Style13" w:customStyle="1">
    <w:name w:val="Символ концевой сноски"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EndnoteCharacters" w:customStyle="1">
    <w:name w:val="Endnote Characters"/>
    <w:basedOn w:val="DefaultParagraphFont"/>
    <w:qFormat/>
    <w:rsid w:val="003879d4"/>
    <w:rPr>
      <w:vertAlign w:val="superscript"/>
    </w:rPr>
  </w:style>
  <w:style w:type="character" w:styleId="22" w:customStyle="1">
    <w:name w:val="Пункт2 Знак"/>
    <w:link w:val="24"/>
    <w:qFormat/>
    <w:rsid w:val="00de52bc"/>
    <w:rPr>
      <w:b/>
      <w:sz w:val="28"/>
    </w:rPr>
  </w:style>
  <w:style w:type="character" w:styleId="12" w:customStyle="1">
    <w:name w:val="УРОВЕНЬ_1. Знак"/>
    <w:link w:val="18"/>
    <w:qFormat/>
    <w:rsid w:val="004a17ae"/>
    <w:rPr>
      <w:rFonts w:eastAsia="Calibri"/>
      <w:caps/>
      <w:sz w:val="28"/>
      <w:szCs w:val="28"/>
      <w:lang w:eastAsia="en-US"/>
    </w:rPr>
  </w:style>
  <w:style w:type="character" w:styleId="Style14" w:customStyle="1">
    <w:name w:val="Текст Знак"/>
    <w:basedOn w:val="DefaultParagraphFont"/>
    <w:link w:val="PlainText"/>
    <w:qFormat/>
    <w:rsid w:val="00232fb6"/>
    <w:rPr>
      <w:rFonts w:ascii="Courier New" w:hAnsi="Courier New"/>
    </w:rPr>
  </w:style>
  <w:style w:type="character" w:styleId="Style15" w:customStyle="1">
    <w:name w:val="Ссылка указателя"/>
    <w:qFormat/>
    <w:rPr/>
  </w:style>
  <w:style w:type="character" w:styleId="Style16" w:customStyle="1">
    <w:name w:val="Символ нумерации"/>
    <w:qFormat/>
    <w:rPr/>
  </w:style>
  <w:style w:type="character" w:styleId="Linenumber1" w:customStyle="1">
    <w:name w:val="line number1"/>
    <w:qFormat/>
    <w:rPr/>
  </w:style>
  <w:style w:type="character" w:styleId="Linenumber2">
    <w:name w:val="line number2"/>
    <w:qFormat/>
    <w:rPr/>
  </w:style>
  <w:style w:type="character" w:styleId="LineNumber">
    <w:name w:val="Line Number"/>
    <w:rPr/>
  </w:style>
  <w:style w:type="character" w:styleId="Strong">
    <w:name w:val="Strong"/>
    <w:qFormat/>
    <w:rPr>
      <w:b/>
      <w:bCs/>
    </w:rPr>
  </w:style>
  <w:style w:type="paragraph" w:styleId="Style17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BodyText">
    <w:name w:val="Body Text"/>
    <w:basedOn w:val="Normal"/>
    <w:link w:val="Style6"/>
    <w:rsid w:val="0076353a"/>
    <w:pPr>
      <w:spacing w:before="0" w:after="12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/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">
    <w:name w:val="index heading1"/>
    <w:basedOn w:val="Title"/>
    <w:qFormat/>
    <w:pPr/>
    <w:rPr/>
  </w:style>
  <w:style w:type="paragraph" w:styleId="Caption11" w:customStyle="1">
    <w:name w:val="caption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1" w:customStyle="1">
    <w:name w:val="index heading11"/>
    <w:basedOn w:val="Title"/>
    <w:qFormat/>
    <w:pPr/>
    <w:rPr/>
  </w:style>
  <w:style w:type="paragraph" w:styleId="Caption111" w:customStyle="1">
    <w:name w:val="caption1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11" w:customStyle="1">
    <w:name w:val="index heading111"/>
    <w:basedOn w:val="Title"/>
    <w:qFormat/>
    <w:pPr/>
    <w:rPr/>
  </w:style>
  <w:style w:type="paragraph" w:styleId="Style19" w:customStyle="1">
    <w:name w:val="Название раздела инструкции"/>
    <w:basedOn w:val="Normal"/>
    <w:autoRedefine/>
    <w:qFormat/>
    <w:rsid w:val="00275328"/>
    <w:pPr>
      <w:jc w:val="center"/>
    </w:pPr>
    <w:rPr>
      <w:b/>
    </w:rPr>
  </w:style>
  <w:style w:type="paragraph" w:styleId="Style20" w:customStyle="1">
    <w:name w:val="Раздел положения"/>
    <w:basedOn w:val="Normal"/>
    <w:autoRedefine/>
    <w:qFormat/>
    <w:rsid w:val="007475ee"/>
    <w:pPr>
      <w:numPr>
        <w:ilvl w:val="0"/>
        <w:numId w:val="1"/>
      </w:numPr>
      <w:spacing w:before="80" w:after="80"/>
      <w:jc w:val="center"/>
    </w:pPr>
    <w:rPr>
      <w:b/>
      <w:sz w:val="32"/>
      <w:szCs w:val="32"/>
    </w:rPr>
  </w:style>
  <w:style w:type="paragraph" w:styleId="Style21" w:customStyle="1">
    <w:name w:val="Подраздел раздела положения"/>
    <w:basedOn w:val="Normal"/>
    <w:autoRedefine/>
    <w:qFormat/>
    <w:rsid w:val="007475ee"/>
    <w:pPr>
      <w:numPr>
        <w:ilvl w:val="1"/>
        <w:numId w:val="1"/>
      </w:numPr>
      <w:spacing w:before="80" w:after="80"/>
      <w:jc w:val="both"/>
    </w:pPr>
    <w:rPr/>
  </w:style>
  <w:style w:type="paragraph" w:styleId="FootnoteText">
    <w:name w:val="Footnote Text"/>
    <w:basedOn w:val="Normal"/>
    <w:link w:val="Style5"/>
    <w:rsid w:val="00d561d9"/>
    <w:pPr/>
    <w:rPr>
      <w:sz w:val="20"/>
      <w:szCs w:val="20"/>
    </w:rPr>
  </w:style>
  <w:style w:type="paragraph" w:styleId="13" w:customStyle="1">
    <w:name w:val="Шапка 1"/>
    <w:basedOn w:val="Normal"/>
    <w:qFormat/>
    <w:rsid w:val="00d561d9"/>
    <w:pPr>
      <w:pBdr>
        <w:bottom w:val="thickThinSmallGap" w:sz="24" w:space="1" w:color="000000"/>
      </w:pBdr>
      <w:spacing w:before="0" w:after="240"/>
      <w:jc w:val="center"/>
    </w:pPr>
    <w:rPr>
      <w:sz w:val="22"/>
      <w:szCs w:val="22"/>
    </w:rPr>
  </w:style>
  <w:style w:type="paragraph" w:styleId="23" w:customStyle="1">
    <w:name w:val="Шапка 2"/>
    <w:basedOn w:val="Normal"/>
    <w:qFormat/>
    <w:rsid w:val="00d561d9"/>
    <w:pPr>
      <w:pBdr>
        <w:bottom w:val="thickThinSmallGap" w:sz="24" w:space="1" w:color="000000"/>
      </w:pBdr>
      <w:spacing w:before="0" w:after="120"/>
      <w:jc w:val="center"/>
    </w:pPr>
    <w:rPr>
      <w:b/>
      <w:sz w:val="22"/>
      <w:szCs w:val="22"/>
    </w:rPr>
  </w:style>
  <w:style w:type="paragraph" w:styleId="32" w:customStyle="1">
    <w:name w:val="Шапка 3"/>
    <w:basedOn w:val="Normal"/>
    <w:qFormat/>
    <w:rsid w:val="00d561d9"/>
    <w:pPr>
      <w:pBdr>
        <w:bottom w:val="thickThinSmallGap" w:sz="24" w:space="1" w:color="000000"/>
      </w:pBdr>
      <w:spacing w:before="240" w:after="360"/>
      <w:jc w:val="center"/>
    </w:pPr>
    <w:rPr>
      <w:b/>
      <w:sz w:val="24"/>
      <w:szCs w:val="24"/>
    </w:rPr>
  </w:style>
  <w:style w:type="paragraph" w:styleId="14" w:customStyle="1">
    <w:name w:val="Название1"/>
    <w:basedOn w:val="Normal"/>
    <w:link w:val="Style1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styleId="Style22" w:customStyle="1">
    <w:name w:val="Колонтитул"/>
    <w:basedOn w:val="Normal"/>
    <w:qFormat/>
    <w:pPr/>
    <w:rPr/>
  </w:style>
  <w:style w:type="paragraph" w:styleId="Header">
    <w:name w:val="Header"/>
    <w:basedOn w:val="Normal"/>
    <w:link w:val="Style10"/>
    <w:uiPriority w:val="99"/>
    <w:rsid w:val="0076353a"/>
    <w:pPr>
      <w:tabs>
        <w:tab w:val="clear" w:pos="720"/>
        <w:tab w:val="center" w:pos="4677" w:leader="none"/>
        <w:tab w:val="right" w:pos="9355" w:leader="none"/>
      </w:tabs>
    </w:pPr>
    <w:rPr>
      <w:sz w:val="24"/>
      <w:szCs w:val="24"/>
    </w:rPr>
  </w:style>
  <w:style w:type="paragraph" w:styleId="BodyTextIndent">
    <w:name w:val="Body Text Indent"/>
    <w:basedOn w:val="Normal"/>
    <w:rsid w:val="0076353a"/>
    <w:pPr>
      <w:ind w:left="360" w:hanging="0"/>
    </w:pPr>
    <w:rPr>
      <w:sz w:val="24"/>
      <w:szCs w:val="24"/>
    </w:rPr>
  </w:style>
  <w:style w:type="paragraph" w:styleId="Footer">
    <w:name w:val="Footer"/>
    <w:basedOn w:val="Normal"/>
    <w:rsid w:val="0076353a"/>
    <w:pPr>
      <w:tabs>
        <w:tab w:val="clear" w:pos="720"/>
        <w:tab w:val="center" w:pos="4677" w:leader="none"/>
        <w:tab w:val="right" w:pos="9355" w:leader="none"/>
      </w:tabs>
    </w:pPr>
    <w:rPr/>
  </w:style>
  <w:style w:type="paragraph" w:styleId="BodyTextIndent2">
    <w:name w:val="Body Text Indent 2"/>
    <w:basedOn w:val="Normal"/>
    <w:qFormat/>
    <w:rsid w:val="0076353a"/>
    <w:pPr>
      <w:spacing w:lineRule="auto" w:line="480" w:before="0" w:after="120"/>
      <w:ind w:left="283" w:hanging="0"/>
    </w:pPr>
    <w:rPr/>
  </w:style>
  <w:style w:type="paragraph" w:styleId="BodyText3">
    <w:name w:val="Body Text 3"/>
    <w:basedOn w:val="Normal"/>
    <w:qFormat/>
    <w:rsid w:val="0076353a"/>
    <w:pPr>
      <w:spacing w:before="0" w:after="120"/>
    </w:pPr>
    <w:rPr>
      <w:sz w:val="16"/>
      <w:szCs w:val="16"/>
    </w:rPr>
  </w:style>
  <w:style w:type="paragraph" w:styleId="BodyTextIndent3">
    <w:name w:val="Body Text Indent 3"/>
    <w:basedOn w:val="Normal"/>
    <w:qFormat/>
    <w:rsid w:val="0076353a"/>
    <w:pPr>
      <w:spacing w:before="0" w:after="120"/>
      <w:ind w:left="283" w:hanging="0"/>
    </w:pPr>
    <w:rPr>
      <w:sz w:val="16"/>
      <w:szCs w:val="16"/>
    </w:rPr>
  </w:style>
  <w:style w:type="paragraph" w:styleId="BodyText2">
    <w:name w:val="Body Text 2"/>
    <w:basedOn w:val="Normal"/>
    <w:qFormat/>
    <w:rsid w:val="0076353a"/>
    <w:pPr>
      <w:spacing w:lineRule="auto" w:line="480" w:before="0" w:after="120"/>
    </w:pPr>
    <w:rPr/>
  </w:style>
  <w:style w:type="paragraph" w:styleId="BlockText">
    <w:name w:val="Block Text"/>
    <w:basedOn w:val="Normal"/>
    <w:qFormat/>
    <w:rsid w:val="0076353a"/>
    <w:pPr>
      <w:ind w:left="-567" w:right="-766" w:hanging="0"/>
      <w:jc w:val="center"/>
    </w:pPr>
    <w:rPr>
      <w:b/>
      <w:bCs/>
      <w:sz w:val="24"/>
      <w:szCs w:val="20"/>
    </w:rPr>
  </w:style>
  <w:style w:type="paragraph" w:styleId="Style23" w:customStyle="1">
    <w:name w:val="Подпункт"/>
    <w:basedOn w:val="Normal"/>
    <w:link w:val="11"/>
    <w:qFormat/>
    <w:rsid w:val="0076353a"/>
    <w:pPr>
      <w:tabs>
        <w:tab w:val="clear" w:pos="720"/>
        <w:tab w:val="left" w:pos="1134" w:leader="none"/>
      </w:tabs>
      <w:snapToGrid w:val="false"/>
      <w:spacing w:lineRule="auto" w:line="360"/>
      <w:ind w:left="1134" w:hanging="1134"/>
      <w:jc w:val="both"/>
    </w:pPr>
    <w:rPr>
      <w:szCs w:val="20"/>
      <w:lang w:val="x-none" w:eastAsia="x-none"/>
    </w:rPr>
  </w:style>
  <w:style w:type="paragraph" w:styleId="24" w:customStyle="1">
    <w:name w:val="Пункт2"/>
    <w:basedOn w:val="Normal"/>
    <w:link w:val="22"/>
    <w:qFormat/>
    <w:rsid w:val="0076353a"/>
    <w:pPr>
      <w:keepNext w:val="true"/>
      <w:tabs>
        <w:tab w:val="clear" w:pos="720"/>
        <w:tab w:val="left" w:pos="1134" w:leader="none"/>
      </w:tabs>
      <w:snapToGrid w:val="false"/>
      <w:spacing w:before="240" w:after="120"/>
      <w:ind w:left="1134" w:hanging="1134"/>
      <w:outlineLvl w:val="2"/>
    </w:pPr>
    <w:rPr>
      <w:b/>
      <w:szCs w:val="20"/>
    </w:rPr>
  </w:style>
  <w:style w:type="paragraph" w:styleId="TOC1">
    <w:name w:val="TOC 1"/>
    <w:basedOn w:val="Normal"/>
    <w:next w:val="Normal"/>
    <w:autoRedefine/>
    <w:uiPriority w:val="39"/>
    <w:rsid w:val="00c517de"/>
    <w:pPr>
      <w:spacing w:before="120" w:after="0"/>
    </w:pPr>
    <w:rPr>
      <w:rFonts w:cs="Calibri Light (Заголовки)"/>
      <w:b/>
      <w:bCs/>
      <w:sz w:val="24"/>
      <w:szCs w:val="24"/>
    </w:rPr>
  </w:style>
  <w:style w:type="paragraph" w:styleId="TOC3">
    <w:name w:val="TOC 3"/>
    <w:basedOn w:val="Normal"/>
    <w:next w:val="Normal"/>
    <w:autoRedefine/>
    <w:uiPriority w:val="39"/>
    <w:rsid w:val="00384d96"/>
    <w:pPr>
      <w:tabs>
        <w:tab w:val="clear" w:pos="720"/>
        <w:tab w:val="left" w:pos="1120" w:leader="none"/>
        <w:tab w:val="right" w:pos="9911" w:leader="dot"/>
      </w:tabs>
      <w:ind w:left="280" w:firstLine="429"/>
    </w:pPr>
    <w:rPr>
      <w:rFonts w:cs="Calibri" w:cstheme="minorHAnsi"/>
      <w:sz w:val="20"/>
      <w:szCs w:val="20"/>
    </w:rPr>
  </w:style>
  <w:style w:type="paragraph" w:styleId="Style24" w:customStyle="1">
    <w:name w:val="Раздел регламента"/>
    <w:basedOn w:val="Normal"/>
    <w:qFormat/>
    <w:rsid w:val="00e228fa"/>
    <w:pPr/>
    <w:rPr/>
  </w:style>
  <w:style w:type="paragraph" w:styleId="Style25" w:customStyle="1">
    <w:name w:val="Приложение к регламенту"/>
    <w:basedOn w:val="Normal"/>
    <w:qFormat/>
    <w:rsid w:val="00e228fa"/>
    <w:pPr>
      <w:jc w:val="right"/>
    </w:pPr>
    <w:rPr/>
  </w:style>
  <w:style w:type="paragraph" w:styleId="TOC2">
    <w:name w:val="TOC 2"/>
    <w:basedOn w:val="Normal"/>
    <w:next w:val="Normal"/>
    <w:autoRedefine/>
    <w:uiPriority w:val="39"/>
    <w:rsid w:val="00693883"/>
    <w:pPr>
      <w:spacing w:before="240" w:after="0"/>
    </w:pPr>
    <w:rPr>
      <w:rFonts w:cs="Calibri" w:cstheme="minorHAnsi"/>
      <w:bCs/>
      <w:sz w:val="20"/>
      <w:szCs w:val="20"/>
    </w:rPr>
  </w:style>
  <w:style w:type="paragraph" w:styleId="BalloonText">
    <w:name w:val="Balloon Text"/>
    <w:basedOn w:val="Normal"/>
    <w:semiHidden/>
    <w:qFormat/>
    <w:rsid w:val="00197c91"/>
    <w:pPr/>
    <w:rPr>
      <w:rFonts w:ascii="Tahoma" w:hAnsi="Tahoma" w:cs="Tahoma"/>
      <w:sz w:val="16"/>
      <w:szCs w:val="16"/>
    </w:rPr>
  </w:style>
  <w:style w:type="paragraph" w:styleId="Annotationtext">
    <w:name w:val="annotation text"/>
    <w:basedOn w:val="Normal"/>
    <w:link w:val="Style11"/>
    <w:semiHidden/>
    <w:qFormat/>
    <w:rsid w:val="00b714b0"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semiHidden/>
    <w:qFormat/>
    <w:rsid w:val="00b714b0"/>
    <w:pPr/>
    <w:rPr>
      <w:b/>
      <w:bCs/>
    </w:rPr>
  </w:style>
  <w:style w:type="paragraph" w:styleId="15" w:customStyle="1">
    <w:name w:val="Обычный (веб)1"/>
    <w:basedOn w:val="Normal"/>
    <w:uiPriority w:val="99"/>
    <w:qFormat/>
    <w:rsid w:val="002f559a"/>
    <w:pPr>
      <w:spacing w:beforeAutospacing="1" w:afterAutospacing="1"/>
    </w:pPr>
    <w:rPr>
      <w:rFonts w:ascii="Arial Unicode MS" w:hAnsi="Arial Unicode MS" w:eastAsia="Arial Unicode MS" w:cs="Arial Unicode MS"/>
      <w:sz w:val="24"/>
      <w:szCs w:val="24"/>
    </w:rPr>
  </w:style>
  <w:style w:type="paragraph" w:styleId="TOC9">
    <w:name w:val="TOC 9"/>
    <w:basedOn w:val="Normal"/>
    <w:next w:val="Normal"/>
    <w:autoRedefine/>
    <w:semiHidden/>
    <w:rsid w:val="00f57628"/>
    <w:pPr>
      <w:ind w:left="196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5">
    <w:name w:val="TOC 5"/>
    <w:basedOn w:val="Normal"/>
    <w:next w:val="Normal"/>
    <w:autoRedefine/>
    <w:semiHidden/>
    <w:rsid w:val="00f57628"/>
    <w:pPr>
      <w:ind w:left="84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4">
    <w:name w:val="TOC 4"/>
    <w:basedOn w:val="Normal"/>
    <w:next w:val="Normal"/>
    <w:autoRedefine/>
    <w:uiPriority w:val="39"/>
    <w:rsid w:val="006b6b70"/>
    <w:pPr>
      <w:tabs>
        <w:tab w:val="clear" w:pos="720"/>
        <w:tab w:val="left" w:pos="1120" w:leader="none"/>
        <w:tab w:val="right" w:pos="9911" w:leader="none"/>
      </w:tabs>
      <w:ind w:left="560" w:hanging="0"/>
    </w:pPr>
    <w:rPr>
      <w:rFonts w:cs="Calibri" w:cstheme="minorHAnsi"/>
      <w:sz w:val="20"/>
      <w:szCs w:val="20"/>
    </w:rPr>
  </w:style>
  <w:style w:type="paragraph" w:styleId="25" w:customStyle="1">
    <w:name w:val="Раздел положения 2"/>
    <w:basedOn w:val="Normal"/>
    <w:qFormat/>
    <w:rsid w:val="002c1e0e"/>
    <w:pPr>
      <w:pageBreakBefore/>
      <w:jc w:val="both"/>
      <w:outlineLvl w:val="0"/>
    </w:pPr>
    <w:rPr>
      <w:b/>
    </w:rPr>
  </w:style>
  <w:style w:type="paragraph" w:styleId="Style26" w:customStyle="1">
    <w:name w:val="Знак Знак Знак Знак Знак Знак Знак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NoSpacing">
    <w:name w:val="No Spacing"/>
    <w:basedOn w:val="Normal"/>
    <w:uiPriority w:val="1"/>
    <w:qFormat/>
    <w:rsid w:val="00d22f6d"/>
    <w:pPr>
      <w:spacing w:lineRule="auto" w:line="360"/>
    </w:pPr>
    <w:rPr>
      <w:rFonts w:eastAsia="Calibri"/>
      <w:sz w:val="24"/>
      <w:szCs w:val="24"/>
    </w:rPr>
  </w:style>
  <w:style w:type="paragraph" w:styleId="Caption1111" w:customStyle="1">
    <w:name w:val="caption1111"/>
    <w:basedOn w:val="Normal"/>
    <w:next w:val="Normal"/>
    <w:uiPriority w:val="35"/>
    <w:qFormat/>
    <w:rsid w:val="00d22f6d"/>
    <w:pPr/>
    <w:rPr>
      <w:rFonts w:eastAsia="Calibri"/>
      <w:b/>
      <w:bCs/>
      <w:color w:val="4F81BD"/>
      <w:sz w:val="18"/>
      <w:szCs w:val="18"/>
    </w:rPr>
  </w:style>
  <w:style w:type="paragraph" w:styleId="Subtitle">
    <w:name w:val="Subtitle"/>
    <w:basedOn w:val="Normal"/>
    <w:next w:val="Normal"/>
    <w:link w:val="Style2"/>
    <w:uiPriority w:val="11"/>
    <w:qFormat/>
    <w:rsid w:val="00d22f6d"/>
    <w:p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paragraph" w:styleId="ListParagraph">
    <w:name w:val="List Paragraph"/>
    <w:basedOn w:val="Normal"/>
    <w:link w:val="Style7"/>
    <w:uiPriority w:val="34"/>
    <w:qFormat/>
    <w:rsid w:val="00d22f6d"/>
    <w:pPr>
      <w:spacing w:before="0" w:after="0"/>
      <w:ind w:left="720" w:hanging="0"/>
      <w:contextualSpacing/>
    </w:pPr>
    <w:rPr>
      <w:rFonts w:eastAsia="Calibri"/>
      <w:sz w:val="24"/>
      <w:szCs w:val="24"/>
    </w:rPr>
  </w:style>
  <w:style w:type="paragraph" w:styleId="Quote">
    <w:name w:val="Quote"/>
    <w:basedOn w:val="Normal"/>
    <w:next w:val="Normal"/>
    <w:link w:val="21"/>
    <w:uiPriority w:val="29"/>
    <w:qFormat/>
    <w:rsid w:val="00d22f6d"/>
    <w:pPr/>
    <w:rPr>
      <w:rFonts w:ascii="Calibri" w:hAnsi="Calibri" w:eastAsia="Calibri"/>
      <w:i/>
      <w:iCs/>
      <w:color w:val="000000"/>
      <w:sz w:val="20"/>
      <w:szCs w:val="20"/>
      <w:lang w:val="x-none" w:eastAsia="x-none"/>
    </w:rPr>
  </w:style>
  <w:style w:type="paragraph" w:styleId="IntenseQuote">
    <w:name w:val="Intense Quote"/>
    <w:basedOn w:val="Normal"/>
    <w:next w:val="Normal"/>
    <w:link w:val="Style3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 w:hanging="0"/>
    </w:pPr>
    <w:rPr>
      <w:rFonts w:ascii="Calibri" w:hAnsi="Calibri" w:eastAsia="Calibri"/>
      <w:b/>
      <w:bCs/>
      <w:i/>
      <w:iCs/>
      <w:color w:val="4F81BD"/>
      <w:sz w:val="20"/>
      <w:szCs w:val="20"/>
      <w:lang w:val="x-none" w:eastAsia="x-none"/>
    </w:rPr>
  </w:style>
  <w:style w:type="paragraph" w:styleId="IndexHeading">
    <w:name w:val="Index Heading"/>
    <w:basedOn w:val="Style17"/>
    <w:pPr/>
    <w:rPr/>
  </w:style>
  <w:style w:type="paragraph" w:styleId="TOCHeading">
    <w:name w:val="TOC Heading"/>
    <w:basedOn w:val="Heading1"/>
    <w:next w:val="Normal"/>
    <w:uiPriority w:val="39"/>
    <w:qFormat/>
    <w:rsid w:val="00d22f6d"/>
    <w:pPr>
      <w:keepLines/>
      <w:spacing w:before="480" w:after="60"/>
      <w:outlineLvl w:val="9"/>
    </w:pPr>
    <w:rPr>
      <w:rFonts w:ascii="Cambria" w:hAnsi="Cambria"/>
      <w:bCs/>
      <w:color w:val="365F91"/>
    </w:rPr>
  </w:style>
  <w:style w:type="paragraph" w:styleId="E-mailSignature">
    <w:name w:val="E-mail Signature"/>
    <w:basedOn w:val="Normal"/>
    <w:link w:val="Style4"/>
    <w:uiPriority w:val="99"/>
    <w:unhideWhenUsed/>
    <w:qFormat/>
    <w:rsid w:val="00d22f6d"/>
    <w:pPr/>
    <w:rPr>
      <w:rFonts w:eastAsia="Calibri"/>
      <w:sz w:val="24"/>
      <w:szCs w:val="24"/>
      <w:lang w:val="x-none" w:eastAsia="x-none"/>
    </w:rPr>
  </w:style>
  <w:style w:type="paragraph" w:styleId="Style27" w:customStyle="1">
    <w:name w:val="Знак"/>
    <w:basedOn w:val="Normal"/>
    <w:qFormat/>
    <w:rsid w:val="00d22f6d"/>
    <w:pPr>
      <w:spacing w:lineRule="exact" w:line="240" w:before="0" w:after="160"/>
    </w:pPr>
    <w:rPr>
      <w:rFonts w:ascii="Verdana" w:hAnsi="Verdana" w:cs="Verdana"/>
      <w:sz w:val="20"/>
      <w:szCs w:val="20"/>
      <w:lang w:val="en-US" w:eastAsia="en-US"/>
    </w:rPr>
  </w:style>
  <w:style w:type="paragraph" w:styleId="33" w:customStyle="1">
    <w:name w:val="Нумерованный список ур3"/>
    <w:basedOn w:val="Normal"/>
    <w:qFormat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styleId="41" w:customStyle="1">
    <w:name w:val="Маркированный список 41"/>
    <w:basedOn w:val="Normal"/>
    <w:qFormat/>
    <w:rsid w:val="00d22f6d"/>
    <w:pPr>
      <w:numPr>
        <w:ilvl w:val="0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26" w:customStyle="1">
    <w:name w:val="Нумерованный список ур2"/>
    <w:basedOn w:val="Normal"/>
    <w:qFormat/>
    <w:rsid w:val="00d22f6d"/>
    <w:pPr>
      <w:numPr>
        <w:ilvl w:val="1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Revision">
    <w:name w:val="Revision"/>
    <w:uiPriority w:val="99"/>
    <w:semiHidden/>
    <w:qFormat/>
    <w:rsid w:val="00d22f6d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Times New Roman"/>
      <w:color w:val="auto"/>
      <w:kern w:val="0"/>
      <w:sz w:val="24"/>
      <w:szCs w:val="24"/>
      <w:lang w:val="ru-RU" w:eastAsia="ru-RU" w:bidi="ar-SA"/>
    </w:rPr>
  </w:style>
  <w:style w:type="paragraph" w:styleId="ConsPlusNormal" w:customStyle="1">
    <w:name w:val="ConsPlusNormal"/>
    <w:qFormat/>
    <w:rsid w:val="00d22f6d"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34" w:customStyle="1">
    <w:name w:val="Знак Знак3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Style28" w:customStyle="1">
    <w:name w:val="Пункт"/>
    <w:basedOn w:val="Normal"/>
    <w:qFormat/>
    <w:rsid w:val="00d22f6d"/>
    <w:pPr>
      <w:widowControl w:val="false"/>
      <w:tabs>
        <w:tab w:val="clear" w:pos="720"/>
        <w:tab w:val="left" w:pos="1134" w:leader="none"/>
      </w:tabs>
      <w:spacing w:lineRule="auto" w:line="360" w:before="120" w:after="0"/>
      <w:ind w:left="1134" w:right="800" w:hanging="1134"/>
      <w:jc w:val="both"/>
    </w:pPr>
    <w:rPr>
      <w:rFonts w:ascii="Arial" w:hAnsi="Arial"/>
      <w:b/>
      <w:i/>
      <w:szCs w:val="20"/>
    </w:rPr>
  </w:style>
  <w:style w:type="paragraph" w:styleId="16" w:customStyle="1">
    <w:name w:val="Абзац списка1"/>
    <w:basedOn w:val="Normal"/>
    <w:qFormat/>
    <w:rsid w:val="00d22f6d"/>
    <w:pPr>
      <w:spacing w:lineRule="auto" w:line="276" w:before="0" w:after="200"/>
      <w:ind w:left="720" w:hanging="0"/>
      <w:contextualSpacing/>
    </w:pPr>
    <w:rPr>
      <w:rFonts w:ascii="Calibri" w:hAnsi="Calibri"/>
      <w:sz w:val="22"/>
      <w:szCs w:val="22"/>
      <w:lang w:eastAsia="en-US"/>
    </w:rPr>
  </w:style>
  <w:style w:type="paragraph" w:styleId="Style29" w:customStyle="1">
    <w:name w:val="Таблица"/>
    <w:basedOn w:val="Normal"/>
    <w:qFormat/>
    <w:rsid w:val="0041356c"/>
    <w:pPr>
      <w:keepNext w:val="true"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paragraph" w:styleId="Style30" w:customStyle="1">
    <w:name w:val="Таблица шапка"/>
    <w:basedOn w:val="Normal"/>
    <w:qFormat/>
    <w:rsid w:val="00f64089"/>
    <w:pPr>
      <w:keepNext w:val="true"/>
      <w:spacing w:before="40" w:after="40"/>
      <w:ind w:left="57" w:right="57" w:hanging="0"/>
    </w:pPr>
    <w:rPr>
      <w:sz w:val="22"/>
      <w:szCs w:val="26"/>
    </w:rPr>
  </w:style>
  <w:style w:type="paragraph" w:styleId="Style31" w:customStyle="1">
    <w:name w:val="Подподпункт"/>
    <w:basedOn w:val="Style23"/>
    <w:link w:val="Style9"/>
    <w:qFormat/>
    <w:rsid w:val="0025139e"/>
    <w:pPr>
      <w:tabs>
        <w:tab w:val="clear" w:pos="1134"/>
        <w:tab w:val="left" w:pos="5104" w:leader="none"/>
      </w:tabs>
      <w:snapToGrid w:val="true"/>
      <w:spacing w:lineRule="auto" w:line="240" w:before="120" w:after="0"/>
      <w:ind w:left="5104" w:hanging="567"/>
    </w:pPr>
    <w:rPr>
      <w:sz w:val="26"/>
      <w:szCs w:val="26"/>
      <w:lang w:val="ru-RU" w:eastAsia="ru-RU"/>
    </w:rPr>
  </w:style>
  <w:style w:type="paragraph" w:styleId="Style32" w:customStyle="1">
    <w:name w:val="УРОВЕНЬ_(а)"/>
    <w:basedOn w:val="ListParagraph"/>
    <w:qFormat/>
    <w:rsid w:val="00b56f46"/>
    <w:pPr>
      <w:numPr>
        <w:ilvl w:val="3"/>
        <w:numId w:val="4"/>
      </w:numPr>
      <w:spacing w:lineRule="exact" w:line="360" w:before="120" w:after="0"/>
      <w:contextualSpacing w:val="false"/>
      <w:jc w:val="both"/>
      <w:outlineLvl w:val="3"/>
    </w:pPr>
    <w:rPr>
      <w:sz w:val="26"/>
      <w:szCs w:val="28"/>
      <w:lang w:eastAsia="en-US"/>
    </w:rPr>
  </w:style>
  <w:style w:type="paragraph" w:styleId="-" w:customStyle="1">
    <w:name w:val="УРОВЕНЬ_-"/>
    <w:basedOn w:val="ListParagraph"/>
    <w:qFormat/>
    <w:rsid w:val="00b56f46"/>
    <w:pPr>
      <w:numPr>
        <w:ilvl w:val="4"/>
        <w:numId w:val="4"/>
      </w:numPr>
      <w:spacing w:lineRule="exact" w:line="360" w:before="120" w:after="0"/>
      <w:contextualSpacing w:val="false"/>
      <w:jc w:val="both"/>
      <w:outlineLvl w:val="4"/>
    </w:pPr>
    <w:rPr>
      <w:sz w:val="26"/>
      <w:szCs w:val="28"/>
      <w:lang w:eastAsia="en-US"/>
    </w:rPr>
  </w:style>
  <w:style w:type="paragraph" w:styleId="27" w:customStyle="1">
    <w:name w:val="УРОВЕНЬ_Абзац_тип2"/>
    <w:basedOn w:val="ListParagraph"/>
    <w:qFormat/>
    <w:rsid w:val="00b56f46"/>
    <w:pPr>
      <w:numPr>
        <w:ilvl w:val="6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35" w:customStyle="1">
    <w:name w:val="УРОВЕНЬ_Абзац_тип3"/>
    <w:basedOn w:val="ListParagraph"/>
    <w:link w:val="31"/>
    <w:qFormat/>
    <w:rsid w:val="00b56f46"/>
    <w:pPr>
      <w:numPr>
        <w:ilvl w:val="7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Style33" w:customStyle="1">
    <w:name w:val="УРОВЕНЬ_Подпись"/>
    <w:basedOn w:val="ListParagraph"/>
    <w:qFormat/>
    <w:rsid w:val="00b56f46"/>
    <w:pPr>
      <w:keepNext w:val="true"/>
      <w:numPr>
        <w:ilvl w:val="5"/>
        <w:numId w:val="4"/>
      </w:numPr>
      <w:spacing w:lineRule="exact" w:line="360" w:before="120" w:after="120"/>
      <w:contextualSpacing w:val="false"/>
      <w:jc w:val="right"/>
      <w:outlineLvl w:val="3"/>
    </w:pPr>
    <w:rPr>
      <w:sz w:val="26"/>
      <w:szCs w:val="28"/>
      <w:lang w:eastAsia="en-US"/>
    </w:rPr>
  </w:style>
  <w:style w:type="paragraph" w:styleId="17" w:customStyle="1">
    <w:name w:val="Стиль Заголовок 1 + по ширине"/>
    <w:basedOn w:val="Heading1"/>
    <w:qFormat/>
    <w:rsid w:val="005773b2"/>
    <w:pPr>
      <w:keepLines/>
      <w:tabs>
        <w:tab w:val="clear" w:pos="0"/>
        <w:tab w:val="left" w:pos="567" w:leader="none"/>
      </w:tabs>
      <w:spacing w:before="480" w:after="240"/>
      <w:ind w:left="567" w:hanging="567"/>
      <w:jc w:val="both"/>
    </w:pPr>
    <w:rPr>
      <w:rFonts w:ascii="Arial" w:hAnsi="Arial" w:eastAsia="Times New Roman"/>
      <w:bCs/>
      <w:kern w:val="2"/>
      <w:sz w:val="40"/>
      <w:szCs w:val="20"/>
      <w:lang w:val="ru-RU" w:eastAsia="ru-RU"/>
    </w:rPr>
  </w:style>
  <w:style w:type="paragraph" w:styleId="EndnoteText">
    <w:name w:val="Endnote Text"/>
    <w:basedOn w:val="Normal"/>
    <w:link w:val="Style12"/>
    <w:rsid w:val="003879d4"/>
    <w:pPr/>
    <w:rPr>
      <w:sz w:val="20"/>
      <w:szCs w:val="20"/>
    </w:rPr>
  </w:style>
  <w:style w:type="paragraph" w:styleId="28" w:customStyle="1">
    <w:name w:val="Заголовок 2 КВВ"/>
    <w:basedOn w:val="Normal"/>
    <w:qFormat/>
    <w:rsid w:val="00cb35e8"/>
    <w:pPr>
      <w:keepNext w:val="true"/>
      <w:numPr>
        <w:ilvl w:val="0"/>
        <w:numId w:val="5"/>
      </w:numPr>
      <w:spacing w:before="120" w:after="120"/>
      <w:jc w:val="both"/>
      <w:outlineLvl w:val="0"/>
    </w:pPr>
    <w:rPr>
      <w:b/>
      <w:kern w:val="2"/>
      <w:sz w:val="24"/>
      <w:szCs w:val="20"/>
      <w:lang w:eastAsia="x-none"/>
    </w:rPr>
  </w:style>
  <w:style w:type="paragraph" w:styleId="Style34" w:customStyle="1">
    <w:name w:val="Таблица текст"/>
    <w:basedOn w:val="Normal"/>
    <w:qFormat/>
    <w:rsid w:val="00343e95"/>
    <w:pPr>
      <w:spacing w:before="40" w:after="40"/>
      <w:ind w:left="57" w:right="57" w:hanging="0"/>
    </w:pPr>
    <w:rPr>
      <w:sz w:val="24"/>
      <w:szCs w:val="26"/>
    </w:rPr>
  </w:style>
  <w:style w:type="paragraph" w:styleId="NormalWeb">
    <w:name w:val="Normal (Web)"/>
    <w:basedOn w:val="Normal"/>
    <w:uiPriority w:val="99"/>
    <w:unhideWhenUsed/>
    <w:qFormat/>
    <w:rsid w:val="00265d9f"/>
    <w:pPr>
      <w:spacing w:beforeAutospacing="1" w:afterAutospacing="1"/>
    </w:pPr>
    <w:rPr>
      <w:sz w:val="24"/>
      <w:szCs w:val="24"/>
    </w:rPr>
  </w:style>
  <w:style w:type="paragraph" w:styleId="18" w:customStyle="1">
    <w:name w:val="УРОВЕНЬ_1."/>
    <w:basedOn w:val="ListParagraph"/>
    <w:link w:val="12"/>
    <w:qFormat/>
    <w:rsid w:val="004a17ae"/>
    <w:pPr>
      <w:keepNext w:val="true"/>
      <w:keepLines/>
      <w:spacing w:lineRule="auto" w:line="276" w:before="240" w:after="120"/>
      <w:ind w:left="0" w:hanging="0"/>
      <w:contextualSpacing w:val="false"/>
      <w:jc w:val="both"/>
      <w:outlineLvl w:val="0"/>
    </w:pPr>
    <w:rPr>
      <w:caps/>
      <w:sz w:val="28"/>
      <w:szCs w:val="28"/>
      <w:lang w:eastAsia="en-US"/>
    </w:rPr>
  </w:style>
  <w:style w:type="paragraph" w:styleId="TOC6">
    <w:name w:val="TOC 6"/>
    <w:basedOn w:val="Normal"/>
    <w:next w:val="Normal"/>
    <w:autoRedefine/>
    <w:unhideWhenUsed/>
    <w:rsid w:val="00d849aa"/>
    <w:pPr>
      <w:ind w:left="112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7">
    <w:name w:val="TOC 7"/>
    <w:basedOn w:val="Normal"/>
    <w:next w:val="Normal"/>
    <w:autoRedefine/>
    <w:unhideWhenUsed/>
    <w:rsid w:val="00d849aa"/>
    <w:pPr>
      <w:ind w:left="140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8">
    <w:name w:val="TOC 8"/>
    <w:basedOn w:val="Normal"/>
    <w:next w:val="Normal"/>
    <w:autoRedefine/>
    <w:unhideWhenUsed/>
    <w:rsid w:val="00d849aa"/>
    <w:pPr>
      <w:ind w:left="168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PlainText">
    <w:name w:val="Plain Text"/>
    <w:basedOn w:val="Normal"/>
    <w:link w:val="Style14"/>
    <w:unhideWhenUsed/>
    <w:qFormat/>
    <w:rsid w:val="00232fb6"/>
    <w:pPr/>
    <w:rPr>
      <w:rFonts w:ascii="Courier New" w:hAnsi="Courier New"/>
      <w:sz w:val="20"/>
      <w:szCs w:val="20"/>
    </w:rPr>
  </w:style>
  <w:style w:type="paragraph" w:styleId="Formattext" w:customStyle="1">
    <w:name w:val="formattext"/>
    <w:basedOn w:val="Normal"/>
    <w:qFormat/>
    <w:rsid w:val="0074490d"/>
    <w:pPr>
      <w:spacing w:beforeAutospacing="1" w:afterAutospacing="1"/>
    </w:pPr>
    <w:rPr>
      <w:sz w:val="24"/>
      <w:szCs w:val="24"/>
    </w:rPr>
  </w:style>
  <w:style w:type="paragraph" w:styleId="Style35" w:customStyle="1">
    <w:name w:val="Содержимое врезки"/>
    <w:basedOn w:val="Normal"/>
    <w:qFormat/>
    <w:pPr/>
    <w:rPr/>
  </w:style>
  <w:style w:type="paragraph" w:styleId="Style36" w:customStyle="1">
    <w:name w:val="Содержимое таблицы"/>
    <w:basedOn w:val="Normal"/>
    <w:qFormat/>
    <w:pPr>
      <w:widowControl w:val="false"/>
      <w:suppressLineNumbers/>
    </w:pPr>
    <w:rPr/>
  </w:style>
  <w:style w:type="paragraph" w:styleId="Style37" w:customStyle="1">
    <w:name w:val="Заголовок таблицы"/>
    <w:basedOn w:val="Style36"/>
    <w:qFormat/>
    <w:pPr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numbering" w:styleId="19" w:customStyle="1">
    <w:name w:val="Стиль1"/>
    <w:uiPriority w:val="99"/>
    <w:qFormat/>
    <w:rsid w:val="00f001e4"/>
  </w:style>
  <w:style w:type="numbering" w:styleId="29" w:customStyle="1">
    <w:name w:val="Стиль2"/>
    <w:uiPriority w:val="99"/>
    <w:qFormat/>
    <w:rsid w:val="006629c9"/>
  </w:style>
  <w:style w:type="numbering" w:styleId="27663202521" w:customStyle="1">
    <w:name w:val="27663202521"/>
    <w:qFormat/>
  </w:style>
  <w:style w:type="numbering" w:styleId="18168980161" w:customStyle="1">
    <w:name w:val="18168980161"/>
    <w:qFormat/>
  </w:style>
  <w:style w:type="table" w:default="1" w:styleId="a5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fffb">
    <w:name w:val="Table Grid"/>
    <w:basedOn w:val="a5"/>
    <w:uiPriority w:val="39"/>
    <w:rsid w:val="0076353a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b">
    <w:name w:val="Сетка таблицы1"/>
    <w:basedOn w:val="a5"/>
    <w:uiPriority w:val="39"/>
    <w:rsid w:val="00214b9f"/>
    <w:rPr>
      <w:rFonts w:asciiTheme="minorHAnsi" w:hAnsiTheme="minorHAnsi" w:eastAsiaTheme="minorHAnsi" w:cstheme="minorBidi"/>
      <w:lang w:eastAsia="en-US"/>
      <w:sz w:val="24"/>
      <w:szCs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header" Target="header4.xml"/><Relationship Id="rId6" Type="http://schemas.openxmlformats.org/officeDocument/2006/relationships/header" Target="header5.xml"/><Relationship Id="rId7" Type="http://schemas.openxmlformats.org/officeDocument/2006/relationships/header" Target="header6.xml"/><Relationship Id="rId8" Type="http://schemas.openxmlformats.org/officeDocument/2006/relationships/header" Target="header7.xml"/><Relationship Id="rId9" Type="http://schemas.openxmlformats.org/officeDocument/2006/relationships/numbering" Target="numbering.xml"/><Relationship Id="rId10" Type="http://schemas.openxmlformats.org/officeDocument/2006/relationships/fontTable" Target="fontTable.xml"/><Relationship Id="rId11" Type="http://schemas.openxmlformats.org/officeDocument/2006/relationships/settings" Target="settings.xml"/><Relationship Id="rId12" Type="http://schemas.openxmlformats.org/officeDocument/2006/relationships/theme" Target="theme/theme1.xml"/><Relationship Id="rId13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4CAC7B-4E88-4722-BB2F-B834E3424A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8475</TotalTime>
  <Application>AlterOffice/3.4.0.9$Linux_X86_64 LibreOffice_project/b8daf9e823b1a5463a2f48435ddc2e8696e7d4fc</Application>
  <AppVersion>15.0000</AppVersion>
  <Pages>15</Pages>
  <Words>2198</Words>
  <Characters>15424</Characters>
  <CharactersWithSpaces>17306</CharactersWithSpaces>
  <Paragraphs>337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2023-05-05T14:22:00Z</dcterms:created>
  <dc:creator>Быстров Олег Геннадьевич</dc:creator>
  <dc:description/>
  <dc:language>ru-RU</dc:language>
  <cp:lastModifiedBy>unusovmh@corp.gidroogk.com</cp:lastModifiedBy>
  <cp:lastPrinted>2023-05-30T13:12:00Z</cp:lastPrinted>
  <dcterms:modified xsi:type="dcterms:W3CDTF">2026-07-21T10:24:41Z</dcterms:modified>
  <cp:revision>136</cp:revision>
  <dc:subject/>
  <dc:title>Российское открытое акционерное общество энергетики и электрификации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