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9"/>
        <w:shd w:val="clear" w:color="auto" w:fill="auto"/>
        <w:spacing w:lineRule="auto" w:line="276"/>
        <w:ind w:hanging="4767" w:left="902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  <w:bookmarkStart w:id="0" w:name="_Toc141696704"/>
      <w:bookmarkStart w:id="1" w:name="_Toc137554584"/>
      <w:bookmarkStart w:id="2" w:name="_Toc139856287"/>
      <w:bookmarkStart w:id="3" w:name="_Toc141696704"/>
      <w:bookmarkStart w:id="4" w:name="_Toc137554584"/>
      <w:bookmarkStart w:id="5" w:name="_Toc139856287"/>
      <w:bookmarkEnd w:id="3"/>
      <w:bookmarkEnd w:id="4"/>
      <w:bookmarkEnd w:id="5"/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 w:val="false"/>
          <w:bCs w:val="false"/>
          <w:sz w:val="24"/>
          <w:szCs w:val="24"/>
        </w:rPr>
      </w:pPr>
      <w:r>
        <w:rPr>
          <w:rFonts w:eastAsia="Calibri"/>
          <w:b w:val="false"/>
          <w:bCs w:val="false"/>
          <w:sz w:val="24"/>
          <w:szCs w:val="24"/>
        </w:rPr>
      </w:r>
      <w:bookmarkStart w:id="6" w:name="_Toc137554584_Копия_1"/>
      <w:bookmarkStart w:id="7" w:name="_Toc139856287_Копия_1"/>
      <w:bookmarkStart w:id="8" w:name="_Toc141696704_Копия_1"/>
      <w:bookmarkStart w:id="9" w:name="_Toc137554584_Копия_1"/>
      <w:bookmarkStart w:id="10" w:name="_Toc139856287_Копия_1"/>
      <w:bookmarkStart w:id="11" w:name="_Toc141696704_Копия_1"/>
      <w:bookmarkEnd w:id="9"/>
      <w:bookmarkEnd w:id="10"/>
      <w:bookmarkEnd w:id="11"/>
    </w:p>
    <w:p>
      <w:pPr>
        <w:pStyle w:val="Normal"/>
        <w:keepNext w:val="true"/>
        <w:keepLines/>
        <w:jc w:val="center"/>
        <w:rPr>
          <w:b w:val="false"/>
          <w:bCs w:val="false"/>
        </w:rPr>
      </w:pPr>
      <w:r>
        <w:rPr>
          <w:rFonts w:eastAsia="Calibri"/>
          <w:b w:val="false"/>
          <w:bCs w:val="false"/>
          <w:sz w:val="24"/>
          <w:szCs w:val="24"/>
        </w:rPr>
        <w:t>Технические требования</w:t>
      </w:r>
    </w:p>
    <w:p>
      <w:pPr>
        <w:pStyle w:val="Normal"/>
        <w:keepNext w:val="true"/>
        <w:keepLines/>
        <w:jc w:val="center"/>
        <w:rPr>
          <w:b w:val="false"/>
          <w:bCs w:val="false"/>
        </w:rPr>
      </w:pPr>
      <w:r>
        <w:rPr>
          <w:rFonts w:eastAsia="Calibri"/>
          <w:b w:val="false"/>
          <w:bCs w:val="false"/>
          <w:sz w:val="24"/>
          <w:szCs w:val="24"/>
        </w:rPr>
        <w:t>на ОКПД2 49.41.20.000 Оказание услуг фронтального погрузчика с экипажем для нужд Дагестанского филиала АО «Гидроремонт-ВКК» в г. Махачкала</w:t>
      </w:r>
    </w:p>
    <w:p>
      <w:pPr>
        <w:pStyle w:val="Normal"/>
        <w:keepNext w:val="true"/>
        <w:keepLines/>
        <w:jc w:val="center"/>
        <w:rPr>
          <w:b w:val="false"/>
          <w:bCs w:val="false"/>
        </w:rPr>
      </w:pPr>
      <w:r>
        <w:rPr>
          <w:b w:val="false"/>
          <w:bCs w:val="false"/>
          <w:sz w:val="24"/>
          <w:szCs w:val="24"/>
        </w:rPr>
        <w:t>Лот №______________________________</w:t>
      </w:r>
    </w:p>
    <w:p>
      <w:pPr>
        <w:pStyle w:val="Normal"/>
        <w:jc w:val="center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keepNext w:val="true"/>
        <w:keepLines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  <w:r>
        <w:br w:type="page"/>
      </w:r>
    </w:p>
    <w:p>
      <w:pPr>
        <w:pStyle w:val="Heading1"/>
        <w:numPr>
          <w:ilvl w:val="0"/>
          <w:numId w:val="3"/>
        </w:numPr>
        <w:ind w:hanging="360" w:left="567"/>
        <w:jc w:val="center"/>
        <w:rPr>
          <w:sz w:val="24"/>
          <w:szCs w:val="24"/>
        </w:rPr>
      </w:pPr>
      <w:bookmarkStart w:id="12" w:name="_Toc54643694"/>
      <w:r>
        <w:rPr>
          <w:b/>
          <w:sz w:val="24"/>
          <w:szCs w:val="24"/>
        </w:rPr>
        <w:t>Общие сведения</w:t>
      </w:r>
      <w:bookmarkEnd w:id="12"/>
    </w:p>
    <w:p>
      <w:pPr>
        <w:pStyle w:val="Heading4"/>
        <w:numPr>
          <w:ilvl w:val="1"/>
          <w:numId w:val="3"/>
        </w:numPr>
        <w:ind w:hanging="432" w:left="567"/>
        <w:rPr/>
      </w:pPr>
      <w:r>
        <w:rPr/>
        <w:t>Обозначения и сокращения:</w:t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noHBand="0" w:noVBand="1" w:firstColumn="1" w:lastRow="0" w:lastColumn="0" w:firstRow="1"/>
      </w:tblPr>
      <w:tblGrid>
        <w:gridCol w:w="756"/>
        <w:gridCol w:w="3503"/>
        <w:gridCol w:w="5662"/>
      </w:tblGrid>
      <w:tr>
        <w:trPr/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ГСМ</w:t>
            </w: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Горюче-смазочные материалы</w:t>
            </w:r>
          </w:p>
        </w:tc>
      </w:tr>
      <w:tr>
        <w:trPr/>
        <w:tc>
          <w:tcPr>
            <w:tcW w:w="7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ТС</w:t>
            </w:r>
          </w:p>
        </w:tc>
        <w:tc>
          <w:tcPr>
            <w:tcW w:w="56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6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Транспортное средство</w:t>
            </w:r>
          </w:p>
        </w:tc>
      </w:tr>
    </w:tbl>
    <w:p>
      <w:pPr>
        <w:pStyle w:val="Normal"/>
        <w:ind w:hanging="432" w:left="567"/>
        <w:rPr/>
      </w:pPr>
      <w:r>
        <w:rPr/>
      </w:r>
    </w:p>
    <w:p>
      <w:pPr>
        <w:pStyle w:val="Heading4"/>
        <w:numPr>
          <w:ilvl w:val="1"/>
          <w:numId w:val="3"/>
        </w:numPr>
        <w:ind w:hanging="432" w:left="567"/>
        <w:rPr>
          <w:bCs w:val="false"/>
        </w:rPr>
      </w:pPr>
      <w:bookmarkStart w:id="13" w:name="_Toc54643696"/>
      <w:bookmarkStart w:id="14" w:name="_Toc46743506"/>
      <w:r>
        <w:rPr>
          <w:bCs w:val="false"/>
        </w:rPr>
        <w:t>Наименование закупаемой продукции</w:t>
      </w:r>
      <w:bookmarkEnd w:id="13"/>
      <w:bookmarkEnd w:id="14"/>
      <w:r>
        <w:rPr>
          <w:bCs w:val="false"/>
          <w:lang w:val="ru-RU"/>
        </w:rPr>
        <w:t xml:space="preserve">: </w:t>
      </w:r>
      <w:r>
        <w:rPr>
          <w:rFonts w:eastAsia="Calibri"/>
          <w:b w:val="false"/>
          <w:bCs w:val="false"/>
          <w:sz w:val="24"/>
          <w:szCs w:val="24"/>
          <w:lang w:val="ru-RU"/>
        </w:rPr>
        <w:t>ОКПД2 49.41.20.000 Оказание услуг фронтального погрузчика с экипажем для нужд Дагестанского филиала АО «Гидроремонт-ВКК» в г. Махачкала</w:t>
      </w:r>
      <w:r>
        <w:rPr>
          <w:bCs w:val="false"/>
          <w:lang w:val="ru-RU"/>
        </w:rPr>
        <w:t>.</w:t>
      </w:r>
    </w:p>
    <w:p>
      <w:pPr>
        <w:pStyle w:val="Heading4"/>
        <w:numPr>
          <w:ilvl w:val="1"/>
          <w:numId w:val="3"/>
        </w:numPr>
        <w:ind w:hanging="432" w:left="567"/>
        <w:rPr/>
      </w:pPr>
      <w:bookmarkStart w:id="15" w:name="_Toc54643697"/>
      <w:bookmarkStart w:id="16" w:name="_Toc46743507"/>
      <w:r>
        <w:rPr>
          <w:bCs w:val="false"/>
          <w:lang w:val="ru-RU"/>
        </w:rPr>
        <w:t xml:space="preserve">Цель </w:t>
      </w:r>
      <w:bookmarkEnd w:id="16"/>
      <w:r>
        <w:rPr>
          <w:bCs w:val="false"/>
          <w:lang w:val="ru-RU"/>
        </w:rPr>
        <w:t xml:space="preserve">оказания услуг: </w:t>
      </w:r>
      <w:bookmarkEnd w:id="15"/>
      <w:r>
        <w:rPr>
          <w:bCs w:val="false"/>
          <w:lang w:val="ru-RU"/>
        </w:rPr>
        <w:t xml:space="preserve"> В</w:t>
      </w:r>
      <w:r>
        <w:rPr>
          <w:rStyle w:val="Style8"/>
          <w:b w:val="false"/>
          <w:bCs w:val="false"/>
          <w:i w:val="false"/>
          <w:shd w:fill="auto" w:val="clear"/>
          <w:lang w:val="ru-RU"/>
        </w:rPr>
        <w:t xml:space="preserve">ыполнение </w:t>
      </w:r>
      <w:r>
        <w:rPr>
          <w:rStyle w:val="Style8"/>
          <w:b w:val="false"/>
          <w:bCs w:val="false"/>
          <w:i w:val="false"/>
          <w:color w:val="000000"/>
          <w:sz w:val="24"/>
          <w:szCs w:val="24"/>
          <w:shd w:fill="auto" w:val="clear"/>
          <w:lang w:val="ru-RU"/>
        </w:rPr>
        <w:t>договора подряда с ПАО «РусГидро»</w:t>
      </w:r>
      <w:r>
        <w:rPr>
          <w:bCs w:val="false"/>
          <w:color w:val="000000"/>
          <w:lang w:val="ru-RU"/>
        </w:rPr>
        <w:t>.</w:t>
      </w:r>
    </w:p>
    <w:p>
      <w:pPr>
        <w:pStyle w:val="Heading1"/>
        <w:tabs>
          <w:tab w:val="clear" w:pos="0"/>
          <w:tab w:val="left" w:pos="851" w:leader="none"/>
        </w:tabs>
        <w:ind w:hanging="0" w:left="0"/>
        <w:rPr>
          <w:sz w:val="24"/>
          <w:szCs w:val="24"/>
        </w:rPr>
      </w:pPr>
      <w:bookmarkStart w:id="17" w:name="_Toc54643699"/>
      <w:r>
        <w:rPr>
          <w:sz w:val="24"/>
          <w:szCs w:val="24"/>
        </w:rPr>
        <w:t>Таблица 1. Перечень объектов заказчика</w:t>
      </w:r>
      <w:bookmarkEnd w:id="17"/>
    </w:p>
    <w:tbl>
      <w:tblPr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1012"/>
        <w:gridCol w:w="3555"/>
        <w:gridCol w:w="2700"/>
        <w:gridCol w:w="2653"/>
      </w:tblGrid>
      <w:tr>
        <w:trPr/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Место оказания услуг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</w:tr>
      <w:tr>
        <w:trPr/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881" w:hRule="atLeast"/>
        </w:trPr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rPr/>
            </w:pPr>
            <w:r>
              <w:rPr/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Cs/>
                <w:sz w:val="24"/>
                <w:szCs w:val="24"/>
                <w:shd w:fill="FFFFFF" w:val="clear"/>
              </w:rPr>
              <w:t>Чиркейская ГЭС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Cs/>
                <w:sz w:val="24"/>
                <w:szCs w:val="24"/>
                <w:shd w:fill="FFFFFF" w:val="clear"/>
                <w:lang w:val="en-US"/>
              </w:rPr>
              <w:t>Республика Дагестан, Буйнакский район, Чиркейская ГЭС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4"/>
              <w:numPr>
                <w:ilvl w:val="1"/>
              </w:numPr>
              <w:spacing w:before="120" w:after="60"/>
              <w:ind w:hanging="0" w:left="567"/>
              <w:jc w:val="center"/>
              <w:rPr/>
            </w:pPr>
            <w:r>
              <w:rPr>
                <w:rStyle w:val="Style8"/>
                <w:b w:val="false"/>
                <w:bCs w:val="false"/>
                <w:i w:val="false"/>
                <w:iCs/>
                <w:color w:val="000000"/>
                <w:sz w:val="24"/>
                <w:szCs w:val="24"/>
                <w:shd w:fill="auto" w:val="clear"/>
                <w:lang w:val="ru-RU"/>
              </w:rPr>
              <w:t>(ОРУ) 330 кВ Чиркейской ГЭС</w:t>
            </w:r>
          </w:p>
        </w:tc>
      </w:tr>
    </w:tbl>
    <w:p>
      <w:pPr>
        <w:pStyle w:val="Heading4"/>
        <w:numPr>
          <w:ilvl w:val="1"/>
          <w:numId w:val="3"/>
        </w:numPr>
        <w:ind w:hanging="432" w:left="567"/>
        <w:rPr/>
      </w:pPr>
      <w:bookmarkStart w:id="18" w:name="_Hlk49857604"/>
      <w:bookmarkStart w:id="19" w:name="_Toc54643700"/>
      <w:bookmarkStart w:id="20" w:name="_Toc46743509"/>
      <w:r>
        <w:rPr/>
        <w:t xml:space="preserve">Информация в отношении исполнения договора, </w:t>
      </w:r>
      <w:bookmarkStart w:id="21" w:name="_Hlk46492347"/>
      <w:r>
        <w:rPr/>
        <w:t xml:space="preserve">которая должна быть учтена при подготовке заявки </w:t>
      </w:r>
      <w:bookmarkEnd w:id="21"/>
      <w:r>
        <w:rPr/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rPr/>
        <w:t xml:space="preserve"> на этапе исполнения договора)</w:t>
      </w:r>
      <w:bookmarkStart w:id="22" w:name="_Hlk48209761"/>
      <w:bookmarkEnd w:id="18"/>
      <w:bookmarkEnd w:id="19"/>
      <w:bookmarkEnd w:id="20"/>
      <w:r>
        <w:rPr>
          <w:lang w:val="ru-RU"/>
        </w:rPr>
        <w:t xml:space="preserve">: </w:t>
      </w:r>
    </w:p>
    <w:p>
      <w:pPr>
        <w:pStyle w:val="ListParagraph"/>
        <w:ind w:hanging="0" w:left="567"/>
        <w:jc w:val="both"/>
        <w:rPr/>
      </w:pPr>
      <w:r>
        <w:rPr/>
      </w:r>
    </w:p>
    <w:p>
      <w:pPr>
        <w:pStyle w:val="Heading1"/>
        <w:numPr>
          <w:ilvl w:val="0"/>
          <w:numId w:val="3"/>
        </w:numPr>
        <w:spacing w:before="0" w:after="60"/>
        <w:ind w:hanging="360" w:left="567"/>
        <w:jc w:val="center"/>
        <w:rPr>
          <w:sz w:val="24"/>
          <w:szCs w:val="24"/>
        </w:rPr>
      </w:pPr>
      <w:bookmarkStart w:id="23" w:name="_Toc54643702"/>
      <w:bookmarkStart w:id="24" w:name="_Toc51339693"/>
      <w:bookmarkStart w:id="25" w:name="_Toc46743510"/>
      <w:bookmarkStart w:id="26" w:name="_Toc50125126"/>
      <w:bookmarkEnd w:id="22"/>
      <w:bookmarkEnd w:id="25"/>
      <w:bookmarkEnd w:id="26"/>
      <w:r>
        <w:rPr>
          <w:b/>
          <w:sz w:val="24"/>
          <w:szCs w:val="24"/>
          <w:lang w:val="ru-RU"/>
        </w:rPr>
        <w:t>Требования</w:t>
      </w:r>
      <w:r>
        <w:rPr>
          <w:b/>
          <w:sz w:val="24"/>
          <w:szCs w:val="24"/>
        </w:rPr>
        <w:t xml:space="preserve"> к продукции</w:t>
      </w:r>
      <w:bookmarkEnd w:id="23"/>
      <w:bookmarkEnd w:id="24"/>
    </w:p>
    <w:p>
      <w:pPr>
        <w:pStyle w:val="Heading4"/>
        <w:numPr>
          <w:ilvl w:val="1"/>
          <w:numId w:val="3"/>
        </w:numPr>
        <w:ind w:hanging="432" w:left="567"/>
        <w:rPr/>
      </w:pPr>
      <w:bookmarkStart w:id="27" w:name="_Toc54643703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27"/>
    </w:p>
    <w:p>
      <w:pPr>
        <w:pStyle w:val="Heading3"/>
        <w:numPr>
          <w:ilvl w:val="2"/>
          <w:numId w:val="3"/>
        </w:numPr>
        <w:ind w:hanging="504" w:left="567"/>
        <w:rPr/>
      </w:pPr>
      <w:bookmarkStart w:id="28" w:name="_Toc54643704"/>
      <w:r>
        <w:rPr/>
        <w:t>Требования к перечню и объему услуг</w:t>
      </w:r>
      <w:bookmarkEnd w:id="28"/>
    </w:p>
    <w:p>
      <w:pPr>
        <w:pStyle w:val="Heading1"/>
        <w:tabs>
          <w:tab w:val="clear" w:pos="0"/>
          <w:tab w:val="left" w:pos="851" w:leader="none"/>
        </w:tabs>
        <w:ind w:hanging="0" w:left="0"/>
        <w:rPr>
          <w:sz w:val="24"/>
          <w:szCs w:val="24"/>
        </w:rPr>
      </w:pPr>
      <w:bookmarkStart w:id="29" w:name="_Toc54643705"/>
      <w:bookmarkStart w:id="30" w:name="_Toc51339695"/>
      <w:r>
        <w:rPr>
          <w:sz w:val="24"/>
          <w:szCs w:val="24"/>
        </w:rPr>
        <w:t xml:space="preserve">Таблица 2. Перечень </w:t>
      </w:r>
      <w:bookmarkEnd w:id="30"/>
      <w:r>
        <w:rPr>
          <w:sz w:val="24"/>
          <w:szCs w:val="24"/>
        </w:rPr>
        <w:t>и объем оказываемых услуг</w:t>
      </w:r>
      <w:bookmarkEnd w:id="29"/>
    </w:p>
    <w:tbl>
      <w:tblPr>
        <w:tblW w:w="1009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05"/>
        <w:gridCol w:w="3315"/>
        <w:gridCol w:w="2773"/>
        <w:gridCol w:w="1258"/>
        <w:gridCol w:w="2042"/>
      </w:tblGrid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техническим характеристикам ТС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Ориентировочное количество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jc w:val="center"/>
              <w:rPr>
                <w:b w:val="false"/>
                <w:bCs w:val="false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 xml:space="preserve"> </w:t>
            </w: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Оказание услуг фронтального погрузчика с экипажем для нужд Дагестанского филиала АО «Гидроремонт-ВКК» в г. Махачкала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Грузоподъемность ковша — не менее 5000 кг, высота выгрузки — не менее 3,1 метра, дальность выгрузки — не менее 1,2 метра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тонн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</w:p>
        </w:tc>
      </w:tr>
    </w:tbl>
    <w:p>
      <w:pPr>
        <w:pStyle w:val="Heading3"/>
        <w:numPr>
          <w:ilvl w:val="2"/>
          <w:numId w:val="3"/>
        </w:numPr>
        <w:ind w:hanging="504" w:left="567"/>
        <w:rPr/>
      </w:pPr>
      <w:bookmarkStart w:id="31" w:name="_Toc54643706"/>
      <w:bookmarkStart w:id="32" w:name="_Toc51339696"/>
      <w:bookmarkStart w:id="33" w:name="_GoBack_Копия_1_Копия_1"/>
      <w:bookmarkEnd w:id="33"/>
      <w:r>
        <w:rPr/>
        <w:t xml:space="preserve">Требования </w:t>
      </w:r>
      <w:bookmarkEnd w:id="32"/>
      <w:r>
        <w:rPr/>
        <w:t>к срокам оказания услуг</w:t>
      </w:r>
      <w:bookmarkEnd w:id="31"/>
    </w:p>
    <w:p>
      <w:pPr>
        <w:pStyle w:val="Heading1"/>
        <w:tabs>
          <w:tab w:val="clear" w:pos="0"/>
          <w:tab w:val="left" w:pos="851" w:leader="none"/>
        </w:tabs>
        <w:ind w:hanging="0" w:left="0"/>
        <w:rPr>
          <w:sz w:val="24"/>
          <w:szCs w:val="24"/>
        </w:rPr>
      </w:pPr>
      <w:bookmarkStart w:id="34" w:name="_Toc54643707"/>
      <w:bookmarkStart w:id="35" w:name="_Toc51339697"/>
      <w:bookmarkStart w:id="36" w:name="_Toc50125127"/>
      <w:bookmarkStart w:id="37" w:name="_Toc501251261"/>
      <w:bookmarkEnd w:id="37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38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35"/>
      <w:bookmarkEnd w:id="36"/>
      <w:bookmarkEnd w:id="38"/>
      <w:r>
        <w:rPr>
          <w:sz w:val="24"/>
          <w:szCs w:val="24"/>
          <w:lang w:val="ru-RU"/>
        </w:rPr>
        <w:t>оказания услуг</w:t>
      </w:r>
      <w:bookmarkEnd w:id="34"/>
    </w:p>
    <w:tbl>
      <w:tblPr>
        <w:tblW w:w="10201" w:type="dxa"/>
        <w:jc w:val="left"/>
        <w:tblInd w:w="108" w:type="dxa"/>
        <w:tblLayout w:type="fixed"/>
        <w:tblCellMar>
          <w:top w:w="55" w:type="dxa"/>
          <w:left w:w="108" w:type="dxa"/>
          <w:bottom w:w="55" w:type="dxa"/>
          <w:right w:w="108" w:type="dxa"/>
        </w:tblCellMar>
        <w:tblLook w:val="04a0" w:noHBand="0" w:noVBand="1" w:firstColumn="1" w:lastRow="0" w:lastColumn="0" w:firstRow="1"/>
      </w:tblPr>
      <w:tblGrid>
        <w:gridCol w:w="1136"/>
        <w:gridCol w:w="4103"/>
        <w:gridCol w:w="2555"/>
        <w:gridCol w:w="2406"/>
      </w:tblGrid>
      <w:tr>
        <w:trPr/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11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10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/>
            </w:pPr>
            <w:r>
              <w:rPr/>
            </w:r>
          </w:p>
        </w:tc>
        <w:tc>
          <w:tcPr>
            <w:tcW w:w="410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jc w:val="center"/>
              <w:rPr>
                <w:b w:val="false"/>
                <w:bCs w:val="false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Оказание услуг фронтального погрузчика с экипажем для нужд Дагестанского филиала АО «Гидроремонт-ВКК» в г. Махачкала</w:t>
            </w:r>
          </w:p>
        </w:tc>
        <w:tc>
          <w:tcPr>
            <w:tcW w:w="2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01.10.2026г.</w:t>
            </w:r>
          </w:p>
        </w:tc>
      </w:tr>
    </w:tbl>
    <w:p>
      <w:pPr>
        <w:pStyle w:val="Normal"/>
        <w:rPr>
          <w:sz w:val="24"/>
          <w:szCs w:val="24"/>
          <w:lang w:eastAsia="x-none"/>
        </w:rPr>
      </w:pPr>
      <w:bookmarkStart w:id="39" w:name="_Toc467435101"/>
      <w:bookmarkEnd w:id="39"/>
      <w:r>
        <w:rPr>
          <w:sz w:val="24"/>
          <w:szCs w:val="24"/>
          <w:lang w:eastAsia="x-none"/>
        </w:rPr>
        <w:t>*</w:t>
      </w:r>
      <w:r>
        <w:rPr/>
        <w:t xml:space="preserve"> </w:t>
      </w:r>
      <w:r>
        <w:rPr>
          <w:sz w:val="24"/>
          <w:szCs w:val="24"/>
          <w:lang w:eastAsia="x-none"/>
        </w:rPr>
        <w:t>Данный срок установлен в соответствии с требованиями заключенного договора, указанного в пункте 1.3. Технических требований.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>2.2.</w:t>
        <w:tab/>
      </w:r>
      <w:bookmarkStart w:id="40" w:name="_Toc141969503"/>
      <w:r>
        <w:rPr>
          <w:b/>
          <w:sz w:val="24"/>
          <w:szCs w:val="24"/>
        </w:rPr>
        <w:t>Требования к качеству услуг</w:t>
      </w:r>
      <w:bookmarkEnd w:id="40"/>
    </w:p>
    <w:p>
      <w:pPr>
        <w:pStyle w:val="Heading1"/>
        <w:ind w:hanging="567" w:left="567"/>
        <w:rPr>
          <w:b/>
          <w:sz w:val="24"/>
          <w:szCs w:val="24"/>
        </w:rPr>
      </w:pPr>
      <w:bookmarkStart w:id="41" w:name="_Toc54643709"/>
      <w:bookmarkStart w:id="42" w:name="_Toc141969504"/>
      <w:bookmarkStart w:id="43" w:name="_Toc51339698"/>
      <w:bookmarkStart w:id="44" w:name="_Toc50125131"/>
      <w:r>
        <w:rPr>
          <w:b/>
          <w:sz w:val="24"/>
          <w:szCs w:val="24"/>
        </w:rPr>
        <w:t xml:space="preserve">Таблица 4. Требования к </w:t>
      </w:r>
      <w:bookmarkEnd w:id="43"/>
      <w:bookmarkEnd w:id="44"/>
      <w:r>
        <w:rPr>
          <w:b/>
          <w:sz w:val="24"/>
          <w:szCs w:val="24"/>
        </w:rPr>
        <w:t>качеству услуг</w:t>
      </w:r>
      <w:bookmarkEnd w:id="41"/>
      <w:bookmarkEnd w:id="42"/>
      <w:r>
        <w:rPr>
          <w:b/>
          <w:sz w:val="24"/>
          <w:szCs w:val="24"/>
        </w:rPr>
        <w:t xml:space="preserve"> </w:t>
      </w:r>
    </w:p>
    <w:p>
      <w:pPr>
        <w:pStyle w:val="Normal"/>
        <w:rPr>
          <w:lang w:val="x-none" w:eastAsia="x-none"/>
        </w:rPr>
      </w:pPr>
      <w:r>
        <w:rPr>
          <w:b/>
          <w:bCs/>
          <w:sz w:val="24"/>
          <w:szCs w:val="24"/>
        </w:rPr>
        <w:t xml:space="preserve">Наименование услуг (позиция № 1- таблицы 2): </w:t>
      </w:r>
      <w:r>
        <w:rPr>
          <w:rFonts w:eastAsia="Calibri"/>
          <w:b w:val="false"/>
          <w:bCs w:val="false"/>
          <w:sz w:val="24"/>
          <w:szCs w:val="24"/>
        </w:rPr>
        <w:t>ОКПД2 49.41.20.000 Оказание услуг фронтального погрузчика с экипажем для нужд Дагестанского филиала АО «Гидроремонт-ВКК» в г. Махачкала</w:t>
      </w:r>
      <w:r>
        <w:rPr>
          <w:rFonts w:eastAsia="Calibri"/>
          <w:b w:val="false"/>
          <w:bCs w:val="false"/>
          <w:i w:val="false"/>
          <w:iCs w:val="false"/>
          <w:sz w:val="24"/>
          <w:szCs w:val="24"/>
          <w:lang w:val="ru-RU" w:eastAsia="x-none"/>
        </w:rPr>
        <w:t>.</w:t>
      </w:r>
    </w:p>
    <w:tbl>
      <w:tblPr>
        <w:tblStyle w:val="affffa"/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22"/>
        <w:gridCol w:w="3149"/>
        <w:gridCol w:w="6250"/>
      </w:tblGrid>
      <w:tr>
        <w:trPr>
          <w:trHeight w:val="20" w:hRule="atLeast"/>
        </w:trPr>
        <w:tc>
          <w:tcPr>
            <w:tcW w:w="5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314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62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</w:tr>
      <w:tr>
        <w:trPr>
          <w:trHeight w:val="20" w:hRule="atLeast"/>
        </w:trPr>
        <w:tc>
          <w:tcPr>
            <w:tcW w:w="5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bookmarkStart w:id="45" w:name="_Toc53499667"/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45"/>
          </w:p>
        </w:tc>
        <w:tc>
          <w:tcPr>
            <w:tcW w:w="314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62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>
          <w:trHeight w:val="20" w:hRule="atLeast"/>
        </w:trPr>
        <w:tc>
          <w:tcPr>
            <w:tcW w:w="52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9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оказанию услуг</w:t>
            </w:r>
          </w:p>
        </w:tc>
      </w:tr>
      <w:tr>
        <w:trPr>
          <w:trHeight w:val="20" w:hRule="atLeast"/>
        </w:trPr>
        <w:tc>
          <w:tcPr>
            <w:tcW w:w="5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314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Требование к предоставляемой технике</w:t>
            </w:r>
          </w:p>
        </w:tc>
        <w:tc>
          <w:tcPr>
            <w:tcW w:w="625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должен иметь технику для исполнения договора в собственности или на праве аренды материально-технических ресурсов (машин и механизмов, специальных приспособлений и инструментов) на оказание услуг по предмету закупки.</w:t>
            </w:r>
          </w:p>
        </w:tc>
      </w:tr>
      <w:tr>
        <w:trPr>
          <w:trHeight w:val="20" w:hRule="atLeast"/>
        </w:trPr>
        <w:tc>
          <w:tcPr>
            <w:tcW w:w="52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9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процедурам оказания услуг</w:t>
            </w:r>
          </w:p>
        </w:tc>
      </w:tr>
      <w:tr>
        <w:trPr>
          <w:trHeight w:val="20" w:hRule="atLeast"/>
        </w:trPr>
        <w:tc>
          <w:tcPr>
            <w:tcW w:w="52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2.1</w:t>
            </w:r>
          </w:p>
        </w:tc>
        <w:tc>
          <w:tcPr>
            <w:tcW w:w="3149" w:type="dxa"/>
            <w:vMerge w:val="restart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Ответственность Исполнителя в части оказания услуг</w:t>
            </w:r>
          </w:p>
        </w:tc>
        <w:tc>
          <w:tcPr>
            <w:tcW w:w="6250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Исполнитель несет ответственность перед третьими лицами за ущерб оказанный в процессе оказания услуг</w:t>
            </w:r>
          </w:p>
        </w:tc>
      </w:tr>
      <w:tr>
        <w:trPr>
          <w:trHeight w:val="20" w:hRule="atLeast"/>
        </w:trPr>
        <w:tc>
          <w:tcPr>
            <w:tcW w:w="52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49" w:type="dxa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2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оказывает Услуги, в соответствии с потребностью Заказчика, на основании соответствующей заявки</w:t>
            </w:r>
          </w:p>
        </w:tc>
      </w:tr>
      <w:tr>
        <w:trPr>
          <w:trHeight w:val="20" w:hRule="atLeast"/>
        </w:trPr>
        <w:tc>
          <w:tcPr>
            <w:tcW w:w="52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49" w:type="dxa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2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производит страхование Техники и несет ответственность за возможный ущерб, причиненный Заказчику, в случае ненадлежащей эксплуатации Исполнителем ТС</w:t>
            </w:r>
          </w:p>
        </w:tc>
      </w:tr>
      <w:tr>
        <w:trPr>
          <w:trHeight w:val="20" w:hRule="atLeast"/>
        </w:trPr>
        <w:tc>
          <w:tcPr>
            <w:tcW w:w="52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9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применяемым при оказании услуг оборудованию и материалам</w:t>
            </w:r>
          </w:p>
        </w:tc>
      </w:tr>
      <w:tr>
        <w:trPr>
          <w:trHeight w:val="20" w:hRule="atLeast"/>
        </w:trPr>
        <w:tc>
          <w:tcPr>
            <w:tcW w:w="5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3.1</w:t>
            </w:r>
          </w:p>
        </w:tc>
        <w:tc>
          <w:tcPr>
            <w:tcW w:w="314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Соответствие техники законодательству РФ</w:t>
            </w:r>
          </w:p>
        </w:tc>
        <w:tc>
          <w:tcPr>
            <w:tcW w:w="62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Используемые ТС должны соответствовать требованиям безопасности, общим требованиям, установленным «ГОСТ 25646-95. Эксплуатация строительных машин. Общие требования», ГОСТ 33997-2016 «Колесные транспортные средства. Требования к безопасности в эксплуатации и методы проверки»</w:t>
            </w:r>
          </w:p>
        </w:tc>
      </w:tr>
      <w:tr>
        <w:trPr>
          <w:trHeight w:val="20" w:hRule="atLeast"/>
        </w:trPr>
        <w:tc>
          <w:tcPr>
            <w:tcW w:w="52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3.2</w:t>
            </w:r>
          </w:p>
        </w:tc>
        <w:tc>
          <w:tcPr>
            <w:tcW w:w="3149" w:type="dxa"/>
            <w:vMerge w:val="restart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техническому состоянию Техники</w:t>
            </w:r>
          </w:p>
        </w:tc>
        <w:tc>
          <w:tcPr>
            <w:tcW w:w="62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Выпускать на маршрут технически исправную Технику, прошедшую в установленном порядке государственный технический осмотр.</w:t>
            </w:r>
          </w:p>
        </w:tc>
      </w:tr>
      <w:tr>
        <w:trPr>
          <w:trHeight w:val="20" w:hRule="atLeast"/>
        </w:trPr>
        <w:tc>
          <w:tcPr>
            <w:tcW w:w="522" w:type="dxa"/>
            <w:vMerge w:val="continue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hanging="0" w:left="1224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149" w:type="dxa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2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Содержание (мойка (по мере необходимости), техническое обслуживание и ремонт, в том числе приобретение запасных частей, шин, расходных материалов) заправка топливом и смазочными материалами автотранспорта и спецтехники осуществляется силами и средствами Исполнителя, в том числе все виды обязательного страхования, предусмотренные законодательством РФ для оказания вышеперечисленных услуг.</w:t>
            </w:r>
          </w:p>
        </w:tc>
      </w:tr>
      <w:tr>
        <w:trPr>
          <w:trHeight w:val="20" w:hRule="atLeast"/>
        </w:trPr>
        <w:tc>
          <w:tcPr>
            <w:tcW w:w="52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9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персоналу исполнителя</w:t>
            </w:r>
          </w:p>
        </w:tc>
      </w:tr>
      <w:tr>
        <w:trPr>
          <w:trHeight w:val="20" w:hRule="atLeast"/>
        </w:trPr>
        <w:tc>
          <w:tcPr>
            <w:tcW w:w="52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4.1</w:t>
            </w:r>
          </w:p>
        </w:tc>
        <w:tc>
          <w:tcPr>
            <w:tcW w:w="3149" w:type="dxa"/>
            <w:vMerge w:val="restart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Требования к персоналу Исполнителя</w:t>
            </w:r>
          </w:p>
        </w:tc>
        <w:tc>
          <w:tcPr>
            <w:tcW w:w="6250" w:type="dxa"/>
            <w:tcBorders/>
            <w:shd w:color="auto" w:fill="auto" w:val="clear"/>
          </w:tcPr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Лица, управляющие техникой, должны иметь действующие квалификационные удостоверения на работу с техникой и водительское удостоверение с разрешенной категорией</w:t>
            </w:r>
          </w:p>
        </w:tc>
      </w:tr>
      <w:tr>
        <w:trPr>
          <w:trHeight w:val="20" w:hRule="atLeast"/>
        </w:trPr>
        <w:tc>
          <w:tcPr>
            <w:tcW w:w="522" w:type="dxa"/>
            <w:vMerge w:val="continue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hanging="0" w:left="36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149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  <w:tc>
          <w:tcPr>
            <w:tcW w:w="6250" w:type="dxa"/>
            <w:tcBorders/>
            <w:shd w:color="auto" w:fill="auto" w:val="clear"/>
          </w:tcPr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Разрешается допускать к управлению, только специально обученных и имеющих опыт работы на ТС операторов-водителей, имеющих соответствующую квалификацию, прошедших стажировку и медицинское освидетельствование, предрейсовый, послерейсовый медосмотр собственным лицензированным медицинским работником или, при наличии договора на данный вид услуг, медицинским учреждением согласно рекомендациям Минздрава РФ и Минтранса РФ от 29.01.02 г и требованиями ФЗ от 10.12.1995 № 96-ФЗ «О безопасности дорожного движения».</w:t>
            </w:r>
          </w:p>
        </w:tc>
      </w:tr>
      <w:tr>
        <w:trPr>
          <w:trHeight w:val="20" w:hRule="atLeast"/>
        </w:trPr>
        <w:tc>
          <w:tcPr>
            <w:tcW w:w="52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9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</w:tr>
      <w:tr>
        <w:trPr>
          <w:trHeight w:val="20" w:hRule="atLeast"/>
        </w:trPr>
        <w:tc>
          <w:tcPr>
            <w:tcW w:w="52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uppressAutoHyphens w:val="true"/>
              <w:spacing w:before="60" w:after="60"/>
              <w:ind w:firstLine="142" w:left="-117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9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услуг</w:t>
            </w:r>
          </w:p>
        </w:tc>
      </w:tr>
      <w:tr>
        <w:trPr>
          <w:trHeight w:val="20" w:hRule="atLeast"/>
        </w:trPr>
        <w:tc>
          <w:tcPr>
            <w:tcW w:w="5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4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соблюдению Исполнителя технологической, производственной и трудовой дисциплин</w:t>
            </w:r>
          </w:p>
        </w:tc>
        <w:tc>
          <w:tcPr>
            <w:tcW w:w="62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должен соблюдать требования технологической, производственной и трудовой дисциплины</w:t>
            </w:r>
          </w:p>
        </w:tc>
      </w:tr>
      <w:tr>
        <w:trPr>
          <w:trHeight w:val="20" w:hRule="atLeast"/>
        </w:trPr>
        <w:tc>
          <w:tcPr>
            <w:tcW w:w="52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9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4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</w:tr>
      <w:tr>
        <w:trPr>
          <w:trHeight w:val="20" w:hRule="atLeast"/>
        </w:trPr>
        <w:tc>
          <w:tcPr>
            <w:tcW w:w="5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6.1</w:t>
            </w:r>
          </w:p>
        </w:tc>
        <w:tc>
          <w:tcPr>
            <w:tcW w:w="314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Соответствие ТС законодательству РФ</w:t>
            </w:r>
          </w:p>
        </w:tc>
        <w:tc>
          <w:tcPr>
            <w:tcW w:w="625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должен соблюдать законодательство РФ при эксплуатации, обслуживании и предоставлении техники предоставляемых Заказчику.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должен предоставить документы о праве собственности или владения техникой (ПТС или договор аренды техники у собственника).  Документы предоставляются после заключения договора.</w:t>
            </w:r>
          </w:p>
        </w:tc>
      </w:tr>
      <w:tr>
        <w:trPr>
          <w:trHeight w:val="20" w:hRule="atLeast"/>
        </w:trPr>
        <w:tc>
          <w:tcPr>
            <w:tcW w:w="52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9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ответственности и гарантиям исполнителя</w:t>
            </w:r>
          </w:p>
        </w:tc>
      </w:tr>
      <w:tr>
        <w:trPr>
          <w:trHeight w:val="20" w:hRule="atLeast"/>
        </w:trPr>
        <w:tc>
          <w:tcPr>
            <w:tcW w:w="5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7.1</w:t>
            </w:r>
          </w:p>
        </w:tc>
        <w:tc>
          <w:tcPr>
            <w:tcW w:w="314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Обязанности Исполнителя</w:t>
            </w:r>
          </w:p>
        </w:tc>
        <w:tc>
          <w:tcPr>
            <w:tcW w:w="62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обязан нести все расходы, связанные с эксплуатацией техники, включая, но не ограничиваясь расходы на заработную плату членам экипажей, оплату топлива, горюче-смазочных материалов и эксплуатационных жидкостей, оплату ремонта и запасных частей для спецтехники, оплату стоимости налоговых пошлин, страховых сборов, оплату штрафов, и иных расходов, возникающих в связи с эксплуатацией спецтехники.</w:t>
            </w:r>
          </w:p>
        </w:tc>
      </w:tr>
      <w:tr>
        <w:trPr>
          <w:trHeight w:val="20" w:hRule="atLeast"/>
        </w:trPr>
        <w:tc>
          <w:tcPr>
            <w:tcW w:w="52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99" w:type="dxa"/>
            <w:gridSpan w:val="2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</w:tr>
      <w:tr>
        <w:trPr>
          <w:trHeight w:val="20" w:hRule="atLeast"/>
        </w:trPr>
        <w:tc>
          <w:tcPr>
            <w:tcW w:w="5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8.1</w:t>
            </w:r>
          </w:p>
        </w:tc>
        <w:tc>
          <w:tcPr>
            <w:tcW w:w="314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Обязанности Исполнителя</w:t>
            </w:r>
          </w:p>
        </w:tc>
        <w:tc>
          <w:tcPr>
            <w:tcW w:w="625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Исполнитель обязан при невозможности предоставления спецтехники, согласованной в Заявке (ДТП, постановка в ремонт / на техническое обслуживание, угон ТС, иные причины) незамедлительно уведомить об этом Заказчика и по согласованию с Заказчиком предоставить подменную технику с аналогичными техническими характеристиками, соответствующими условиям Договора и на условиях, согласованных в Заявках.</w:t>
            </w:r>
          </w:p>
        </w:tc>
      </w:tr>
      <w:tr>
        <w:trPr>
          <w:trHeight w:val="20" w:hRule="atLeast"/>
        </w:trPr>
        <w:tc>
          <w:tcPr>
            <w:tcW w:w="52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9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Прочие требования к оказанию услуг</w:t>
            </w:r>
          </w:p>
        </w:tc>
      </w:tr>
      <w:tr>
        <w:trPr>
          <w:trHeight w:val="20" w:hRule="atLeast"/>
        </w:trPr>
        <w:tc>
          <w:tcPr>
            <w:tcW w:w="522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hanging="0" w:left="25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9.1</w:t>
            </w:r>
          </w:p>
        </w:tc>
        <w:tc>
          <w:tcPr>
            <w:tcW w:w="314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Стоимость погрузки 1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тонны</w:t>
            </w:r>
          </w:p>
        </w:tc>
        <w:tc>
          <w:tcPr>
            <w:tcW w:w="62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Стоимость погрузки 1 тонны является фиксированной и постоянной на протяжении всего срока действия договора</w:t>
            </w:r>
          </w:p>
        </w:tc>
      </w:tr>
      <w:tr>
        <w:trPr>
          <w:trHeight w:val="20" w:hRule="atLeast"/>
        </w:trPr>
        <w:tc>
          <w:tcPr>
            <w:tcW w:w="522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hanging="0" w:left="25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9.2</w:t>
            </w:r>
          </w:p>
        </w:tc>
        <w:tc>
          <w:tcPr>
            <w:tcW w:w="314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Конфиденциальность</w:t>
            </w:r>
          </w:p>
        </w:tc>
        <w:tc>
          <w:tcPr>
            <w:tcW w:w="62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должен гарантировать наличие у персонала необходимых допусков и разрешений для оказания услуг, соблюдение установленных на объекте режимных требований при входе и выходе персонала, въезде, выезде Техники и ввозе материалов, условий конфиденциальности и неразглашения информации, а также других требований, описанных в данном техническом задании.</w:t>
            </w:r>
          </w:p>
        </w:tc>
      </w:tr>
    </w:tbl>
    <w:p>
      <w:pPr>
        <w:pStyle w:val="Normal"/>
        <w:keepNext w:val="true"/>
        <w:keepLines/>
        <w:numPr>
          <w:ilvl w:val="0"/>
          <w:numId w:val="0"/>
        </w:numPr>
        <w:tabs>
          <w:tab w:val="clear" w:pos="708"/>
          <w:tab w:val="left" w:pos="0" w:leader="none"/>
        </w:tabs>
        <w:spacing w:before="120" w:after="60"/>
        <w:ind w:hanging="357" w:left="357"/>
        <w:outlineLvl w:val="0"/>
        <w:rPr>
          <w:rFonts w:eastAsia="Calibri"/>
          <w:b/>
          <w:iCs/>
          <w:sz w:val="24"/>
          <w:szCs w:val="24"/>
          <w:lang w:eastAsia="x-none"/>
        </w:rPr>
      </w:pPr>
      <w:r>
        <w:rPr>
          <w:rFonts w:eastAsia="Calibri"/>
          <w:b/>
          <w:iCs/>
          <w:sz w:val="24"/>
          <w:szCs w:val="24"/>
          <w:lang w:eastAsia="x-none"/>
        </w:rPr>
        <w:t>3. Требования к документации по ценообразованию на этапе закупки</w:t>
      </w:r>
    </w:p>
    <w:p>
      <w:pPr>
        <w:pStyle w:val="Normal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3.1.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Normal"/>
        <w:jc w:val="both"/>
        <w:rPr>
          <w:lang w:eastAsia="x-none"/>
        </w:rPr>
      </w:pPr>
      <w:r>
        <w:rPr>
          <w:sz w:val="24"/>
          <w:szCs w:val="24"/>
          <w:lang w:eastAsia="x-none"/>
        </w:rPr>
        <w:t>3.2.   Дополнительные документы по ценообразованию в состав заявки не включаются.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851" w:gutter="0" w:header="680" w:top="737" w:footer="0" w:bottom="851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418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-418" w:hanging="432"/>
      </w:pPr>
      <w:rPr>
        <w:sz w:val="24"/>
        <w:i w:val="false"/>
        <w:b w:val="false"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7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7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38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8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39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89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47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0"/>
        <w:b w:val="false"/>
        <w:szCs w:val="20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a20b6f"/>
    <w:pPr>
      <w:keepNext w:val="true"/>
      <w:tabs>
        <w:tab w:val="clear" w:pos="708"/>
        <w:tab w:val="left" w:pos="0" w:leader="none"/>
        <w:tab w:val="left" w:pos="851" w:leader="none"/>
      </w:tabs>
      <w:spacing w:before="120" w:after="60"/>
      <w:ind w:hanging="0" w:left="567"/>
      <w:jc w:val="both"/>
      <w:outlineLvl w:val="2"/>
    </w:pPr>
    <w:rPr>
      <w:rFonts w:eastAsia="Calibri"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a20b6f"/>
    <w:rPr>
      <w:rFonts w:eastAsia="Calibri"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3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1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 w:customStyle="1">
    <w:name w:val="Основной текст_"/>
    <w:link w:val="19"/>
    <w:uiPriority w:val="99"/>
    <w:qFormat/>
    <w:locked/>
    <w:rsid w:val="008e58aa"/>
    <w:rPr>
      <w:sz w:val="28"/>
      <w:szCs w:val="28"/>
      <w:shd w:fill="FFFFFF" w:val="clear"/>
    </w:rPr>
  </w:style>
  <w:style w:type="character" w:styleId="Style15" w:customStyle="1">
    <w:name w:val="Основной текст + Малые прописные"/>
    <w:uiPriority w:val="99"/>
    <w:qFormat/>
    <w:rsid w:val="008e58aa"/>
    <w:rPr>
      <w:rFonts w:ascii="Times New Roman" w:hAnsi="Times New Roman" w:cs="Times New Roman"/>
      <w:smallCaps/>
      <w:color w:val="000000"/>
      <w:spacing w:val="0"/>
      <w:w w:val="100"/>
      <w:sz w:val="28"/>
      <w:szCs w:val="28"/>
      <w:u w:val="none"/>
      <w:lang w:val="ru-RU" w:bidi="ar-SA"/>
    </w:rPr>
  </w:style>
  <w:style w:type="character" w:styleId="Style16" w:customStyle="1">
    <w:name w:val="Маркеры"/>
    <w:qFormat/>
    <w:rPr>
      <w:rFonts w:ascii="OpenSymbol" w:hAnsi="OpenSymbol" w:eastAsia="OpenSymbol" w:cs="OpenSymbol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" w:customStyle="1">
    <w:name w:val="index heading1111"/>
    <w:basedOn w:val="Title"/>
    <w:qFormat/>
    <w:pPr/>
    <w:rPr/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" w:customStyle="1">
    <w:name w:val="index heading11111"/>
    <w:basedOn w:val="Title"/>
    <w:qFormat/>
    <w:pPr/>
    <w:rPr/>
  </w:style>
  <w:style w:type="paragraph" w:styleId="Caption111111" w:customStyle="1">
    <w:name w:val="caption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" w:customStyle="1">
    <w:name w:val="index heading111111"/>
    <w:basedOn w:val="Title"/>
    <w:qFormat/>
    <w:pPr/>
    <w:rPr/>
  </w:style>
  <w:style w:type="paragraph" w:styleId="Caption1111111" w:customStyle="1">
    <w:name w:val="caption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1" w:customStyle="1">
    <w:name w:val="index heading1111111"/>
    <w:basedOn w:val="Title"/>
    <w:qFormat/>
    <w:pPr/>
    <w:rPr/>
  </w:style>
  <w:style w:type="paragraph" w:styleId="Caption11111111" w:customStyle="1">
    <w:name w:val="caption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11" w:customStyle="1">
    <w:name w:val="index heading11111111"/>
    <w:basedOn w:val="Title"/>
    <w:qFormat/>
    <w:pPr/>
    <w:rPr/>
  </w:style>
  <w:style w:type="paragraph" w:styleId="Style19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0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1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2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hanging="0" w:left="36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hanging="0" w:left="283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hanging="0" w:left="283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hanging="0" w:left="-567" w:right="-766"/>
      <w:jc w:val="center"/>
    </w:pPr>
    <w:rPr>
      <w:b/>
      <w:bCs/>
      <w:sz w:val="24"/>
      <w:szCs w:val="20"/>
    </w:rPr>
  </w:style>
  <w:style w:type="paragraph" w:styleId="Style23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hanging="1134" w:left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hanging="1134" w:left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6b6b70"/>
    <w:pPr>
      <w:ind w:hanging="0" w:left="280"/>
    </w:pPr>
    <w:rPr>
      <w:rFonts w:cs="Calibri" w:cstheme="minorHAnsi"/>
      <w:sz w:val="20"/>
      <w:szCs w:val="20"/>
    </w:rPr>
  </w:style>
  <w:style w:type="paragraph" w:styleId="Style24" w:customStyle="1">
    <w:name w:val="Раздел регламента"/>
    <w:basedOn w:val="Normal"/>
    <w:qFormat/>
    <w:rsid w:val="00e228fa"/>
    <w:pPr/>
    <w:rPr/>
  </w:style>
  <w:style w:type="paragraph" w:styleId="Style25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hanging="0" w:left="196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hanging="0" w:left="84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  <w:ind w:hanging="0" w:left="56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6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111111" w:customStyle="1">
    <w:name w:val="caption11111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firstLine="709" w:left="1066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99"/>
    <w:qFormat/>
    <w:rsid w:val="00d22f6d"/>
    <w:pPr>
      <w:spacing w:before="0" w:after="0"/>
      <w:ind w:hanging="0" w:left="72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hanging="0" w:left="936" w:right="936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7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7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8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hanging="1134" w:left="1134" w:right="800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hanging="0" w:left="720"/>
      <w:contextualSpacing/>
    </w:pPr>
    <w:rPr>
      <w:rFonts w:ascii="Calibri" w:hAnsi="Calibri"/>
      <w:sz w:val="22"/>
      <w:szCs w:val="22"/>
      <w:lang w:eastAsia="en-US"/>
    </w:rPr>
  </w:style>
  <w:style w:type="paragraph" w:styleId="Style29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0" w:customStyle="1">
    <w:name w:val="Таблица шапка"/>
    <w:basedOn w:val="Normal"/>
    <w:qFormat/>
    <w:rsid w:val="00f64089"/>
    <w:pPr>
      <w:keepNext w:val="true"/>
      <w:spacing w:before="40" w:after="40"/>
      <w:ind w:hanging="0" w:left="57" w:right="57"/>
    </w:pPr>
    <w:rPr>
      <w:sz w:val="22"/>
      <w:szCs w:val="26"/>
    </w:rPr>
  </w:style>
  <w:style w:type="paragraph" w:styleId="Style31" w:customStyle="1">
    <w:name w:val="Подподпункт"/>
    <w:basedOn w:val="Style23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hanging="567" w:left="5104"/>
    </w:pPr>
    <w:rPr>
      <w:sz w:val="26"/>
      <w:szCs w:val="26"/>
      <w:lang w:val="ru-RU" w:eastAsia="ru-RU"/>
    </w:rPr>
  </w:style>
  <w:style w:type="paragraph" w:styleId="Style32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3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  <w:tab w:val="left" w:pos="851" w:leader="none"/>
      </w:tabs>
      <w:spacing w:before="480" w:after="240"/>
      <w:ind w:hanging="567" w:left="567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4" w:customStyle="1">
    <w:name w:val="Таблица текст"/>
    <w:basedOn w:val="Normal"/>
    <w:qFormat/>
    <w:rsid w:val="00343e95"/>
    <w:pPr>
      <w:spacing w:before="40" w:after="40"/>
      <w:ind w:hanging="0" w:left="57" w:right="57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hanging="0" w:left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hanging="0" w:left="112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hanging="0" w:left="140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hanging="0" w:left="168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19" w:customStyle="1">
    <w:name w:val="Основной текст1"/>
    <w:basedOn w:val="Normal"/>
    <w:link w:val="Style14"/>
    <w:uiPriority w:val="99"/>
    <w:qFormat/>
    <w:rsid w:val="008e58aa"/>
    <w:pPr>
      <w:widowControl w:val="false"/>
      <w:shd w:val="clear" w:color="auto" w:fill="FFFFFF"/>
      <w:spacing w:lineRule="exact" w:line="302"/>
    </w:pPr>
    <w:rPr/>
  </w:style>
  <w:style w:type="paragraph" w:styleId="Default" w:customStyle="1">
    <w:name w:val="Default"/>
    <w:qFormat/>
    <w:rsid w:val="008e58a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Style35" w:customStyle="1">
    <w:name w:val="Содержимое врезки"/>
    <w:basedOn w:val="Normal"/>
    <w:qFormat/>
    <w:pPr/>
    <w:rPr/>
  </w:style>
  <w:style w:type="paragraph" w:styleId="Style3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7" w:customStyle="1">
    <w:name w:val="Заголовок таблицы"/>
    <w:basedOn w:val="Style36"/>
    <w:qFormat/>
    <w:pPr>
      <w:jc w:val="center"/>
    </w:pPr>
    <w:rPr>
      <w:b/>
      <w:bCs/>
    </w:rPr>
  </w:style>
  <w:style w:type="paragraph" w:styleId="Style38" w:customStyle="1">
    <w:name w:val="Текст в заданном формате"/>
    <w:basedOn w:val="Normal"/>
    <w:qFormat/>
    <w:pPr/>
    <w:rPr>
      <w:rFonts w:ascii="Liberation Mono" w:hAnsi="Liberation Mono" w:eastAsia="Liberation Mono" w:cs="Liberation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a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0202B1-4B86-46DA-923B-925B9DDB3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1041</TotalTime>
  <Application>AlterOffice/2026.1.1.1$Linux_X86_64 LibreOffice_project/3e21501661f60bfec03e40427f644625fc6a58b7</Application>
  <AppVersion>15.0000</AppVersion>
  <Pages>5</Pages>
  <Words>958</Words>
  <Characters>6642</Characters>
  <CharactersWithSpaces>7469</CharactersWithSpaces>
  <Paragraphs>133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2021-04-04T11:05:00Z</dcterms:created>
  <dc:creator>Быстров Олег Геннадьевич</dc:creator>
  <dc:description/>
  <dc:language>ru-RU</dc:language>
  <cp:lastModifiedBy>sunkulievaa@corp.gidroogk.com</cp:lastModifiedBy>
  <cp:lastPrinted>2025-03-26T13:19:00Z</cp:lastPrinted>
  <dcterms:modified xsi:type="dcterms:W3CDTF">2026-07-30T11:45:31Z</dcterms:modified>
  <cp:revision>91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