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szCs w:val="24"/>
        </w:rPr>
      </w:pPr>
      <w:r>
        <w:rPr>
          <w:rFonts w:cs="Times New Roman"/>
          <w:b/>
          <w:color w:val="000000"/>
          <w:szCs w:val="24"/>
        </w:rPr>
        <w:t>ТЕХНИЧЕСКИЕ ТРЕБОВАНИЯ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rFonts w:cs="Times New Roman"/>
          <w:b/>
          <w:color w:val="000000"/>
          <w:szCs w:val="24"/>
          <w:shd w:fill="FFFF00" w:val="clear"/>
        </w:rPr>
      </w:pPr>
      <w:r>
        <w:rPr>
          <w:rFonts w:cs="Times New Roman"/>
          <w:b/>
          <w:color w:val="000000"/>
          <w:szCs w:val="24"/>
          <w:shd w:fill="FFFF00" w:val="clear"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szCs w:val="24"/>
        </w:rPr>
      </w:pPr>
      <w:r>
        <w:rPr>
          <w:rFonts w:cs="Times New Roman" w:ascii="Times New Roman;Times;serif" w:hAnsi="Times New Roman;Times;serif"/>
          <w:color w:val="000000"/>
          <w:szCs w:val="24"/>
        </w:rPr>
        <w:tab/>
        <w:t xml:space="preserve">ОКПД2: </w:t>
      </w:r>
      <w:r>
        <w:rPr>
          <w:rFonts w:cs="Times New Roman" w:ascii="Times New Roman;Times;serif" w:hAnsi="Times New Roman;Times;serif"/>
          <w:color w:val="000000"/>
          <w:szCs w:val="24"/>
        </w:rPr>
        <w:t>1</w:t>
      </w:r>
      <w:r>
        <w:rPr>
          <w:rFonts w:cs="Times New Roman" w:ascii="Times New Roman;Times;serif" w:hAnsi="Times New Roman;Times;serif"/>
          <w:color w:val="000000"/>
          <w:szCs w:val="24"/>
        </w:rPr>
        <w:t>9.20.29 Поставка турбинного и трансформаторного масла для выполнения работ на Новосибирской ГЭС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szCs w:val="24"/>
        </w:rPr>
      </w:pPr>
      <w:r>
        <w:rPr>
          <w:rFonts w:cs="Times New Roman"/>
          <w:color w:val="000000"/>
          <w:szCs w:val="24"/>
        </w:rPr>
        <w:t>(Лот №</w:t>
      </w:r>
      <w:r>
        <w:rPr>
          <w:rFonts w:cs="Times New Roman"/>
          <w:color w:val="000000"/>
          <w:szCs w:val="24"/>
          <w:lang w:val="en-US"/>
        </w:rPr>
        <w:t>…</w:t>
      </w:r>
      <w:r>
        <w:rPr>
          <w:rFonts w:eastAsia="Geneva" w:cs="Times New Roman"/>
          <w:color w:val="000000"/>
          <w:szCs w:val="24"/>
          <w:shd w:fill="FFFFFF" w:val="clear"/>
        </w:rPr>
        <w:t>)</w:t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0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keepNext w:val="true"/>
        <w:keepLines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  <w:r>
        <w:br w:type="page"/>
      </w:r>
    </w:p>
    <w:p>
      <w:pPr>
        <w:pStyle w:val="Heading4"/>
        <w:numPr>
          <w:ilvl w:val="0"/>
          <w:numId w:val="5"/>
        </w:numPr>
        <w:tabs>
          <w:tab w:val="clear" w:pos="709"/>
          <w:tab w:val="left" w:pos="0" w:leader="none"/>
        </w:tabs>
        <w:ind w:left="426" w:hanging="360"/>
        <w:jc w:val="center"/>
        <w:rPr/>
      </w:pPr>
      <w:r>
        <w:rPr>
          <w:color w:val="000000"/>
        </w:rPr>
        <w:t>Общие сведения</w:t>
      </w:r>
    </w:p>
    <w:p>
      <w:pPr>
        <w:pStyle w:val="Normal"/>
        <w:tabs>
          <w:tab w:val="clear" w:pos="720"/>
          <w:tab w:val="left" w:pos="0" w:leader="none"/>
        </w:tabs>
        <w:ind w:left="426" w:hanging="36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Heading4"/>
        <w:numPr>
          <w:ilvl w:val="1"/>
          <w:numId w:val="6"/>
        </w:numPr>
        <w:ind w:left="0" w:firstLine="709"/>
        <w:rPr/>
      </w:pPr>
      <w:bookmarkStart w:id="0" w:name="_Toc75446568"/>
      <w:bookmarkStart w:id="1" w:name="_Toc46743506"/>
      <w:bookmarkStart w:id="2" w:name="_Toc75446569"/>
      <w:bookmarkEnd w:id="2"/>
      <w:r>
        <w:rPr>
          <w:color w:val="000000"/>
        </w:rPr>
        <w:t>Наименование закупаемой продукции</w:t>
      </w:r>
      <w:bookmarkEnd w:id="0"/>
      <w:bookmarkEnd w:id="1"/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both"/>
        <w:outlineLvl w:val="0"/>
        <w:rPr>
          <w:szCs w:val="24"/>
        </w:rPr>
      </w:pPr>
      <w:r>
        <w:rPr>
          <w:rFonts w:cs="Times New Roman" w:ascii="Times New Roman;Times;serif" w:hAnsi="Times New Roman;Times;serif"/>
          <w:color w:val="000000"/>
          <w:szCs w:val="24"/>
          <w:lang w:val="x-none"/>
        </w:rPr>
        <w:tab/>
        <w:t xml:space="preserve">ОКПД2: </w:t>
      </w:r>
      <w:r>
        <w:rPr>
          <w:rFonts w:cs="Times New Roman" w:ascii="Times New Roman;Times;serif" w:hAnsi="Times New Roman;Times;serif"/>
          <w:color w:val="000000"/>
          <w:szCs w:val="24"/>
          <w:lang w:val="x-none"/>
        </w:rPr>
        <w:t>1</w:t>
      </w:r>
      <w:r>
        <w:rPr>
          <w:rFonts w:cs="Times New Roman" w:ascii="Times New Roman;Times;serif" w:hAnsi="Times New Roman;Times;serif"/>
          <w:color w:val="000000"/>
          <w:szCs w:val="24"/>
          <w:lang w:val="x-none"/>
        </w:rPr>
        <w:t>9.20.29 Поставка турбинного и трансформаторного масла для выполнения работ на Новосибирской ГЭС</w:t>
      </w:r>
      <w:r>
        <w:rPr>
          <w:color w:val="000000"/>
          <w:szCs w:val="24"/>
        </w:rPr>
        <w:t xml:space="preserve"> (далее – продукция).</w:t>
      </w:r>
    </w:p>
    <w:p>
      <w:pPr>
        <w:pStyle w:val="Normal"/>
        <w:ind w:firstLine="41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Heading4"/>
        <w:numPr>
          <w:ilvl w:val="1"/>
          <w:numId w:val="6"/>
        </w:numPr>
        <w:ind w:left="0" w:firstLine="709"/>
        <w:rPr/>
      </w:pPr>
      <w:bookmarkStart w:id="3" w:name="_Toc46743507"/>
      <w:bookmarkStart w:id="4" w:name="_Toc75446569_Копия_1"/>
      <w:bookmarkEnd w:id="4"/>
      <w:r>
        <w:rPr>
          <w:color w:val="000000"/>
        </w:rPr>
        <w:t xml:space="preserve">Цель </w:t>
      </w:r>
      <w:bookmarkEnd w:id="3"/>
      <w:r>
        <w:rPr>
          <w:color w:val="000000"/>
        </w:rPr>
        <w:t xml:space="preserve">использования закупаемой продукции </w:t>
      </w:r>
    </w:p>
    <w:p>
      <w:pPr>
        <w:pStyle w:val="Normal"/>
        <w:jc w:val="both"/>
        <w:rPr>
          <w:rStyle w:val="Style"/>
          <w:b w:val="false"/>
          <w:i w:val="false"/>
          <w:i w:val="false"/>
          <w:sz w:val="24"/>
          <w:szCs w:val="24"/>
          <w:shd w:fill="auto" w:val="clear"/>
        </w:rPr>
      </w:pPr>
      <w:r>
        <w:rPr>
          <w:rStyle w:val="Style"/>
          <w:b w:val="false"/>
          <w:i w:val="false"/>
          <w:color w:val="000000"/>
          <w:sz w:val="24"/>
          <w:szCs w:val="24"/>
          <w:shd w:fill="auto" w:val="clear"/>
        </w:rPr>
        <w:tab/>
        <w:t>В рамках выполнения работ по Договору</w:t>
      </w:r>
      <w:r>
        <w:rPr>
          <w:color w:val="000000"/>
        </w:rPr>
        <w:t xml:space="preserve"> 8-ТПиР-2025 от 29.07.2025 «Монтаж и наладка оборудования системы маслохозяйства Новосибирской ГЭС в рамках инвестиционного проекта I_T-1260-022»,</w:t>
      </w:r>
      <w:r>
        <w:rPr>
          <w:rStyle w:val="Style"/>
          <w:b w:val="false"/>
          <w:i w:val="false"/>
          <w:color w:val="000000"/>
          <w:szCs w:val="24"/>
          <w:shd w:fill="auto" w:val="clear"/>
        </w:rPr>
        <w:t xml:space="preserve"> заключенный между ф</w:t>
      </w:r>
      <w:r>
        <w:rPr/>
        <w:t>илиалом ПАО «РусГидро»-«Новосибирская ГЭС» и АО «Гидроремонт-ВКК».</w:t>
      </w:r>
    </w:p>
    <w:p>
      <w:pPr>
        <w:pStyle w:val="Normal"/>
        <w:ind w:firstLine="454"/>
        <w:rPr>
          <w:rFonts w:cs="Times New Roman"/>
          <w:bCs/>
          <w:color w:val="000000"/>
          <w:sz w:val="16"/>
          <w:szCs w:val="16"/>
          <w:shd w:fill="FFFFFF" w:val="clear"/>
        </w:rPr>
      </w:pPr>
      <w:r>
        <w:rPr>
          <w:rFonts w:cs="Times New Roman"/>
          <w:bCs/>
          <w:color w:val="000000"/>
          <w:sz w:val="16"/>
          <w:szCs w:val="16"/>
          <w:shd w:fill="FFFFFF" w:val="clear"/>
        </w:rPr>
      </w:r>
    </w:p>
    <w:p>
      <w:pPr>
        <w:pStyle w:val="Heading1"/>
        <w:numPr>
          <w:ilvl w:val="0"/>
          <w:numId w:val="5"/>
        </w:numPr>
        <w:tabs>
          <w:tab w:val="clear" w:pos="0"/>
          <w:tab w:val="clear" w:pos="709"/>
        </w:tabs>
        <w:ind w:left="426" w:hanging="360"/>
        <w:jc w:val="center"/>
        <w:rPr>
          <w:sz w:val="24"/>
          <w:szCs w:val="24"/>
        </w:rPr>
      </w:pPr>
      <w:bookmarkStart w:id="5" w:name="_Toc51339693"/>
      <w:bookmarkStart w:id="6" w:name="_Toc75446573"/>
      <w:r>
        <w:rPr>
          <w:color w:val="000000"/>
          <w:sz w:val="24"/>
          <w:szCs w:val="24"/>
        </w:rPr>
        <w:t>Требования к продукции</w:t>
      </w:r>
      <w:bookmarkEnd w:id="5"/>
      <w:bookmarkEnd w:id="6"/>
    </w:p>
    <w:p>
      <w:pPr>
        <w:pStyle w:val="Normal"/>
        <w:rPr>
          <w:rFonts w:cs="Times New Roman"/>
          <w:color w:val="000000"/>
          <w:sz w:val="16"/>
          <w:szCs w:val="16"/>
          <w:lang w:eastAsia="x-none"/>
        </w:rPr>
      </w:pPr>
      <w:r>
        <w:rPr>
          <w:rFonts w:cs="Times New Roman"/>
          <w:color w:val="000000"/>
          <w:sz w:val="16"/>
          <w:szCs w:val="16"/>
          <w:lang w:eastAsia="x-none"/>
        </w:rPr>
      </w:r>
    </w:p>
    <w:p>
      <w:pPr>
        <w:pStyle w:val="Heading4"/>
        <w:numPr>
          <w:ilvl w:val="1"/>
          <w:numId w:val="5"/>
        </w:numPr>
        <w:tabs>
          <w:tab w:val="clear" w:pos="0"/>
          <w:tab w:val="left" w:pos="709" w:leader="none"/>
        </w:tabs>
        <w:ind w:left="1134" w:hanging="360"/>
        <w:rPr/>
      </w:pPr>
      <w:bookmarkStart w:id="7" w:name="_Toc75446574"/>
      <w:r>
        <w:rPr>
          <w:color w:val="000000"/>
        </w:rPr>
        <w:t xml:space="preserve">Требования к объемам и срокам </w:t>
      </w:r>
      <w:r>
        <w:rPr>
          <w:color w:val="000000"/>
          <w:lang w:val="ru-RU"/>
        </w:rPr>
        <w:t>поставки</w:t>
      </w:r>
      <w:bookmarkEnd w:id="7"/>
    </w:p>
    <w:p>
      <w:pPr>
        <w:pStyle w:val="Heading3"/>
        <w:numPr>
          <w:ilvl w:val="2"/>
          <w:numId w:val="5"/>
        </w:numPr>
        <w:tabs>
          <w:tab w:val="clear" w:pos="0"/>
          <w:tab w:val="left" w:pos="709" w:leader="none"/>
        </w:tabs>
        <w:ind w:left="0" w:firstLine="709"/>
        <w:rPr/>
      </w:pPr>
      <w:bookmarkStart w:id="8" w:name="_Toc75446575"/>
      <w:r>
        <w:rPr>
          <w:color w:val="000000"/>
        </w:rPr>
        <w:t>Перечень и объем закупаемой продукции</w:t>
      </w:r>
      <w:bookmarkEnd w:id="8"/>
    </w:p>
    <w:p>
      <w:pPr>
        <w:pStyle w:val="Normal"/>
        <w:rPr>
          <w:rFonts w:cs="Times New Roman"/>
          <w:color w:val="000000"/>
          <w:sz w:val="16"/>
          <w:szCs w:val="16"/>
          <w:lang w:val="x-none" w:eastAsia="x-none"/>
        </w:rPr>
      </w:pPr>
      <w:r>
        <w:rPr>
          <w:rFonts w:cs="Times New Roman"/>
          <w:color w:val="000000"/>
          <w:sz w:val="16"/>
          <w:szCs w:val="16"/>
          <w:lang w:val="x-none" w:eastAsia="x-none"/>
        </w:rPr>
      </w:r>
    </w:p>
    <w:p>
      <w:pPr>
        <w:pStyle w:val="Normal"/>
        <w:jc w:val="both"/>
        <w:rPr>
          <w:szCs w:val="24"/>
        </w:rPr>
      </w:pPr>
      <w:bookmarkStart w:id="9" w:name="_Toc75446576"/>
      <w:bookmarkStart w:id="10" w:name="_Toc51339695"/>
      <w:r>
        <w:rPr>
          <w:rFonts w:cs="Times New Roman"/>
          <w:color w:val="000000"/>
          <w:szCs w:val="24"/>
        </w:rPr>
        <w:t xml:space="preserve">Таблица 2.1 Перечень </w:t>
      </w:r>
      <w:bookmarkEnd w:id="10"/>
      <w:r>
        <w:rPr>
          <w:rFonts w:cs="Times New Roman"/>
          <w:color w:val="000000"/>
          <w:szCs w:val="24"/>
        </w:rPr>
        <w:t>и объем закупаемой продукци</w:t>
      </w:r>
      <w:bookmarkEnd w:id="9"/>
      <w:r>
        <w:rPr>
          <w:rFonts w:cs="Times New Roman"/>
          <w:color w:val="000000"/>
          <w:szCs w:val="24"/>
        </w:rPr>
        <w:t>и</w:t>
      </w:r>
    </w:p>
    <w:tbl>
      <w:tblPr>
        <w:tblW w:w="964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03"/>
        <w:gridCol w:w="7092"/>
        <w:gridCol w:w="992"/>
        <w:gridCol w:w="955"/>
      </w:tblGrid>
      <w:tr>
        <w:trPr>
          <w:trHeight w:val="691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п/п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</w:rPr>
              <w:t>Ед</w:t>
            </w:r>
            <w:r>
              <w:rPr>
                <w:rFonts w:cs="Times New Roman"/>
                <w:color w:val="000000"/>
                <w:szCs w:val="24"/>
                <w:lang w:val="en-US"/>
              </w:rPr>
              <w:t>.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  <w:lang w:val="en-US"/>
              </w:rPr>
              <w:t>и</w:t>
            </w:r>
            <w:r>
              <w:rPr>
                <w:rFonts w:cs="Times New Roman"/>
                <w:color w:val="000000"/>
                <w:szCs w:val="24"/>
              </w:rPr>
              <w:t>зм</w:t>
            </w:r>
            <w:r>
              <w:rPr>
                <w:rFonts w:cs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Кол</w:t>
            </w:r>
            <w:r>
              <w:rPr>
                <w:rFonts w:cs="Times New Roman"/>
                <w:color w:val="000000"/>
                <w:szCs w:val="24"/>
                <w:lang w:val="en-US"/>
              </w:rPr>
              <w:t>-</w:t>
            </w:r>
            <w:r>
              <w:rPr>
                <w:rFonts w:cs="Times New Roman"/>
                <w:color w:val="000000"/>
                <w:szCs w:val="24"/>
              </w:rPr>
              <w:t>во</w:t>
            </w:r>
          </w:p>
        </w:tc>
      </w:tr>
      <w:tr>
        <w:trPr/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</w:tr>
      <w:tr>
        <w:trPr/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color w:val="000000"/>
                <w:lang w:val="en-US"/>
              </w:rPr>
            </w:pPr>
            <w:r>
              <w:rPr>
                <w:szCs w:val="20"/>
              </w:rPr>
              <w:t>Масло турбинное ТП-30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vertAlign w:val="superscript"/>
                <w:lang w:val="en-US"/>
              </w:rPr>
            </w:pPr>
            <w:r>
              <w:rPr>
                <w:color w:val="000000"/>
                <w:lang w:val="en-US"/>
              </w:rPr>
              <w:t>кг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3144</w:t>
            </w:r>
          </w:p>
        </w:tc>
      </w:tr>
      <w:tr>
        <w:trPr/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>
                <w:szCs w:val="20"/>
              </w:rPr>
            </w:pPr>
            <w:r>
              <w:rPr>
                <w:szCs w:val="20"/>
              </w:rPr>
              <w:t>Масло трансформаторное ГК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кг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537</w:t>
            </w:r>
          </w:p>
        </w:tc>
      </w:tr>
    </w:tbl>
    <w:p>
      <w:pPr>
        <w:pStyle w:val="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Heading3"/>
        <w:numPr>
          <w:ilvl w:val="2"/>
          <w:numId w:val="5"/>
        </w:numPr>
        <w:tabs>
          <w:tab w:val="clear" w:pos="0"/>
          <w:tab w:val="left" w:pos="709" w:leader="none"/>
        </w:tabs>
        <w:ind w:left="0" w:firstLine="709"/>
        <w:rPr/>
      </w:pPr>
      <w:bookmarkStart w:id="11" w:name="_Toc75446578"/>
      <w:bookmarkStart w:id="12" w:name="_Toc51339696"/>
      <w:r>
        <w:rPr>
          <w:color w:val="000000"/>
        </w:rPr>
        <w:t xml:space="preserve">Требования </w:t>
      </w:r>
      <w:bookmarkEnd w:id="12"/>
      <w:r>
        <w:rPr>
          <w:color w:val="000000"/>
        </w:rPr>
        <w:t xml:space="preserve">к срокам поставки продукции </w:t>
      </w:r>
      <w:bookmarkEnd w:id="11"/>
    </w:p>
    <w:p>
      <w:pPr>
        <w:pStyle w:val="Normal"/>
        <w:rPr>
          <w:szCs w:val="24"/>
        </w:rPr>
      </w:pPr>
      <w:bookmarkStart w:id="13" w:name="_Toc75446579"/>
      <w:bookmarkStart w:id="14" w:name="_Toc51339697"/>
      <w:bookmarkStart w:id="15" w:name="_Toc50125127"/>
      <w:r>
        <w:rPr>
          <w:rFonts w:cs="Times New Roman"/>
          <w:color w:val="000000"/>
          <w:szCs w:val="24"/>
          <w:lang w:eastAsia="x-none"/>
        </w:rPr>
        <w:t xml:space="preserve">Таблица 2.2 </w:t>
      </w:r>
      <w:bookmarkStart w:id="16" w:name="_Hlk50465284"/>
      <w:r>
        <w:rPr>
          <w:rFonts w:cs="Times New Roman"/>
          <w:color w:val="000000"/>
          <w:szCs w:val="24"/>
          <w:lang w:eastAsia="x-none"/>
        </w:rPr>
        <w:t xml:space="preserve">Требования по срокам </w:t>
      </w:r>
      <w:bookmarkEnd w:id="14"/>
      <w:bookmarkEnd w:id="15"/>
      <w:bookmarkEnd w:id="16"/>
      <w:r>
        <w:rPr>
          <w:rFonts w:cs="Times New Roman"/>
          <w:color w:val="000000"/>
          <w:szCs w:val="24"/>
          <w:lang w:eastAsia="x-none"/>
        </w:rPr>
        <w:t>поставки продукции</w:t>
      </w:r>
      <w:bookmarkEnd w:id="13"/>
      <w:r>
        <w:rPr>
          <w:rFonts w:cs="Times New Roman"/>
          <w:color w:val="000000"/>
          <w:szCs w:val="24"/>
          <w:lang w:eastAsia="x-none"/>
        </w:rPr>
        <w:t xml:space="preserve"> </w:t>
      </w:r>
    </w:p>
    <w:tbl>
      <w:tblPr>
        <w:tblW w:w="9944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98"/>
        <w:gridCol w:w="4793"/>
        <w:gridCol w:w="1771"/>
        <w:gridCol w:w="2481"/>
      </w:tblGrid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№ </w:t>
            </w:r>
            <w:r>
              <w:rPr>
                <w:rFonts w:cs="Times New Roman"/>
                <w:color w:val="000000"/>
                <w:szCs w:val="24"/>
              </w:rPr>
              <w:t>п/п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 / партии продукции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</w:tr>
      <w:tr>
        <w:trPr>
          <w:trHeight w:val="925" w:hRule="atLeast"/>
        </w:trPr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70" w:hanging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1.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900" w:leader="none"/>
              </w:tabs>
              <w:spacing w:lineRule="auto" w:line="276"/>
              <w:ind w:left="0" w:hanging="0"/>
              <w:jc w:val="center"/>
              <w:outlineLvl w:val="0"/>
              <w:rPr>
                <w:szCs w:val="24"/>
              </w:rPr>
            </w:pPr>
            <w:r>
              <w:rPr>
                <w:rFonts w:cs="Times New Roman" w:ascii="Times New Roman;Times;serif" w:hAnsi="Times New Roman;Times;serif"/>
                <w:color w:val="000000"/>
                <w:szCs w:val="24"/>
              </w:rPr>
              <w:t xml:space="preserve">ОКПД2: </w:t>
            </w:r>
            <w:r>
              <w:rPr>
                <w:rFonts w:cs="Times New Roman" w:ascii="Times New Roman;Times;serif" w:hAnsi="Times New Roman;Times;serif"/>
                <w:color w:val="000000"/>
                <w:szCs w:val="24"/>
              </w:rPr>
              <w:t>1</w:t>
            </w:r>
            <w:r>
              <w:rPr>
                <w:rFonts w:cs="Times New Roman" w:ascii="Times New Roman;Times;serif" w:hAnsi="Times New Roman;Times;serif"/>
                <w:color w:val="000000"/>
                <w:szCs w:val="24"/>
              </w:rPr>
              <w:t>9.20.29 Поставка турбинного и трансформаторного масла для выполнения работ на Новосибирской ГЭС</w:t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С даты подписания договора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Определить по результатам анализа рынка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418" w:right="707" w:gutter="0" w:header="0" w:top="567" w:footer="78" w:bottom="567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ListParagraph"/>
        <w:numPr>
          <w:ilvl w:val="1"/>
          <w:numId w:val="5"/>
        </w:numPr>
        <w:spacing w:before="0" w:after="0"/>
        <w:ind w:left="1077" w:hanging="340"/>
        <w:contextualSpacing/>
        <w:rPr>
          <w:szCs w:val="24"/>
        </w:rPr>
      </w:pPr>
      <w:r>
        <w:rPr>
          <w:rFonts w:cs="Times New Roman"/>
          <w:b/>
          <w:bCs/>
          <w:color w:val="000000"/>
          <w:szCs w:val="24"/>
          <w:lang w:eastAsia="x-none"/>
        </w:rPr>
        <w:t xml:space="preserve">Требования к качеству продукции </w:t>
      </w:r>
    </w:p>
    <w:p>
      <w:pPr>
        <w:pStyle w:val="Normal"/>
        <w:rPr>
          <w:rFonts w:cs="Times New Roman"/>
          <w:color w:val="000000"/>
          <w:sz w:val="16"/>
          <w:szCs w:val="16"/>
          <w:lang w:eastAsia="x-none"/>
        </w:rPr>
      </w:pPr>
      <w:r>
        <w:rPr>
          <w:rFonts w:cs="Times New Roman"/>
          <w:color w:val="000000"/>
          <w:sz w:val="16"/>
          <w:szCs w:val="16"/>
          <w:lang w:eastAsia="x-none"/>
        </w:rPr>
      </w:r>
    </w:p>
    <w:p>
      <w:pPr>
        <w:pStyle w:val="Normal"/>
        <w:rPr>
          <w:szCs w:val="24"/>
        </w:rPr>
      </w:pPr>
      <w:bookmarkStart w:id="17" w:name="_Toc75446582"/>
      <w:r>
        <w:rPr>
          <w:rFonts w:cs="Times New Roman"/>
          <w:color w:val="000000"/>
          <w:szCs w:val="24"/>
          <w:lang w:eastAsia="x-none"/>
        </w:rPr>
        <w:t>Таблица 2.3. Требования к продукции</w:t>
      </w:r>
      <w:bookmarkEnd w:id="17"/>
      <w:r>
        <w:rPr>
          <w:rFonts w:cs="Times New Roman"/>
          <w:color w:val="000000"/>
          <w:szCs w:val="24"/>
          <w:lang w:eastAsia="x-none"/>
        </w:rPr>
        <w:t xml:space="preserve"> </w:t>
      </w:r>
    </w:p>
    <w:tbl>
      <w:tblPr>
        <w:tblpPr w:bottomFromText="0" w:horzAnchor="text" w:leftFromText="180" w:rightFromText="180" w:tblpX="0" w:tblpY="1" w:topFromText="0" w:vertAnchor="text"/>
        <w:tblW w:w="15117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713"/>
        <w:gridCol w:w="2275"/>
        <w:gridCol w:w="561"/>
        <w:gridCol w:w="2411"/>
        <w:gridCol w:w="2266"/>
        <w:gridCol w:w="1915"/>
        <w:gridCol w:w="2564"/>
        <w:gridCol w:w="2411"/>
      </w:tblGrid>
      <w:tr>
        <w:trPr>
          <w:trHeight w:val="20" w:hRule="atLeast"/>
        </w:trPr>
        <w:tc>
          <w:tcPr>
            <w:tcW w:w="151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Наименование продукции (позиции №№ 1-2 (Таблицы 2.1)</w:t>
            </w:r>
            <w:r>
              <w:rPr>
                <w:rFonts w:cs="Times New Roman" w:ascii="Times New Roman;Times;serif" w:hAnsi="Times New Roman;Times;serif"/>
                <w:color w:val="000000"/>
                <w:szCs w:val="24"/>
              </w:rPr>
              <w:t xml:space="preserve">  ОКПД2: </w:t>
            </w:r>
            <w:r>
              <w:rPr>
                <w:rFonts w:cs="Times New Roman" w:ascii="Times New Roman;Times;serif" w:hAnsi="Times New Roman;Times;serif"/>
                <w:color w:val="000000"/>
                <w:szCs w:val="24"/>
              </w:rPr>
              <w:t>1</w:t>
            </w:r>
            <w:r>
              <w:rPr>
                <w:rFonts w:cs="Times New Roman" w:ascii="Times New Roman;Times;serif" w:hAnsi="Times New Roman;Times;serif"/>
                <w:color w:val="000000"/>
                <w:szCs w:val="24"/>
              </w:rPr>
              <w:t>9.20.29 Поставка турбинного и трансформаторного масла для выполнения работ на Новосибирской ГЭС</w:t>
            </w:r>
          </w:p>
        </w:tc>
      </w:tr>
      <w:tr>
        <w:trPr>
          <w:trHeight w:val="10" w:hRule="atLeast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 xml:space="preserve">№ </w:t>
            </w:r>
            <w:r>
              <w:rPr>
                <w:rFonts w:cs="Times New Roman"/>
                <w:b/>
                <w:color w:val="000000"/>
                <w:szCs w:val="24"/>
              </w:rPr>
              <w:t>п/п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Наименование продукции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Наименование параметра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Требование заказчика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DotumChe"/>
                <w:b/>
                <w:color w:val="000000" w:themeColor="text1"/>
                <w:szCs w:val="24"/>
              </w:rPr>
              <w:t>Соответствие стандартам</w:t>
            </w:r>
          </w:p>
        </w:tc>
        <w:tc>
          <w:tcPr>
            <w:tcW w:w="4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0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22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0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DotumChe" w:cs="Times New Roman"/>
                <w:b/>
                <w:color w:val="000000"/>
                <w:szCs w:val="24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DotumChe" w:cs="Times New Roman"/>
                <w:b/>
                <w:color w:val="000000"/>
                <w:szCs w:val="24"/>
              </w:rPr>
              <w:t>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DotumChe" w:cs="Times New Roman"/>
                <w:b/>
                <w:color w:val="000000"/>
                <w:szCs w:val="24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DotumChe" w:cs="Times New Roman"/>
                <w:b/>
                <w:color w:val="000000"/>
                <w:szCs w:val="24"/>
              </w:rPr>
              <w:t>7</w:t>
            </w:r>
          </w:p>
        </w:tc>
      </w:tr>
      <w:tr>
        <w:trPr>
          <w:trHeight w:val="20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1.</w:t>
            </w:r>
          </w:p>
        </w:tc>
        <w:tc>
          <w:tcPr>
            <w:tcW w:w="144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36" w:hRule="atLeast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567" w:hanging="425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color w:val="000000"/>
                <w:lang w:val="en-US"/>
              </w:rPr>
            </w:pPr>
            <w:r>
              <w:rPr>
                <w:sz w:val="20"/>
                <w:szCs w:val="20"/>
              </w:rPr>
              <w:t xml:space="preserve">Масло турбинное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ТП-30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 РусГидро 02.01.112-2015</w:t>
            </w:r>
          </w:p>
        </w:tc>
        <w:tc>
          <w:tcPr>
            <w:tcW w:w="2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Cs w:val="24"/>
              </w:rPr>
            </w:pPr>
            <w:r>
              <w:rPr>
                <w:rFonts w:eastAsia="DotumChe" w:cs="Times New Roman"/>
                <w:i/>
                <w:color w:val="00000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Плотность масла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873,3 кг/м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Вязкость кинематическая, мм2/с, при температуре 40</w:t>
            </w:r>
            <w:r>
              <w:rPr>
                <w:rFonts w:eastAsia="Symbol" w:cs="Symbol" w:ascii="Symbol" w:hAnsi="Symbol"/>
                <w:sz w:val="20"/>
                <w:szCs w:val="20"/>
                <w:lang w:val="en-US"/>
              </w:rPr>
              <w:sym w:font="Symbol" w:char="f0b0"/>
            </w:r>
            <w:r>
              <w:rPr>
                <w:sz w:val="20"/>
                <w:szCs w:val="20"/>
              </w:rPr>
              <w:t>С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Indent3"/>
              <w:widowControl w:val="false"/>
              <w:tabs>
                <w:tab w:val="clear" w:pos="720"/>
                <w:tab w:val="left" w:pos="284" w:leader="none"/>
                <w:tab w:val="left" w:pos="567" w:leader="none"/>
                <w:tab w:val="left" w:pos="851" w:leader="none"/>
              </w:tabs>
              <w:spacing w:before="0" w:after="120"/>
              <w:jc w:val="center"/>
              <w:rPr>
                <w:rFonts w:eastAsia="Calibri" w:cs="Tahoma"/>
                <w:sz w:val="20"/>
                <w:szCs w:val="20"/>
                <w:lang w:val="en-US" w:eastAsia="en-US"/>
              </w:rPr>
            </w:pPr>
            <w:r>
              <w:rPr>
                <w:rFonts w:eastAsia="Calibri" w:cs="Tahoma"/>
                <w:sz w:val="20"/>
                <w:szCs w:val="20"/>
                <w:lang w:val="en-US" w:eastAsia="en-US"/>
              </w:rPr>
              <w:t>41,4-50,6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Кислотное число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0,5 мг КОН/г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435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  <w:tab w:val="left" w:pos="567" w:leader="none"/>
                <w:tab w:val="left" w:pos="851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Стабильность против окисления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4" w:leader="none"/>
                <w:tab w:val="left" w:pos="567" w:leader="none"/>
                <w:tab w:val="left" w:pos="851" w:leader="none"/>
                <w:tab w:val="left" w:pos="993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150</w:t>
            </w:r>
            <w:r>
              <w:rPr>
                <w:rFonts w:eastAsia="Symbol" w:cs="Symbol" w:ascii="Symbol" w:hAnsi="Symbol"/>
                <w:sz w:val="20"/>
                <w:szCs w:val="20"/>
                <w:lang w:val="en-US"/>
              </w:rPr>
              <w:sym w:font="Symbol" w:char="f0b0"/>
            </w:r>
            <w:r>
              <w:rPr>
                <w:sz w:val="20"/>
                <w:szCs w:val="20"/>
              </w:rPr>
              <w:t>С, 15 ч и расходе кислорода 5 дм3/ч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Кислотное число, </w:t>
            </w:r>
            <w:r>
              <w:rPr>
                <w:sz w:val="20"/>
                <w:szCs w:val="20"/>
                <w:lang w:val="en-US"/>
              </w:rPr>
              <w:t>0,5</w:t>
            </w:r>
            <w:r>
              <w:rPr>
                <w:sz w:val="20"/>
                <w:szCs w:val="20"/>
              </w:rPr>
              <w:t>мгКОН/г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435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  <w:tab w:val="left" w:pos="567" w:leader="none"/>
                <w:tab w:val="left" w:pos="851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М</w:t>
            </w:r>
            <w:r>
              <w:rPr>
                <w:sz w:val="20"/>
                <w:szCs w:val="20"/>
              </w:rPr>
              <w:t xml:space="preserve">ассовая доля осадка,  </w:t>
            </w:r>
            <w:r>
              <w:rPr>
                <w:sz w:val="20"/>
                <w:szCs w:val="20"/>
                <w:lang w:val="en-US"/>
              </w:rPr>
              <w:t>0,01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вспышки в открытом тигле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не ниже</w:t>
            </w:r>
            <w:r>
              <w:rPr>
                <w:sz w:val="20"/>
                <w:szCs w:val="20"/>
                <w:lang w:val="en-US"/>
              </w:rPr>
              <w:t xml:space="preserve"> 190 </w:t>
            </w:r>
            <w:r>
              <w:rPr>
                <w:rFonts w:eastAsia="Symbol" w:cs="Symbol" w:ascii="Symbol" w:hAnsi="Symbol"/>
                <w:sz w:val="20"/>
                <w:szCs w:val="20"/>
                <w:lang w:val="en-US"/>
              </w:rPr>
              <w:sym w:font="Symbol" w:char="f0b0"/>
            </w:r>
            <w:r>
              <w:rPr>
                <w:sz w:val="20"/>
                <w:szCs w:val="20"/>
              </w:rPr>
              <w:t>С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водорастворимых кислот и щелочей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Отсутствие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 деэмульсации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не более</w:t>
            </w:r>
            <w:r>
              <w:rPr>
                <w:sz w:val="20"/>
                <w:szCs w:val="20"/>
                <w:lang w:val="en-US"/>
              </w:rPr>
              <w:t xml:space="preserve"> 210</w:t>
            </w:r>
            <w:r>
              <w:rPr>
                <w:sz w:val="20"/>
                <w:szCs w:val="20"/>
              </w:rPr>
              <w:t xml:space="preserve"> с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механических примесей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0,005 % масс. (отсутствие)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воды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0,03 %  масс. (отсутствие)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промышленной чистоты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11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серы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0,8 %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Внешний вид (визуальный контроль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Чистая и прозрачная жидкость, желтого или светло-коричневого цвета, не содержащая взвешенных частиц загрязнений и осадков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Требования к упаковке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поставляется в металлических бочках емк. 0,2 м3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6" w:hRule="atLeast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567" w:hanging="425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трансформаторное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ГК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 РусГидро 02.01.112-2015</w:t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Плотность масла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895,0 кг/м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Пробивное напряжение по ГОСТ 6581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65 кВ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44"/>
              <w:widowControl w:val="false"/>
              <w:rPr>
                <w:rFonts w:eastAsia="Calibri" w:cs="Tahoma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 w:cs="Tahoma"/>
                <w:color w:val="auto"/>
                <w:sz w:val="20"/>
                <w:szCs w:val="20"/>
                <w:lang w:eastAsia="en-US"/>
              </w:rPr>
              <w:t>Кислотное число по ГОСТ 5985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более 0,02 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 КОН/г масла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44"/>
              <w:widowControl w:val="false"/>
              <w:rPr>
                <w:rFonts w:eastAsia="Calibri" w:cs="Tahoma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 w:cs="Tahoma"/>
                <w:color w:val="auto"/>
                <w:sz w:val="20"/>
                <w:szCs w:val="20"/>
                <w:lang w:eastAsia="en-US"/>
              </w:rPr>
              <w:t>Температура вспышки в закрытом тигле по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 6356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ниже 135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°С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44"/>
              <w:widowControl w:val="false"/>
              <w:rPr>
                <w:sz w:val="20"/>
                <w:szCs w:val="20"/>
              </w:rPr>
            </w:pPr>
            <w:r>
              <w:rPr>
                <w:rFonts w:eastAsia="Calibri" w:cs="Tahoma"/>
                <w:color w:val="auto"/>
                <w:sz w:val="20"/>
                <w:szCs w:val="20"/>
                <w:lang w:eastAsia="en-US"/>
              </w:rPr>
              <w:t>Влагосодержание по ГОСТ Р МЭК 60814, % масс. (г/т, мг/кг, ppm.)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0,001 (10)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Влагосодержание по ГОСТ 1547 (качественно)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44"/>
              <w:widowControl w:val="false"/>
              <w:rPr>
                <w:rFonts w:eastAsia="Calibri" w:cs="Tahoma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 w:cs="Tahoma"/>
                <w:color w:val="auto"/>
                <w:sz w:val="20"/>
                <w:szCs w:val="20"/>
                <w:lang w:eastAsia="en-US"/>
              </w:rPr>
              <w:t>Содержание механических примесей:</w:t>
            </w:r>
          </w:p>
          <w:p>
            <w:pPr>
              <w:pStyle w:val="Style44"/>
              <w:widowControl w:val="false"/>
              <w:rPr>
                <w:rFonts w:eastAsia="Calibri" w:cs="Tahoma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 w:cs="Tahoma"/>
                <w:color w:val="auto"/>
                <w:sz w:val="20"/>
                <w:szCs w:val="20"/>
                <w:lang w:eastAsia="en-US"/>
              </w:rPr>
              <w:t>ГОСТ 6370, %,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(класс чистоты по ГОСТ 17216, не более)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44"/>
              <w:widowControl w:val="false"/>
              <w:rPr>
                <w:rFonts w:eastAsia="Calibri" w:cs="Tahoma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 w:cs="Tahoma"/>
                <w:color w:val="auto"/>
                <w:sz w:val="20"/>
                <w:szCs w:val="20"/>
                <w:lang w:eastAsia="en-US"/>
              </w:rPr>
              <w:t>Отсутствие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(9)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Тангенс угла диэлектрических потерь при 90°С по ГОСТ 6581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1,7%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44"/>
              <w:widowControl w:val="false"/>
              <w:rPr>
                <w:rFonts w:eastAsia="Calibri" w:cs="Tahoma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 w:cs="Tahoma"/>
                <w:color w:val="auto"/>
                <w:sz w:val="20"/>
                <w:szCs w:val="20"/>
                <w:lang w:eastAsia="en-US"/>
              </w:rPr>
              <w:t>Содержание водорастворимых кислот по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 6307 (качественно)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44"/>
              <w:widowControl w:val="false"/>
              <w:rPr>
                <w:rFonts w:eastAsia="Calibri" w:cs="Tahoma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 w:cs="Tahoma"/>
                <w:color w:val="auto"/>
                <w:sz w:val="20"/>
                <w:szCs w:val="20"/>
                <w:lang w:eastAsia="en-US"/>
              </w:rPr>
              <w:t>Содержание антиокислительной присадки АГИДОЛ-1 (ионол)</w:t>
            </w:r>
          </w:p>
          <w:p>
            <w:pPr>
              <w:pStyle w:val="Style44"/>
              <w:widowControl w:val="false"/>
              <w:rPr>
                <w:rFonts w:eastAsia="Calibri" w:cs="Tahoma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 w:cs="Tahoma"/>
                <w:color w:val="auto"/>
                <w:sz w:val="20"/>
                <w:szCs w:val="20"/>
                <w:lang w:eastAsia="en-US"/>
              </w:rPr>
              <w:t>ГОСТ Р МЭК 60666,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0,20%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Газосодержание в соответствии с инструкциями изготовителя  (методом газовой хроматографии)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об., не более 0,1 (0,5)%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" w:hRule="atLeast"/>
        </w:trPr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567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Требования к упаковке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Масло поставляется в металлических бочках емк</w:t>
            </w:r>
            <w:r>
              <w:rPr>
                <w:sz w:val="20"/>
                <w:szCs w:val="20"/>
                <w:lang w:val="en-US"/>
              </w:rPr>
              <w:t>остью</w:t>
            </w:r>
            <w:bookmarkStart w:id="18" w:name="_GoBack"/>
            <w:bookmarkEnd w:id="18"/>
            <w:r>
              <w:rPr>
                <w:sz w:val="20"/>
                <w:szCs w:val="20"/>
              </w:rPr>
              <w:t xml:space="preserve"> 0,2 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i/>
                <w:i/>
                <w:color w:val="000000"/>
              </w:rPr>
            </w:pPr>
            <w:r>
              <w:rPr>
                <w:rFonts w:eastAsia="DotumChe" w:cs="Times New Roman"/>
                <w:i/>
                <w:color w:val="000000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151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2.</w:t>
            </w:r>
          </w:p>
        </w:tc>
        <w:tc>
          <w:tcPr>
            <w:tcW w:w="94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151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Cs w:val="24"/>
                <w:lang w:eastAsia="x-none"/>
              </w:rPr>
              <w:t>Место поставки</w:t>
            </w:r>
          </w:p>
        </w:tc>
        <w:tc>
          <w:tcPr>
            <w:tcW w:w="7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lang w:val="en-US"/>
              </w:rPr>
            </w:pPr>
            <w:r>
              <w:rPr>
                <w:i/>
              </w:rPr>
              <w:t>Производственный участок АО «Гидроремонт-ВКК» в г. Новосибирск, 630056, Новосибирская обл., г. Новосибирск, ул. Новоморская, д. 4 (территория Новосибир</w:t>
            </w:r>
            <w:r>
              <w:rPr>
                <w:i/>
                <w:lang w:val="en-US"/>
              </w:rPr>
              <w:t>с</w:t>
            </w:r>
            <w:r>
              <w:rPr>
                <w:i/>
              </w:rPr>
              <w:t>кой</w:t>
            </w:r>
            <w:r>
              <w:rPr>
                <w:i/>
                <w:lang w:val="en-US"/>
              </w:rPr>
              <w:t xml:space="preserve"> ГЭС).</w:t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151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2.2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Cs w:val="24"/>
                <w:lang w:eastAsia="x-none"/>
              </w:rPr>
              <w:t>Приемка продукции</w:t>
            </w:r>
          </w:p>
        </w:tc>
        <w:tc>
          <w:tcPr>
            <w:tcW w:w="7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i/>
                <w:i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Приемка продукции осуществляется только в рабочие дни с 09:00 до 11:00 и с 13:00 до 16:00.</w:t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151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2.3</w:t>
            </w:r>
          </w:p>
        </w:tc>
        <w:tc>
          <w:tcPr>
            <w:tcW w:w="94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151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3.</w:t>
            </w:r>
          </w:p>
        </w:tc>
        <w:tc>
          <w:tcPr>
            <w:tcW w:w="94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151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3.1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Cs w:val="24"/>
                <w:lang w:eastAsia="x-none"/>
              </w:rPr>
              <w:t>Сроки гарантии</w:t>
            </w:r>
          </w:p>
        </w:tc>
        <w:tc>
          <w:tcPr>
            <w:tcW w:w="7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Не менее 36 (тридцати шести) месяцев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151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  <w:lang w:val="en-US"/>
              </w:rPr>
              <w:t>4.</w:t>
            </w:r>
          </w:p>
        </w:tc>
        <w:tc>
          <w:tcPr>
            <w:tcW w:w="94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151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/>
            </w:pPr>
            <w:r>
              <w:rPr>
                <w:rFonts w:cs="Times New Roman"/>
                <w:color w:val="000000"/>
                <w:szCs w:val="24"/>
                <w:lang w:val="en-US"/>
              </w:rPr>
              <w:t>4.1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7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паспорта качества и безопасности масла;;копию Свидетельства о государственной аккредитации испытательной лаборатории, подтвердившей соответствие качества конкретной партии масла требованиям нормативной документации, товарную накладную (форма ТОРГ-12) или универсальный передаточный документ (УПД) на продукцию в 2-х экз., транспортную накладную.</w:t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151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  <w:lang w:val="en-US"/>
              </w:rPr>
              <w:t>5.</w:t>
            </w:r>
          </w:p>
        </w:tc>
        <w:tc>
          <w:tcPr>
            <w:tcW w:w="94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Прочие (дополнительные) требования к продукции</w:t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312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5.1</w:t>
            </w:r>
          </w:p>
        </w:tc>
        <w:tc>
          <w:tcPr>
            <w:tcW w:w="94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Продукция должна быть новой, ранее не использовавшейся, не ранее 2026 изготовления (Требования установлены во исполнение обязательств по Договору, указанному в п. 1.2).</w:t>
            </w:r>
          </w:p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>
                <w:rFonts w:cs="Times New Roman"/>
                <w:bCs/>
                <w:i/>
                <w:color w:val="000000"/>
                <w:szCs w:val="24"/>
              </w:rPr>
              <w:t>Способ укладки и транспортировки продукции должен предотвратить его повреждение или порчу во время перевозки и погрузке/разгрузке, а также воздействие осадков во время перевозки и при открытом хранении.</w:t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bCs/>
                <w:i/>
                <w:i/>
                <w:color w:val="000000"/>
                <w:szCs w:val="24"/>
                <w:lang w:eastAsia="x-none"/>
              </w:rPr>
            </w:pPr>
            <w:r>
              <w:rPr>
                <w:rFonts w:cs="Times New Roman"/>
                <w:bCs/>
                <w:i/>
                <w:color w:val="000000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</w:rPr>
            </w:pPr>
            <w:r>
              <w:rPr>
                <w:rFonts w:cs="Times New Roman"/>
                <w:bCs/>
                <w:i/>
                <w:color w:val="000000"/>
                <w:szCs w:val="24"/>
                <w:lang w:eastAsia="x-none"/>
              </w:rPr>
              <w:t xml:space="preserve"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 Транспортные емкости  для одной партии товарного масла </w:t>
            </w:r>
            <w:r>
              <w:rPr>
                <w:rFonts w:eastAsia="Times New Roman" w:cs="Times New Roman"/>
                <w:i/>
                <w:szCs w:val="24"/>
                <w:lang w:eastAsia="x-none"/>
              </w:rPr>
              <w:t>должны</w:t>
            </w:r>
            <w:r>
              <w:rPr>
                <w:rFonts w:cs="Times New Roman"/>
                <w:bCs/>
                <w:i/>
                <w:color w:val="000000"/>
                <w:szCs w:val="24"/>
                <w:lang w:eastAsia="x-none"/>
              </w:rPr>
              <w:t xml:space="preserve"> сопровождаться общим комплектом сопроводительной документации и иметь одинаковую маркировку, и соответствовать требованиям ТРТС 030/2012, ГОСТ 1510, ГОСТ 31340</w:t>
            </w:r>
          </w:p>
        </w:tc>
        <w:tc>
          <w:tcPr>
            <w:tcW w:w="2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pStyle w:val="Heading1"/>
        <w:ind w:left="1080" w:hanging="0"/>
        <w:rPr>
          <w:b w:val="false"/>
        </w:rPr>
      </w:pPr>
      <w:r>
        <w:rPr/>
        <w:t>3.</w:t>
        <w:tab/>
        <w:t>Требования к документации по ценообразованию на этапе закупки</w:t>
      </w:r>
    </w:p>
    <w:p>
      <w:pPr>
        <w:pStyle w:val="Normal"/>
        <w:ind w:left="1080" w:hanging="0"/>
        <w:rPr/>
      </w:pPr>
      <w:r>
        <w:rPr/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ind w:left="1080" w:hanging="0"/>
        <w:rPr/>
      </w:pPr>
      <w:r>
        <w:rPr/>
        <w:t>3.2. Дополнительные документы по ценообразованию в состав заявки не включаются.</w:t>
      </w:r>
    </w:p>
    <w:sectPr>
      <w:footerReference w:type="default" r:id="rId3"/>
      <w:footerReference w:type="first" r:id="rId4"/>
      <w:type w:val="nextPage"/>
      <w:pgSz w:orient="landscape" w:w="16838" w:h="11906"/>
      <w:pgMar w:left="1134" w:right="566" w:gutter="0" w:header="0" w:top="567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altName w:val="Times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2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6</w:t>
    </w:r>
    <w:r>
      <w:rPr>
        <w:sz w:val="24"/>
        <w:b/>
        <w:szCs w:val="24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6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6</w:t>
    </w:r>
    <w:r>
      <w:rPr>
        <w:sz w:val="24"/>
        <w:b/>
        <w:szCs w:val="24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436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67" w:hanging="283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tabs>
        <w:tab w:val="clear" w:pos="720"/>
        <w:tab w:val="left" w:pos="0" w:leader="none"/>
        <w:tab w:val="left" w:pos="709" w:leader="none"/>
      </w:tabs>
      <w:ind w:firstLine="709"/>
      <w:outlineLvl w:val="2"/>
    </w:pPr>
    <w:rPr>
      <w:rFonts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qFormat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qFormat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qFormat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qFormat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 w:customStyle="1">
    <w:name w:val="Strong1"/>
    <w:qFormat/>
    <w:rPr>
      <w:b/>
      <w:bCs/>
    </w:rPr>
  </w:style>
  <w:style w:type="character" w:styleId="Style10" w:customStyle="1">
    <w:name w:val="Название Знак"/>
    <w:link w:val="1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3" w:customStyle="1">
    <w:name w:val="Цитата 2 Знак"/>
    <w:basedOn w:val="DefaultParagraphFont"/>
    <w:link w:val="Quote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qFormat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6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Pr/>
  </w:style>
  <w:style w:type="character" w:styleId="Style14" w:customStyle="1">
    <w:name w:val="Абзац списка Знак"/>
    <w:link w:val="ListParagraph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3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4" w:customStyle="1">
    <w:name w:val="Пункт2 Знак"/>
    <w:link w:val="26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FontStyle16" w:customStyle="1">
    <w:name w:val="Font Style16"/>
    <w:qFormat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Pr/>
  </w:style>
  <w:style w:type="character" w:styleId="Value" w:customStyle="1">
    <w:name w:val="value"/>
    <w:qFormat/>
    <w:rPr/>
  </w:style>
  <w:style w:type="character" w:styleId="C-gruppedpropsprop-value" w:customStyle="1">
    <w:name w:val="c-gruppedprops__prop-value"/>
    <w:basedOn w:val="DefaultParagraphFont"/>
    <w:qFormat/>
    <w:rPr/>
  </w:style>
  <w:style w:type="character" w:styleId="Label" w:customStyle="1">
    <w:name w:val="label"/>
    <w:basedOn w:val="DefaultParagraphFont"/>
    <w:qFormat/>
    <w:rPr/>
  </w:style>
  <w:style w:type="character" w:styleId="Strong2" w:customStyle="1">
    <w:name w:val="Strong2"/>
    <w:qFormat/>
    <w:rPr>
      <w:b/>
      <w:bCs/>
    </w:rPr>
  </w:style>
  <w:style w:type="character" w:styleId="Strong">
    <w:name w:val="Strong"/>
    <w:uiPriority w:val="22"/>
    <w:qFormat/>
    <w:rPr>
      <w:b/>
      <w:bCs/>
    </w:rPr>
  </w:style>
  <w:style w:type="character" w:styleId="Style18" w:customStyle="1">
    <w:name w:val="Маркеры"/>
    <w:qFormat/>
    <w:rPr>
      <w:rFonts w:ascii="OpenSymbol" w:hAnsi="OpenSymbol" w:eastAsia="OpenSymbol" w:cs="OpenSymbol"/>
    </w:rPr>
  </w:style>
  <w:style w:type="character" w:styleId="Extrafieldsname" w:customStyle="1">
    <w:name w:val="extra_fields_name"/>
    <w:basedOn w:val="DefaultParagraphFont"/>
    <w:qFormat/>
    <w:rsid w:val="00c163dc"/>
    <w:rPr/>
  </w:style>
  <w:style w:type="character" w:styleId="Extrafieldsvalue" w:customStyle="1">
    <w:name w:val="extra_fields_value"/>
    <w:basedOn w:val="DefaultParagraphFont"/>
    <w:qFormat/>
    <w:rsid w:val="00c163dc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Caption1111111111" w:customStyle="1">
    <w:name w:val="caption1111111111"/>
    <w:basedOn w:val="Normal"/>
    <w:next w:val="Normal"/>
    <w:qFormat/>
    <w:pPr/>
    <w:rPr>
      <w:rFonts w:cs="Times New Roman"/>
      <w:b/>
      <w:bCs/>
      <w:color w:val="4F81BD"/>
      <w:sz w:val="18"/>
      <w:szCs w:val="18"/>
      <w:lang w:eastAsia="ru-RU"/>
    </w:rPr>
  </w:style>
  <w:style w:type="paragraph" w:styleId="Indexheading1111111111" w:customStyle="1">
    <w:name w:val="index heading1111111111"/>
    <w:basedOn w:val="Title"/>
    <w:qFormat/>
    <w:pPr/>
    <w:rPr/>
  </w:style>
  <w:style w:type="paragraph" w:styleId="Style21" w:customStyle="1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2" w:customStyle="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3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4" w:customStyle="1">
    <w:name w:val="Название раздела инструкции"/>
    <w:basedOn w:val="Normal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pPr/>
    <w:rPr>
      <w:rFonts w:eastAsia="Times New Roman" w:cs="Times New Roman"/>
      <w:sz w:val="20"/>
      <w:szCs w:val="20"/>
      <w:lang w:eastAsia="ru-RU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 w:customStyle="1">
    <w:name w:val="Название1"/>
    <w:basedOn w:val="Normal"/>
    <w:link w:val="Style10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6" w:customStyle="1">
    <w:name w:val="Подпункт"/>
    <w:basedOn w:val="Normal"/>
    <w:link w:val="11"/>
    <w:qFormat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eastAsia="Times New Roman" w:cs="Calibri"/>
      <w:sz w:val="20"/>
      <w:szCs w:val="20"/>
      <w:lang w:eastAsia="ru-RU"/>
    </w:rPr>
  </w:style>
  <w:style w:type="paragraph" w:styleId="Style27" w:customStyle="1">
    <w:name w:val="Раздел регламента"/>
    <w:basedOn w:val="Normal"/>
    <w:qFormat/>
    <w:pPr/>
    <w:rPr>
      <w:rFonts w:eastAsia="Times New Roman" w:cs="Times New Roman"/>
      <w:sz w:val="28"/>
      <w:szCs w:val="28"/>
      <w:lang w:eastAsia="ru-RU"/>
    </w:rPr>
  </w:style>
  <w:style w:type="paragraph" w:styleId="Style28" w:customStyle="1">
    <w:name w:val="Приложение к регламенту"/>
    <w:basedOn w:val="Normal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pPr>
      <w:spacing w:before="240" w:after="0"/>
    </w:pPr>
    <w:rPr>
      <w:rFonts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qFormat/>
    <w:pPr/>
    <w:rPr>
      <w:rFonts w:ascii="Tahoma" w:hAnsi="Tahoma" w:eastAsia="Times New Roman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eastAsia="Times New Roman" w:cs="Calibr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9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NoSpacing">
    <w:name w:val="No Spacing"/>
    <w:basedOn w:val="Normal"/>
    <w:qFormat/>
    <w:pPr>
      <w:spacing w:lineRule="auto" w:line="360"/>
    </w:pPr>
    <w:rPr>
      <w:rFonts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qFormat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qFormat/>
    <w:pPr>
      <w:ind w:left="708" w:hanging="0"/>
    </w:pPr>
    <w:rPr/>
  </w:style>
  <w:style w:type="paragraph" w:styleId="Quote">
    <w:name w:val="Quote"/>
    <w:basedOn w:val="Normal"/>
    <w:next w:val="Normal"/>
    <w:link w:val="23"/>
    <w:qFormat/>
    <w:pPr/>
    <w:rPr>
      <w:rFonts w:ascii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qFormat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qFormat/>
    <w:pPr/>
    <w:rPr>
      <w:rFonts w:cs="Times New Roman"/>
      <w:szCs w:val="24"/>
      <w:lang w:val="x-none" w:eastAsia="x-none"/>
    </w:rPr>
  </w:style>
  <w:style w:type="paragraph" w:styleId="Style30" w:customStyle="1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1" w:customStyle="1">
    <w:name w:val="Пункт"/>
    <w:basedOn w:val="Normal"/>
    <w:qFormat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2" w:customStyle="1">
    <w:name w:val="Таблица"/>
    <w:basedOn w:val="Normal"/>
    <w:qFormat/>
    <w:pPr>
      <w:keepNext w:val="true"/>
      <w:spacing w:before="60" w:after="60"/>
      <w:jc w:val="center"/>
    </w:pPr>
    <w:rPr>
      <w:rFonts w:cs="Times New Roman"/>
      <w:b/>
      <w:szCs w:val="24"/>
      <w:lang w:val="x-none" w:eastAsia="x-none"/>
    </w:rPr>
  </w:style>
  <w:style w:type="paragraph" w:styleId="Style33" w:customStyle="1">
    <w:name w:val="Подподпункт"/>
    <w:basedOn w:val="Style26"/>
    <w:link w:val="Style15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4" w:customStyle="1">
    <w:name w:val="УРОВЕНЬ_(а)"/>
    <w:basedOn w:val="ListParagraph"/>
    <w:qFormat/>
    <w:pPr>
      <w:numPr>
        <w:ilvl w:val="3"/>
        <w:numId w:val="3"/>
      </w:numPr>
      <w:spacing w:lineRule="exact" w:line="360" w:before="120" w:after="0"/>
      <w:ind w:left="1728" w:hanging="648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pPr>
      <w:numPr>
        <w:ilvl w:val="4"/>
        <w:numId w:val="3"/>
      </w:numPr>
      <w:spacing w:lineRule="exact" w:line="360" w:before="120" w:after="0"/>
      <w:ind w:left="2232" w:hanging="792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pPr>
      <w:numPr>
        <w:ilvl w:val="6"/>
        <w:numId w:val="3"/>
      </w:numPr>
      <w:spacing w:lineRule="exact" w:line="360" w:before="120" w:after="0"/>
      <w:ind w:left="3240" w:hanging="1080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3"/>
    <w:qFormat/>
    <w:pPr>
      <w:numPr>
        <w:ilvl w:val="7"/>
        <w:numId w:val="3"/>
      </w:numPr>
      <w:spacing w:lineRule="exact" w:line="360" w:before="120" w:after="0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pPr>
      <w:keepNext w:val="true"/>
      <w:numPr>
        <w:ilvl w:val="5"/>
        <w:numId w:val="3"/>
      </w:numPr>
      <w:spacing w:lineRule="exact" w:line="360" w:before="120" w:after="120"/>
      <w:ind w:left="2736" w:hanging="936"/>
      <w:jc w:val="right"/>
      <w:outlineLvl w:val="3"/>
    </w:pPr>
    <w:rPr>
      <w:sz w:val="26"/>
      <w:szCs w:val="28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pPr>
      <w:keepNext w:val="true"/>
      <w:numPr>
        <w:ilvl w:val="0"/>
        <w:numId w:val="4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6" w:customStyle="1">
    <w:name w:val="Таблица текст"/>
    <w:basedOn w:val="Normal"/>
    <w:qFormat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37" w:customStyle="1">
    <w:name w:val="Знак Знак Знак Знак"/>
    <w:basedOn w:val="Normal"/>
    <w:qFormat/>
    <w:pPr>
      <w:suppressAutoHyphens w:val="false"/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pPr>
      <w:keepNext w:val="true"/>
      <w:keepLines/>
      <w:tabs>
        <w:tab w:val="clear" w:pos="720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pPr>
      <w:tabs>
        <w:tab w:val="clear" w:pos="720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0" w:customStyle="1">
    <w:name w:val="Обычный1"/>
    <w:qFormat/>
    <w:pPr>
      <w:widowControl w:val="false"/>
      <w:suppressAutoHyphens w:val="true"/>
      <w:overflowPunct w:val="fals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8" w:customStyle="1">
    <w:name w:val="Пункт договора"/>
    <w:basedOn w:val="Normal"/>
    <w:qFormat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9" w:customStyle="1">
    <w:name w:val="Подпункт договора"/>
    <w:basedOn w:val="Normal"/>
    <w:qFormat/>
    <w:pPr>
      <w:tabs>
        <w:tab w:val="clear" w:pos="720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0" w:customStyle="1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111" w:customStyle="1">
    <w:name w:val="Знак Знак Знак Знак1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211" w:customStyle="1">
    <w:name w:val="Обычный2"/>
    <w:qFormat/>
    <w:pPr>
      <w:widowControl w:val="false"/>
      <w:suppressAutoHyphens w:val="true"/>
      <w:overflowPunct w:val="fals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Jss308" w:customStyle="1">
    <w:name w:val="jss308"/>
    <w:basedOn w:val="Normal"/>
    <w:qFormat/>
    <w:pPr>
      <w:suppressAutoHyphens w:val="false"/>
      <w:spacing w:before="280" w:after="280"/>
    </w:pPr>
    <w:rPr>
      <w:rFonts w:eastAsia="Times New Roman" w:cs="Times New Roman"/>
      <w:szCs w:val="24"/>
      <w:lang w:eastAsia="ru-RU"/>
    </w:rPr>
  </w:style>
  <w:style w:type="paragraph" w:styleId="Style4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2" w:customStyle="1">
    <w:name w:val="Заголовок таблицы"/>
    <w:basedOn w:val="Style41"/>
    <w:qFormat/>
    <w:pPr>
      <w:jc w:val="center"/>
    </w:pPr>
    <w:rPr>
      <w:b/>
      <w:bCs/>
    </w:rPr>
  </w:style>
  <w:style w:type="paragraph" w:styleId="Style43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44" w:customStyle="1">
    <w:name w:val="тЦентр"/>
    <w:qFormat/>
    <w:rsid w:val="00b34497"/>
    <w:pPr>
      <w:widowControl/>
      <w:suppressAutoHyphens w:val="false"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8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qFormat/>
  </w:style>
  <w:style w:type="numbering" w:styleId="212" w:customStyle="1">
    <w:name w:val="Стиль2"/>
    <w:qFormat/>
  </w:style>
  <w:style w:type="numbering" w:styleId="113" w:customStyle="1">
    <w:name w:val="Нет списка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D167E-BE3E-4FA6-8BF4-A4F749C0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Application>AlterOffice/3.4.0.9$Linux_X86_64 LibreOffice_project/b8daf9e823b1a5463a2f48435ddc2e8696e7d4fc</Application>
  <AppVersion>15.0000</AppVersion>
  <Pages>6</Pages>
  <Words>904</Words>
  <Characters>6053</Characters>
  <CharactersWithSpaces>6797</CharactersWithSpaces>
  <Paragraphs>166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2026-07-30T01:34:00Z</dcterms:created>
  <dc:creator>Вашкевич Ольга Владимировна</dc:creator>
  <dc:description/>
  <dc:language>ru-RU</dc:language>
  <cp:lastModifiedBy/>
  <cp:lastPrinted>2024-07-22T18:15:00Z</cp:lastPrinted>
  <dcterms:modified xsi:type="dcterms:W3CDTF">2026-07-30T16:16:16Z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