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11"/>
        <w:spacing w:lineRule="auto" w:line="264"/>
        <w:ind w:left="9020" w:hanging="3350"/>
        <w:rPr>
          <w:color w:val="332E2D"/>
          <w:spacing w:val="2"/>
        </w:rPr>
      </w:pPr>
      <w:r>
        <w:rPr>
          <w:color w:val="332E2D"/>
          <w:spacing w:val="2"/>
        </w:rPr>
      </w:r>
    </w:p>
    <w:p>
      <w:pPr>
        <w:pStyle w:val="111"/>
        <w:spacing w:lineRule="auto" w:line="264"/>
        <w:ind w:left="9020" w:hanging="3350"/>
        <w:rPr>
          <w:color w:val="332E2D"/>
          <w:spacing w:val="2"/>
        </w:rPr>
      </w:pPr>
      <w:r>
        <w:rPr>
          <w:color w:val="332E2D"/>
          <w:spacing w:val="2"/>
        </w:rPr>
      </w:r>
    </w:p>
    <w:p>
      <w:pPr>
        <w:pStyle w:val="111"/>
        <w:spacing w:lineRule="auto" w:line="264"/>
        <w:ind w:left="9020" w:hanging="3350"/>
        <w:rPr>
          <w:color w:val="332E2D"/>
          <w:spacing w:val="2"/>
        </w:rPr>
      </w:pPr>
      <w:r>
        <w:rPr>
          <w:color w:val="332E2D"/>
          <w:spacing w:val="2"/>
        </w:rPr>
      </w:r>
    </w:p>
    <w:p>
      <w:pPr>
        <w:pStyle w:val="Normal"/>
        <w:keepNext w:val="true"/>
        <w:keepLines/>
        <w:jc w:val="center"/>
        <w:rPr>
          <w:rFonts w:eastAsia="Calibri"/>
          <w:b/>
          <w:sz w:val="26"/>
          <w:szCs w:val="26"/>
        </w:rPr>
      </w:pPr>
      <w:r>
        <w:rPr>
          <w:rFonts w:eastAsia="Calibri"/>
          <w:b/>
          <w:sz w:val="26"/>
          <w:szCs w:val="26"/>
        </w:rPr>
      </w:r>
      <w:bookmarkStart w:id="0" w:name="_Toc137554584"/>
      <w:bookmarkStart w:id="1" w:name="_Toc141696704"/>
      <w:bookmarkStart w:id="2" w:name="_Toc139856287"/>
      <w:bookmarkStart w:id="3" w:name="_Toc137554584"/>
      <w:bookmarkStart w:id="4" w:name="_Toc141696704"/>
      <w:bookmarkStart w:id="5" w:name="_Toc139856287"/>
      <w:bookmarkEnd w:id="3"/>
      <w:bookmarkEnd w:id="4"/>
      <w:bookmarkEnd w:id="5"/>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bookmarkStart w:id="6" w:name="_Toc1398562871"/>
      <w:bookmarkStart w:id="7" w:name="_Toc1416967041"/>
      <w:bookmarkStart w:id="8" w:name="_Toc1375545841"/>
      <w:bookmarkStart w:id="9" w:name="_Toc1398562871"/>
      <w:bookmarkStart w:id="10" w:name="_Toc1416967041"/>
      <w:bookmarkStart w:id="11" w:name="_Toc1375545841"/>
      <w:bookmarkEnd w:id="9"/>
      <w:bookmarkEnd w:id="10"/>
      <w:bookmarkEnd w:id="11"/>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jc w:val="center"/>
        <w:rPr>
          <w:bCs/>
          <w:lang w:val="en-US"/>
        </w:rPr>
      </w:pPr>
      <w:r>
        <w:rPr>
          <w:bCs/>
          <w:lang w:val="en-US"/>
        </w:rPr>
      </w:r>
    </w:p>
    <w:p>
      <w:pPr>
        <w:pStyle w:val="Normal"/>
        <w:jc w:val="center"/>
        <w:rPr>
          <w:bCs/>
          <w:lang w:val="en-US"/>
        </w:rPr>
      </w:pPr>
      <w:r>
        <w:rPr>
          <w:bCs/>
          <w:lang w:val="en-US"/>
        </w:rPr>
      </w:r>
    </w:p>
    <w:p>
      <w:pPr>
        <w:pStyle w:val="Normal"/>
        <w:jc w:val="center"/>
        <w:rPr>
          <w:bCs/>
          <w:lang w:val="en-US"/>
        </w:rPr>
      </w:pPr>
      <w:r>
        <w:rPr>
          <w:bCs/>
          <w:lang w:val="en-US"/>
        </w:rPr>
      </w:r>
    </w:p>
    <w:p>
      <w:pPr>
        <w:pStyle w:val="Normal"/>
        <w:jc w:val="center"/>
        <w:rPr>
          <w:bCs/>
          <w:lang w:val="en-US"/>
        </w:rPr>
      </w:pPr>
      <w:r>
        <w:rPr>
          <w:bCs/>
          <w:lang w:val="en-US"/>
        </w:rPr>
      </w:r>
    </w:p>
    <w:p>
      <w:pPr>
        <w:pStyle w:val="Normal"/>
        <w:jc w:val="center"/>
        <w:rPr>
          <w:bCs/>
          <w:lang w:val="en-US"/>
        </w:rPr>
      </w:pPr>
      <w:r>
        <w:rPr>
          <w:bCs/>
          <w:lang w:val="en-US"/>
        </w:rPr>
      </w:r>
    </w:p>
    <w:p>
      <w:pPr>
        <w:pStyle w:val="Normal"/>
        <w:jc w:val="center"/>
        <w:rPr>
          <w:bCs/>
          <w:lang w:val="en-US"/>
        </w:rPr>
      </w:pPr>
      <w:r>
        <w:rPr>
          <w:bCs/>
          <w:lang w:val="en-US"/>
        </w:rPr>
      </w:r>
    </w:p>
    <w:p>
      <w:pPr>
        <w:pStyle w:val="Normal"/>
        <w:jc w:val="center"/>
        <w:rPr>
          <w:bCs/>
          <w:lang w:val="en-US"/>
        </w:rPr>
      </w:pPr>
      <w:r>
        <w:rPr>
          <w:bCs/>
          <w:lang w:val="en-US"/>
        </w:rPr>
      </w:r>
    </w:p>
    <w:p>
      <w:pPr>
        <w:pStyle w:val="Normal"/>
        <w:jc w:val="center"/>
        <w:rPr>
          <w:rFonts w:eastAsia="Calibri"/>
          <w:b/>
          <w:sz w:val="26"/>
          <w:szCs w:val="26"/>
          <w:shd w:fill="FFFFFF" w:val="clear"/>
        </w:rPr>
      </w:pPr>
      <w:r>
        <w:rPr>
          <w:rFonts w:eastAsia="Calibri"/>
          <w:b/>
          <w:sz w:val="26"/>
          <w:szCs w:val="26"/>
          <w:shd w:fill="FFFFFF" w:val="clear"/>
        </w:rPr>
        <w:t>Технические требования</w:t>
      </w:r>
    </w:p>
    <w:p>
      <w:pPr>
        <w:pStyle w:val="Normal"/>
        <w:widowControl w:val="false"/>
        <w:tabs>
          <w:tab w:val="clear" w:pos="708"/>
          <w:tab w:val="left" w:pos="426" w:leader="none"/>
        </w:tabs>
        <w:spacing w:before="120" w:after="120"/>
        <w:jc w:val="center"/>
        <w:rPr/>
      </w:pPr>
      <w:r>
        <w:rPr>
          <w:rStyle w:val="Style8"/>
          <w:rFonts w:eastAsia="Calibri" w:cs="Times New Roman"/>
          <w:b w:val="false"/>
          <w:bCs w:val="false"/>
          <w:i w:val="false"/>
          <w:iCs w:val="false"/>
          <w:strike w:val="false"/>
          <w:dstrike w:val="false"/>
          <w:outline w:val="false"/>
          <w:shadow w:val="false"/>
          <w:color w:val="000000"/>
          <w:kern w:val="0"/>
          <w:sz w:val="24"/>
          <w:szCs w:val="24"/>
          <w:u w:val="none"/>
          <w:shd w:fill="auto" w:val="clear"/>
          <w:em w:val="none"/>
          <w:lang w:val="ru-RU" w:eastAsia="ru-RU" w:bidi="ar-SA"/>
        </w:rPr>
        <w:t>ОКПД2 28.13 П</w:t>
      </w:r>
      <w:r>
        <w:rPr>
          <w:rStyle w:val="Style8"/>
          <w:rFonts w:eastAsia="Calibri"/>
          <w:b w:val="false"/>
          <w:bCs w:val="false"/>
          <w:i w:val="false"/>
          <w:sz w:val="26"/>
          <w:szCs w:val="26"/>
          <w:shd w:fill="auto" w:val="clear"/>
        </w:rPr>
        <w:t xml:space="preserve">оставка </w:t>
      </w:r>
      <w:r>
        <w:rPr>
          <w:rStyle w:val="Style8"/>
          <w:rFonts w:eastAsia="Calibri" w:cs="Times New Roman"/>
          <w:b w:val="false"/>
          <w:bCs w:val="false"/>
          <w:i w:val="false"/>
          <w:iCs w:val="false"/>
          <w:strike w:val="false"/>
          <w:dstrike w:val="false"/>
          <w:outline w:val="false"/>
          <w:shadow w:val="false"/>
          <w:color w:val="000000"/>
          <w:sz w:val="24"/>
          <w:szCs w:val="24"/>
          <w:u w:val="none"/>
          <w:shd w:fill="auto" w:val="clear"/>
          <w:em w:val="none"/>
        </w:rPr>
        <w:t>агрегата электронасосного</w:t>
      </w:r>
      <w:r>
        <w:rPr>
          <w:rStyle w:val="Style8"/>
          <w:rFonts w:eastAsia="Calibri"/>
          <w:b w:val="false"/>
          <w:bCs w:val="false"/>
          <w:i w:val="false"/>
          <w:sz w:val="26"/>
          <w:szCs w:val="26"/>
          <w:shd w:fill="auto" w:val="clear"/>
        </w:rPr>
        <w:t xml:space="preserve">                                                                               для нужд Волжского филиала </w:t>
      </w:r>
      <w:r>
        <w:rPr>
          <w:rStyle w:val="Style8"/>
          <w:rFonts w:eastAsia="Times New Roman" w:cs="Times New Roman"/>
          <w:b w:val="false"/>
          <w:bCs w:val="false"/>
          <w:i w:val="false"/>
          <w:iCs w:val="false"/>
          <w:caps w:val="false"/>
          <w:smallCaps w:val="false"/>
          <w:strike w:val="false"/>
          <w:dstrike w:val="false"/>
          <w:outline w:val="false"/>
          <w:shadow w:val="false"/>
          <w:color w:val="000000"/>
          <w:spacing w:val="0"/>
          <w:sz w:val="26"/>
          <w:szCs w:val="26"/>
          <w:u w:val="none"/>
          <w:shd w:fill="FFFFFF" w:val="clear"/>
          <w:em w:val="none"/>
        </w:rPr>
        <w:t xml:space="preserve">АО «Гидроремонт-ВКК» </w:t>
      </w:r>
    </w:p>
    <w:p>
      <w:pPr>
        <w:pStyle w:val="Normal"/>
        <w:keepNext w:val="true"/>
        <w:keepLines/>
        <w:jc w:val="center"/>
        <w:rPr>
          <w:b w:val="false"/>
          <w:bCs w:val="false"/>
        </w:rPr>
      </w:pPr>
      <w:r>
        <w:rPr>
          <w:rFonts w:eastAsia="Calibri"/>
          <w:b w:val="false"/>
          <w:bCs w:val="false"/>
          <w:sz w:val="26"/>
          <w:szCs w:val="26"/>
        </w:rPr>
        <w:t xml:space="preserve">Лот № </w:t>
      </w:r>
    </w:p>
    <w:p>
      <w:pPr>
        <w:pStyle w:val="Normal"/>
        <w:keepNext w:val="true"/>
        <w:keepLines/>
        <w:jc w:val="center"/>
        <w:rPr>
          <w:rFonts w:eastAsia="Calibri"/>
          <w:b/>
          <w:i/>
          <w:i/>
          <w:sz w:val="26"/>
          <w:szCs w:val="26"/>
        </w:rPr>
      </w:pPr>
      <w:r>
        <w:rPr>
          <w:rFonts w:eastAsia="Calibri"/>
          <w:b/>
          <w:i/>
          <w:sz w:val="26"/>
          <w:szCs w:val="26"/>
        </w:rPr>
      </w:r>
    </w:p>
    <w:p>
      <w:pPr>
        <w:pStyle w:val="Normal"/>
        <w:keepNext w:val="true"/>
        <w:keepLines/>
        <w:jc w:val="both"/>
        <w:rPr>
          <w:sz w:val="26"/>
          <w:szCs w:val="26"/>
        </w:rPr>
      </w:pPr>
      <w:r>
        <w:rPr>
          <w:sz w:val="26"/>
          <w:szCs w:val="26"/>
        </w:rPr>
      </w:r>
    </w:p>
    <w:p>
      <w:pPr>
        <w:pStyle w:val="Normal"/>
        <w:rPr>
          <w:sz w:val="26"/>
          <w:szCs w:val="26"/>
        </w:rPr>
      </w:pPr>
      <w:r>
        <w:rPr>
          <w:sz w:val="26"/>
          <w:szCs w:val="26"/>
        </w:rPr>
      </w:r>
      <w:r>
        <w:br w:type="page"/>
      </w:r>
    </w:p>
    <w:p>
      <w:pPr>
        <w:pStyle w:val="Normal"/>
        <w:keepNext w:val="true"/>
        <w:keepLines/>
        <w:jc w:val="center"/>
        <w:rPr/>
      </w:pPr>
      <w:r>
        <w:rPr/>
        <w:t>Общие сведения</w:t>
      </w:r>
    </w:p>
    <w:p>
      <w:pPr>
        <w:pStyle w:val="Heading4"/>
        <w:numPr>
          <w:ilvl w:val="1"/>
        </w:numPr>
        <w:ind w:left="1224" w:hanging="0"/>
        <w:rPr>
          <w:rFonts w:eastAsia="Times New Roman" w:cs="Times New Roman"/>
          <w:b w:val="false"/>
          <w:bCs w:val="false"/>
          <w:i/>
          <w:i/>
          <w:iCs/>
          <w:strike w:val="false"/>
          <w:dstrike w:val="false"/>
          <w:outline w:val="false"/>
          <w:shadow w:val="false"/>
          <w:color w:val="000000"/>
          <w:sz w:val="24"/>
          <w:szCs w:val="24"/>
          <w:u w:val="none"/>
          <w:shd w:fill="FFFF00" w:val="clear"/>
          <w:em w:val="none"/>
        </w:rPr>
      </w:pPr>
      <w:r>
        <w:rPr/>
        <w:t>1.1.  Наименование закупаемой продукции</w:t>
      </w:r>
    </w:p>
    <w:p>
      <w:pPr>
        <w:pStyle w:val="Normal"/>
        <w:bidi w:val="0"/>
        <w:jc w:val="left"/>
        <w:rPr>
          <w:rFonts w:eastAsia="Times New Roman" w:cs="Times New Roman"/>
          <w:b w:val="false"/>
          <w:bCs w:val="false"/>
          <w:i/>
          <w:i/>
          <w:iCs/>
          <w:strike w:val="false"/>
          <w:dstrike w:val="false"/>
          <w:outline w:val="false"/>
          <w:shadow w:val="false"/>
          <w:color w:val="000000"/>
          <w:sz w:val="24"/>
          <w:szCs w:val="24"/>
          <w:u w:val="none"/>
          <w:shd w:fill="FFFF00" w:val="clear"/>
          <w:em w:val="none"/>
        </w:rPr>
      </w:pPr>
      <w:r>
        <w:rPr>
          <w:rFonts w:eastAsia="Times New Roman" w:cs="Times New Roman"/>
          <w:b w:val="false"/>
          <w:bCs w:val="false"/>
          <w:i/>
          <w:iCs/>
          <w:strike w:val="false"/>
          <w:dstrike w:val="false"/>
          <w:outline w:val="false"/>
          <w:shadow w:val="false"/>
          <w:color w:val="000000"/>
          <w:sz w:val="24"/>
          <w:szCs w:val="24"/>
          <w:u w:val="none"/>
          <w:shd w:fill="auto" w:val="clear"/>
          <w:em w:val="none"/>
        </w:rPr>
        <w:t xml:space="preserve"> </w:t>
      </w:r>
      <w:r>
        <w:rPr>
          <w:rFonts w:eastAsia="Calibri" w:cs="Times New Roman"/>
          <w:b w:val="false"/>
          <w:bCs w:val="false"/>
          <w:i w:val="false"/>
          <w:iCs w:val="false"/>
          <w:caps w:val="false"/>
          <w:smallCaps w:val="false"/>
          <w:strike w:val="false"/>
          <w:dstrike w:val="false"/>
          <w:outline w:val="false"/>
          <w:shadow w:val="false"/>
          <w:color w:val="000000"/>
          <w:spacing w:val="0"/>
          <w:sz w:val="24"/>
          <w:szCs w:val="24"/>
          <w:u w:val="none"/>
          <w:shd w:fill="auto" w:val="clear"/>
          <w:em w:val="none"/>
          <w:lang w:eastAsia="x-none"/>
        </w:rPr>
        <w:t xml:space="preserve">«ОКПД2 </w:t>
      </w:r>
      <w:r>
        <w:rPr>
          <w:rFonts w:eastAsia="Calibri" w:cs="Times New Roman"/>
          <w:b w:val="false"/>
          <w:bCs w:val="false"/>
          <w:i w:val="false"/>
          <w:iCs w:val="false"/>
          <w:caps w:val="false"/>
          <w:smallCaps w:val="false"/>
          <w:strike w:val="false"/>
          <w:dstrike w:val="false"/>
          <w:outline w:val="false"/>
          <w:shadow w:val="false"/>
          <w:color w:val="000000"/>
          <w:spacing w:val="0"/>
          <w:sz w:val="24"/>
          <w:szCs w:val="24"/>
          <w:u w:val="none"/>
          <w:shd w:fill="auto" w:val="clear"/>
          <w:em w:val="none"/>
          <w:lang w:eastAsia="x-none"/>
        </w:rPr>
        <w:t>28</w:t>
      </w:r>
      <w:r>
        <w:rPr>
          <w:rFonts w:eastAsia="Calibri" w:cs="Times New Roman"/>
          <w:b w:val="false"/>
          <w:bCs w:val="false"/>
          <w:i w:val="false"/>
          <w:iCs w:val="false"/>
          <w:caps w:val="false"/>
          <w:smallCaps w:val="false"/>
          <w:strike w:val="false"/>
          <w:dstrike w:val="false"/>
          <w:outline w:val="false"/>
          <w:shadow w:val="false"/>
          <w:color w:val="000000"/>
          <w:spacing w:val="0"/>
          <w:sz w:val="24"/>
          <w:szCs w:val="24"/>
          <w:u w:val="none"/>
          <w:shd w:fill="auto" w:val="clear"/>
          <w:em w:val="none"/>
          <w:lang w:eastAsia="x-none"/>
        </w:rPr>
        <w:t>.</w:t>
      </w:r>
      <w:r>
        <w:rPr>
          <w:rFonts w:eastAsia="Calibri" w:cs="Times New Roman"/>
          <w:b w:val="false"/>
          <w:bCs w:val="false"/>
          <w:i w:val="false"/>
          <w:iCs w:val="false"/>
          <w:caps w:val="false"/>
          <w:smallCaps w:val="false"/>
          <w:strike w:val="false"/>
          <w:dstrike w:val="false"/>
          <w:outline w:val="false"/>
          <w:shadow w:val="false"/>
          <w:color w:val="000000"/>
          <w:spacing w:val="0"/>
          <w:sz w:val="24"/>
          <w:szCs w:val="24"/>
          <w:u w:val="none"/>
          <w:shd w:fill="auto" w:val="clear"/>
          <w:em w:val="none"/>
          <w:lang w:eastAsia="x-none"/>
        </w:rPr>
        <w:t>13</w:t>
      </w:r>
      <w:r>
        <w:rPr>
          <w:rFonts w:eastAsia="Calibri" w:cs="Times New Roman"/>
          <w:b w:val="false"/>
          <w:bCs w:val="false"/>
          <w:i w:val="false"/>
          <w:iCs w:val="false"/>
          <w:caps w:val="false"/>
          <w:smallCaps w:val="false"/>
          <w:strike w:val="false"/>
          <w:dstrike w:val="false"/>
          <w:outline w:val="false"/>
          <w:shadow w:val="false"/>
          <w:color w:val="000000"/>
          <w:spacing w:val="0"/>
          <w:sz w:val="24"/>
          <w:szCs w:val="24"/>
          <w:u w:val="none"/>
          <w:shd w:fill="auto" w:val="clear"/>
          <w:em w:val="none"/>
          <w:lang w:eastAsia="x-none"/>
        </w:rPr>
        <w:t xml:space="preserve"> Поставка </w:t>
      </w:r>
      <w:r>
        <w:rPr>
          <w:rStyle w:val="Style8"/>
          <w:rFonts w:eastAsia="Calibri" w:cs="Times New Roman"/>
          <w:b w:val="false"/>
          <w:bCs w:val="false"/>
          <w:i w:val="false"/>
          <w:iCs w:val="false"/>
          <w:caps w:val="false"/>
          <w:smallCaps w:val="false"/>
          <w:strike w:val="false"/>
          <w:dstrike w:val="false"/>
          <w:outline w:val="false"/>
          <w:shadow w:val="false"/>
          <w:color w:val="000000"/>
          <w:spacing w:val="0"/>
          <w:sz w:val="24"/>
          <w:szCs w:val="24"/>
          <w:u w:val="none"/>
          <w:shd w:fill="auto" w:val="clear"/>
          <w:em w:val="none"/>
          <w:lang w:eastAsia="x-none"/>
        </w:rPr>
        <w:t>агрегата электронасосного ЦНС(Г)А 6-120</w:t>
      </w:r>
      <w:r>
        <w:rPr>
          <w:rFonts w:eastAsia="Calibri" w:cs="Times New Roman"/>
          <w:b w:val="false"/>
          <w:bCs w:val="false"/>
          <w:i w:val="false"/>
          <w:iCs w:val="false"/>
          <w:caps w:val="false"/>
          <w:smallCaps w:val="false"/>
          <w:strike w:val="false"/>
          <w:dstrike w:val="false"/>
          <w:outline w:val="false"/>
          <w:shadow w:val="false"/>
          <w:color w:val="000000"/>
          <w:spacing w:val="0"/>
          <w:sz w:val="24"/>
          <w:szCs w:val="24"/>
          <w:u w:val="none"/>
          <w:shd w:fill="auto" w:val="clear"/>
          <w:em w:val="none"/>
          <w:lang w:eastAsia="x-none"/>
        </w:rPr>
        <w:t xml:space="preserve">  для нужд Волжского филиала»  (далее — Продукция)</w:t>
      </w:r>
    </w:p>
    <w:p>
      <w:pPr>
        <w:pStyle w:val="Heading4"/>
        <w:numPr>
          <w:ilvl w:val="1"/>
        </w:numPr>
        <w:spacing w:before="240" w:after="60"/>
        <w:ind w:left="431" w:right="0" w:hanging="431"/>
        <w:rPr>
          <w:bCs/>
          <w:i/>
          <w:i/>
          <w:sz w:val="24"/>
          <w:szCs w:val="24"/>
        </w:rPr>
      </w:pPr>
      <w:r>
        <w:rPr/>
        <w:t xml:space="preserve">1.2.  Цель </w:t>
      </w:r>
      <w:r>
        <w:rPr>
          <w:lang w:val="ru-RU"/>
        </w:rPr>
        <w:t>использования закупаемой продукции</w:t>
      </w:r>
      <w:r>
        <w:rPr/>
        <w:t xml:space="preserve"> </w:t>
      </w:r>
    </w:p>
    <w:p>
      <w:pPr>
        <w:pStyle w:val="Normal"/>
        <w:jc w:val="both"/>
        <w:rPr>
          <w:bCs/>
          <w:i/>
          <w:i/>
          <w:sz w:val="24"/>
          <w:szCs w:val="24"/>
        </w:rPr>
      </w:pPr>
      <w:r>
        <w:rPr>
          <w:bCs/>
          <w:i/>
          <w:sz w:val="24"/>
          <w:szCs w:val="24"/>
        </w:rPr>
        <w:t xml:space="preserve">   </w:t>
      </w:r>
      <w:bookmarkStart w:id="12" w:name="_Toc184220614_Копия_1"/>
      <w:r>
        <w:rPr>
          <w:rStyle w:val="Style8"/>
          <w:rFonts w:eastAsia="Calibri" w:cs="Times New Roman"/>
          <w:b/>
          <w:bCs w:val="false"/>
          <w:i w:val="false"/>
          <w:iCs w:val="false"/>
          <w:caps w:val="false"/>
          <w:smallCaps w:val="false"/>
          <w:color w:val="000000"/>
          <w:spacing w:val="0"/>
          <w:sz w:val="24"/>
          <w:szCs w:val="24"/>
          <w:shd w:fill="auto" w:val="clear"/>
          <w:lang w:val="ru-RU" w:eastAsia="en-US"/>
        </w:rPr>
        <w:t xml:space="preserve"> </w:t>
      </w:r>
      <w:bookmarkStart w:id="13" w:name="_Toc184220614_Копия_2"/>
      <w:bookmarkEnd w:id="12"/>
      <w:r>
        <w:rPr>
          <w:rStyle w:val="Style8"/>
          <w:rFonts w:eastAsia="Calibri" w:cs="Times New Roman"/>
          <w:b/>
          <w:bCs w:val="false"/>
          <w:i w:val="false"/>
          <w:iCs w:val="false"/>
          <w:caps w:val="false"/>
          <w:smallCaps w:val="false"/>
          <w:color w:val="000000"/>
          <w:spacing w:val="0"/>
          <w:sz w:val="24"/>
          <w:szCs w:val="24"/>
          <w:shd w:fill="auto" w:val="clear"/>
          <w:lang w:val="ru-RU" w:eastAsia="en-US"/>
        </w:rPr>
        <w:t xml:space="preserve">Закупаемая продукция предназначена для выполнения работ на Волжской ГЭС для исполнения </w:t>
      </w:r>
      <w:r>
        <w:rPr>
          <w:rStyle w:val="Style8"/>
          <w:rFonts w:eastAsia="Calibri" w:cs="Times New Roman"/>
          <w:b w:val="false"/>
          <w:bCs w:val="false"/>
          <w:i w:val="false"/>
          <w:iCs w:val="false"/>
          <w:caps w:val="false"/>
          <w:smallCaps w:val="false"/>
          <w:color w:val="000000"/>
          <w:spacing w:val="0"/>
          <w:sz w:val="24"/>
          <w:szCs w:val="24"/>
          <w:shd w:fill="auto" w:val="clear"/>
          <w:lang w:val="ru-RU" w:eastAsia="en-US"/>
        </w:rPr>
        <w:t xml:space="preserve">Договора </w:t>
      </w:r>
      <w:bookmarkEnd w:id="13"/>
      <w:r>
        <w:rPr>
          <w:rStyle w:val="Style8"/>
          <w:rFonts w:eastAsia="Calibri" w:cs="Times New Roman"/>
          <w:b w:val="false"/>
          <w:bCs w:val="false"/>
          <w:i w:val="false"/>
          <w:iCs w:val="false"/>
          <w:caps w:val="false"/>
          <w:smallCaps w:val="false"/>
          <w:color w:val="000000"/>
          <w:spacing w:val="0"/>
          <w:sz w:val="24"/>
          <w:szCs w:val="24"/>
          <w:shd w:fill="auto" w:val="clear"/>
          <w:lang w:val="ru-RU" w:eastAsia="en-US"/>
        </w:rPr>
        <w:t>№ 1050-237-2023/1-Рем-2023-ВолГЭС от 03.11.2023. «Выполнение работ по капитальному и текущему ремонту оборудования, зданий, сооружений Волжской ГЭС».</w:t>
      </w:r>
    </w:p>
    <w:p>
      <w:pPr>
        <w:pStyle w:val="Normal"/>
        <w:jc w:val="both"/>
        <w:rPr>
          <w:bCs/>
          <w:i/>
          <w:i/>
          <w:sz w:val="24"/>
          <w:szCs w:val="24"/>
        </w:rPr>
      </w:pPr>
      <w:r>
        <w:rPr>
          <w:bCs/>
          <w:i/>
          <w:sz w:val="24"/>
          <w:szCs w:val="24"/>
        </w:rPr>
      </w:r>
    </w:p>
    <w:p>
      <w:pPr>
        <w:pStyle w:val="Heading1"/>
        <w:keepLines/>
        <w:numPr>
          <w:ilvl w:val="0"/>
        </w:numPr>
        <w:ind w:left="357" w:right="0" w:hanging="357"/>
        <w:jc w:val="center"/>
        <w:rPr/>
      </w:pPr>
      <w:r>
        <w:rPr>
          <w:iCs/>
        </w:rPr>
        <w:t>Требования к продукции</w:t>
      </w:r>
    </w:p>
    <w:p>
      <w:pPr>
        <w:pStyle w:val="Heading4"/>
        <w:numPr>
          <w:ilvl w:val="1"/>
        </w:numPr>
        <w:ind w:left="1224" w:hanging="0"/>
        <w:rPr>
          <w:lang w:val="ru-RU"/>
        </w:rPr>
      </w:pPr>
      <w:r>
        <w:rPr/>
        <w:t xml:space="preserve">2.1. Требования к объемам и срокам </w:t>
      </w:r>
      <w:r>
        <w:rPr>
          <w:lang w:val="ru-RU"/>
        </w:rPr>
        <w:t>поставки</w:t>
      </w:r>
    </w:p>
    <w:p>
      <w:pPr>
        <w:pStyle w:val="Heading3"/>
        <w:numPr>
          <w:ilvl w:val="2"/>
        </w:numPr>
        <w:spacing w:before="0" w:after="60"/>
        <w:rPr>
          <w:sz w:val="24"/>
          <w:szCs w:val="24"/>
          <w:lang w:val="ru-RU"/>
        </w:rPr>
      </w:pPr>
      <w:r>
        <w:rPr>
          <w:lang w:val="ru-RU"/>
        </w:rPr>
        <w:t>2.1.1.  Перечень и объем закупаемой продукции</w:t>
      </w:r>
    </w:p>
    <w:p>
      <w:pPr>
        <w:pStyle w:val="Heading1"/>
        <w:keepLines/>
        <w:numPr>
          <w:ilvl w:val="0"/>
          <w:numId w:val="0"/>
        </w:numPr>
        <w:spacing w:before="0" w:after="60"/>
        <w:ind w:left="0" w:right="0" w:hanging="0"/>
        <w:rPr>
          <w:sz w:val="24"/>
          <w:szCs w:val="24"/>
          <w:lang w:val="ru-RU"/>
        </w:rPr>
      </w:pPr>
      <w:r>
        <w:rPr>
          <w:sz w:val="24"/>
          <w:szCs w:val="24"/>
          <w:lang w:val="ru-RU"/>
        </w:rPr>
        <w:t>Таблица 1.1 Перечень и объем закупаемой продукции</w:t>
      </w:r>
    </w:p>
    <w:tbl>
      <w:tblPr>
        <w:tblW w:w="9808" w:type="dxa"/>
        <w:jc w:val="left"/>
        <w:tblInd w:w="-5" w:type="dxa"/>
        <w:tblLayout w:type="fixed"/>
        <w:tblCellMar>
          <w:top w:w="0" w:type="dxa"/>
          <w:left w:w="108" w:type="dxa"/>
          <w:bottom w:w="0" w:type="dxa"/>
          <w:right w:w="108" w:type="dxa"/>
        </w:tblCellMar>
      </w:tblPr>
      <w:tblGrid>
        <w:gridCol w:w="841"/>
        <w:gridCol w:w="6688"/>
        <w:gridCol w:w="1246"/>
        <w:gridCol w:w="1032"/>
      </w:tblGrid>
      <w:tr>
        <w:trPr/>
        <w:tc>
          <w:tcPr>
            <w:tcW w:w="841"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w:t>
            </w:r>
          </w:p>
          <w:p>
            <w:pPr>
              <w:pStyle w:val="Normal"/>
              <w:keepNext w:val="true"/>
              <w:widowControl w:val="false"/>
              <w:suppressAutoHyphens w:val="true"/>
              <w:jc w:val="center"/>
              <w:rPr>
                <w:sz w:val="24"/>
                <w:szCs w:val="24"/>
              </w:rPr>
            </w:pPr>
            <w:r>
              <w:rPr>
                <w:sz w:val="24"/>
                <w:szCs w:val="24"/>
              </w:rPr>
              <w:t>п/п</w:t>
            </w:r>
          </w:p>
        </w:tc>
        <w:tc>
          <w:tcPr>
            <w:tcW w:w="6688"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Наименование продукции</w:t>
            </w:r>
          </w:p>
        </w:tc>
        <w:tc>
          <w:tcPr>
            <w:tcW w:w="124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Ед. изм.</w:t>
            </w:r>
          </w:p>
        </w:tc>
        <w:tc>
          <w:tcPr>
            <w:tcW w:w="1032"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Кол-во</w:t>
            </w:r>
          </w:p>
        </w:tc>
      </w:tr>
      <w:tr>
        <w:trPr/>
        <w:tc>
          <w:tcPr>
            <w:tcW w:w="84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1</w:t>
            </w:r>
          </w:p>
        </w:tc>
        <w:tc>
          <w:tcPr>
            <w:tcW w:w="66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3</w:t>
            </w:r>
          </w:p>
        </w:tc>
        <w:tc>
          <w:tcPr>
            <w:tcW w:w="103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4</w:t>
            </w:r>
          </w:p>
        </w:tc>
      </w:tr>
      <w:tr>
        <w:trPr>
          <w:trHeight w:val="666" w:hRule="atLeast"/>
        </w:trPr>
        <w:tc>
          <w:tcPr>
            <w:tcW w:w="841" w:type="dxa"/>
            <w:tcBorders>
              <w:left w:val="single" w:sz="4" w:space="0" w:color="000000"/>
              <w:bottom w:val="single" w:sz="4" w:space="0" w:color="000000"/>
              <w:right w:val="single" w:sz="4" w:space="0" w:color="000000"/>
            </w:tcBorders>
            <w:shd w:fill="FFFFFF" w:val="clear"/>
            <w:vAlign w:val="center"/>
          </w:tcPr>
          <w:p>
            <w:pPr>
              <w:pStyle w:val="Normal"/>
              <w:widowControl w:val="false"/>
              <w:suppressAutoHyphens w:val="true"/>
              <w:snapToGrid w:val="false"/>
              <w:jc w:val="center"/>
              <w:rPr>
                <w:b w:val="false"/>
                <w:bCs w:val="false"/>
                <w:sz w:val="24"/>
                <w:szCs w:val="24"/>
                <w:shd w:fill="FFFFFF" w:val="clear"/>
              </w:rPr>
            </w:pPr>
            <w:r>
              <w:rPr>
                <w:b w:val="false"/>
                <w:bCs w:val="false"/>
                <w:sz w:val="24"/>
                <w:szCs w:val="24"/>
                <w:shd w:fill="FFFFFF" w:val="clear"/>
              </w:rPr>
              <w:t>1.</w:t>
            </w:r>
          </w:p>
        </w:tc>
        <w:tc>
          <w:tcPr>
            <w:tcW w:w="6688" w:type="dxa"/>
            <w:tcBorders>
              <w:left w:val="single" w:sz="4" w:space="0" w:color="000000"/>
              <w:bottom w:val="single" w:sz="4" w:space="0" w:color="000000"/>
              <w:right w:val="single" w:sz="4" w:space="0" w:color="000000"/>
            </w:tcBorders>
            <w:shd w:fill="FFFFFF" w:val="clear"/>
            <w:vAlign w:val="center"/>
          </w:tcPr>
          <w:p>
            <w:pPr>
              <w:pStyle w:val="Normal"/>
              <w:widowControl w:val="false"/>
              <w:bidi w:val="0"/>
              <w:jc w:val="left"/>
              <w:rPr>
                <w:rFonts w:ascii="Times New Roman" w:hAnsi="Times New Roman" w:eastAsia="Calibri" w:cs="Times New Roman"/>
                <w:b w:val="false"/>
                <w:bCs w:val="false"/>
                <w:i w:val="false"/>
                <w:i w:val="false"/>
                <w:iCs w:val="false"/>
                <w:strike w:val="false"/>
                <w:dstrike w:val="false"/>
                <w:outline w:val="false"/>
                <w:shadow w:val="false"/>
                <w:color w:val="000000"/>
                <w:sz w:val="24"/>
                <w:szCs w:val="24"/>
                <w:u w:val="none"/>
                <w:shd w:fill="auto" w:val="clear"/>
                <w:em w:val="none"/>
              </w:rPr>
            </w:pPr>
            <w:r>
              <w:rPr>
                <w:rFonts w:eastAsia="Calibri" w:cs="Times New Roman"/>
                <w:b w:val="false"/>
                <w:bCs w:val="false"/>
                <w:i w:val="false"/>
                <w:iCs w:val="false"/>
                <w:strike w:val="false"/>
                <w:dstrike w:val="false"/>
                <w:outline w:val="false"/>
                <w:shadow w:val="false"/>
                <w:color w:val="000000"/>
                <w:sz w:val="24"/>
                <w:szCs w:val="24"/>
                <w:u w:val="none"/>
                <w:shd w:fill="auto" w:val="clear"/>
                <w:em w:val="none"/>
              </w:rPr>
              <w:t>Агрегат электронасосный  ЦНС(Г)А 6-120</w:t>
            </w:r>
          </w:p>
        </w:tc>
        <w:tc>
          <w:tcPr>
            <w:tcW w:w="1246" w:type="dxa"/>
            <w:tcBorders>
              <w:left w:val="single" w:sz="4" w:space="0" w:color="000000"/>
              <w:bottom w:val="single" w:sz="4" w:space="0" w:color="000000"/>
              <w:right w:val="single" w:sz="4" w:space="0" w:color="000000"/>
            </w:tcBorders>
            <w:shd w:fill="FFFFFF" w:val="clear"/>
            <w:vAlign w:val="center"/>
          </w:tcPr>
          <w:p>
            <w:pPr>
              <w:pStyle w:val="Style34"/>
              <w:widowControl w:val="false"/>
              <w:spacing w:before="0" w:after="200"/>
              <w:jc w:val="center"/>
              <w:rPr>
                <w:color w:val="000000"/>
              </w:rPr>
            </w:pPr>
            <w:r>
              <w:rPr>
                <w:color w:val="000000"/>
              </w:rPr>
              <w:t>шт.</w:t>
            </w:r>
          </w:p>
        </w:tc>
        <w:tc>
          <w:tcPr>
            <w:tcW w:w="1032" w:type="dxa"/>
            <w:tcBorders>
              <w:left w:val="single" w:sz="4" w:space="0" w:color="000000"/>
              <w:bottom w:val="single" w:sz="4" w:space="0" w:color="000000"/>
              <w:right w:val="single" w:sz="4" w:space="0" w:color="000000"/>
            </w:tcBorders>
            <w:shd w:fill="FFFFFF" w:val="clear"/>
            <w:vAlign w:val="center"/>
          </w:tcPr>
          <w:p>
            <w:pPr>
              <w:pStyle w:val="Style34"/>
              <w:widowControl w:val="false"/>
              <w:spacing w:before="0" w:after="200"/>
              <w:jc w:val="center"/>
              <w:rPr>
                <w:color w:val="000000"/>
                <w:sz w:val="24"/>
                <w:szCs w:val="24"/>
              </w:rPr>
            </w:pPr>
            <w:r>
              <w:rPr>
                <w:color w:val="000000"/>
                <w:sz w:val="24"/>
                <w:szCs w:val="24"/>
              </w:rPr>
              <w:t>1</w:t>
            </w:r>
          </w:p>
        </w:tc>
      </w:tr>
    </w:tbl>
    <w:p>
      <w:pPr>
        <w:pStyle w:val="Heading3"/>
        <w:numPr>
          <w:ilvl w:val="0"/>
          <w:numId w:val="0"/>
        </w:numPr>
        <w:ind w:left="0" w:right="0" w:hanging="0"/>
        <w:rPr>
          <w:sz w:val="24"/>
          <w:szCs w:val="24"/>
          <w:lang w:val="ru-RU"/>
        </w:rPr>
      </w:pPr>
      <w:r>
        <w:rPr>
          <w:sz w:val="24"/>
          <w:szCs w:val="24"/>
          <w:lang w:val="ru-RU"/>
        </w:rPr>
      </w:r>
    </w:p>
    <w:p>
      <w:pPr>
        <w:pStyle w:val="Heading3"/>
        <w:numPr>
          <w:ilvl w:val="2"/>
        </w:numPr>
        <w:rPr>
          <w:sz w:val="24"/>
          <w:szCs w:val="24"/>
          <w:lang w:val="ru-RU"/>
        </w:rPr>
      </w:pPr>
      <w:r>
        <w:rPr>
          <w:lang w:val="ru-RU"/>
        </w:rPr>
        <w:t>2.1.2. Требования к срокам поставки продукции</w:t>
      </w:r>
    </w:p>
    <w:p>
      <w:pPr>
        <w:pStyle w:val="Heading1"/>
        <w:numPr>
          <w:ilvl w:val="0"/>
          <w:numId w:val="0"/>
        </w:numPr>
        <w:spacing w:before="240" w:after="60"/>
        <w:ind w:left="0" w:right="0" w:hanging="0"/>
        <w:rPr>
          <w:sz w:val="24"/>
          <w:szCs w:val="24"/>
          <w:lang w:val="ru-RU"/>
        </w:rPr>
      </w:pPr>
      <w:r>
        <w:rPr>
          <w:sz w:val="24"/>
          <w:szCs w:val="24"/>
          <w:lang w:val="ru-RU"/>
        </w:rPr>
        <w:t xml:space="preserve">Таблица 2.1 </w:t>
      </w:r>
      <w:bookmarkStart w:id="14" w:name="_Hlk50465284_Копия_1"/>
      <w:r>
        <w:rPr>
          <w:sz w:val="24"/>
          <w:szCs w:val="24"/>
          <w:lang w:val="ru-RU"/>
        </w:rPr>
        <w:t xml:space="preserve">Требования по срокам </w:t>
      </w:r>
      <w:bookmarkEnd w:id="14"/>
      <w:r>
        <w:rPr>
          <w:sz w:val="24"/>
          <w:szCs w:val="24"/>
          <w:lang w:val="ru-RU"/>
        </w:rPr>
        <w:t xml:space="preserve">поставки продукции </w:t>
      </w:r>
    </w:p>
    <w:tbl>
      <w:tblPr>
        <w:tblW w:w="9780" w:type="dxa"/>
        <w:jc w:val="left"/>
        <w:tblInd w:w="-113" w:type="dxa"/>
        <w:tblLayout w:type="fixed"/>
        <w:tblCellMar>
          <w:top w:w="0" w:type="dxa"/>
          <w:left w:w="108" w:type="dxa"/>
          <w:bottom w:w="0" w:type="dxa"/>
          <w:right w:w="108" w:type="dxa"/>
        </w:tblCellMar>
      </w:tblPr>
      <w:tblGrid>
        <w:gridCol w:w="1126"/>
        <w:gridCol w:w="3568"/>
        <w:gridCol w:w="2272"/>
        <w:gridCol w:w="2813"/>
      </w:tblGrid>
      <w:tr>
        <w:trPr/>
        <w:tc>
          <w:tcPr>
            <w:tcW w:w="1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24"/>
                <w:szCs w:val="24"/>
              </w:rPr>
              <w:t xml:space="preserve">№ </w:t>
            </w:r>
            <w:r>
              <w:rPr>
                <w:sz w:val="24"/>
                <w:szCs w:val="24"/>
              </w:rPr>
              <w:t>п/п</w:t>
            </w:r>
          </w:p>
        </w:tc>
        <w:tc>
          <w:tcPr>
            <w:tcW w:w="35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Наименование продукции / партии продукции</w:t>
            </w:r>
          </w:p>
        </w:tc>
        <w:tc>
          <w:tcPr>
            <w:tcW w:w="22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поставки продукции</w:t>
            </w:r>
          </w:p>
        </w:tc>
        <w:tc>
          <w:tcPr>
            <w:tcW w:w="28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поставки продукции</w:t>
            </w:r>
          </w:p>
        </w:tc>
      </w:tr>
      <w:tr>
        <w:trPr/>
        <w:tc>
          <w:tcPr>
            <w:tcW w:w="112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1</w:t>
            </w:r>
          </w:p>
        </w:tc>
        <w:tc>
          <w:tcPr>
            <w:tcW w:w="35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2</w:t>
            </w:r>
          </w:p>
        </w:tc>
        <w:tc>
          <w:tcPr>
            <w:tcW w:w="2272" w:type="dxa"/>
            <w:tcBorders>
              <w:top w:val="single" w:sz="4" w:space="0" w:color="000000"/>
              <w:left w:val="single" w:sz="4" w:space="0" w:color="000000"/>
              <w:bottom w:val="single" w:sz="4" w:space="0" w:color="000000"/>
              <w:right w:val="single" w:sz="4" w:space="0" w:color="000000"/>
            </w:tcBorders>
          </w:tcPr>
          <w:p>
            <w:pPr>
              <w:pStyle w:val="Style28"/>
              <w:keepNext w:val="false"/>
              <w:widowControl w:val="false"/>
              <w:spacing w:before="40" w:after="40"/>
              <w:jc w:val="center"/>
              <w:rPr>
                <w:b/>
                <w:sz w:val="24"/>
                <w:szCs w:val="24"/>
              </w:rPr>
            </w:pPr>
            <w:r>
              <w:rPr>
                <w:b/>
                <w:sz w:val="24"/>
                <w:szCs w:val="24"/>
              </w:rPr>
              <w:t>3</w:t>
            </w:r>
          </w:p>
        </w:tc>
        <w:tc>
          <w:tcPr>
            <w:tcW w:w="2813" w:type="dxa"/>
            <w:tcBorders>
              <w:top w:val="single" w:sz="4" w:space="0" w:color="000000"/>
              <w:left w:val="single" w:sz="4" w:space="0" w:color="000000"/>
              <w:bottom w:val="single" w:sz="4" w:space="0" w:color="000000"/>
              <w:right w:val="single" w:sz="4" w:space="0" w:color="000000"/>
            </w:tcBorders>
          </w:tcPr>
          <w:p>
            <w:pPr>
              <w:pStyle w:val="Style28"/>
              <w:keepNext w:val="false"/>
              <w:widowControl w:val="false"/>
              <w:spacing w:before="40" w:after="40"/>
              <w:jc w:val="center"/>
              <w:rPr>
                <w:b/>
                <w:sz w:val="24"/>
                <w:szCs w:val="24"/>
              </w:rPr>
            </w:pPr>
            <w:r>
              <w:rPr>
                <w:b/>
                <w:sz w:val="24"/>
                <w:szCs w:val="24"/>
              </w:rPr>
              <w:t>4</w:t>
            </w:r>
          </w:p>
        </w:tc>
      </w:tr>
      <w:tr>
        <w:trPr>
          <w:trHeight w:val="620" w:hRule="atLeast"/>
        </w:trPr>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t>1.</w:t>
            </w:r>
          </w:p>
        </w:tc>
        <w:tc>
          <w:tcPr>
            <w:tcW w:w="3568" w:type="dxa"/>
            <w:tcBorders>
              <w:left w:val="single" w:sz="4" w:space="0" w:color="000000"/>
              <w:bottom w:val="single" w:sz="4" w:space="0" w:color="000000"/>
              <w:right w:val="single" w:sz="4" w:space="0" w:color="000000"/>
            </w:tcBorders>
            <w:vAlign w:val="center"/>
          </w:tcPr>
          <w:p>
            <w:pPr>
              <w:pStyle w:val="Normal"/>
              <w:widowControl w:val="false"/>
              <w:bidi w:val="0"/>
              <w:jc w:val="left"/>
              <w:rPr>
                <w:rFonts w:ascii="Times New Roman" w:hAnsi="Times New Roman" w:eastAsia="Calibri" w:cs="Times New Roman"/>
                <w:b w:val="false"/>
                <w:bCs w:val="false"/>
                <w:i w:val="false"/>
                <w:i w:val="false"/>
                <w:iCs w:val="false"/>
                <w:strike w:val="false"/>
                <w:dstrike w:val="false"/>
                <w:outline w:val="false"/>
                <w:shadow w:val="false"/>
                <w:color w:val="000000"/>
                <w:sz w:val="24"/>
                <w:szCs w:val="24"/>
                <w:u w:val="none"/>
                <w:shd w:fill="auto" w:val="clear"/>
                <w:em w:val="none"/>
              </w:rPr>
            </w:pPr>
            <w:r>
              <w:rPr>
                <w:rFonts w:eastAsia="Calibri" w:cs="Times New Roman"/>
                <w:b w:val="false"/>
                <w:bCs w:val="false"/>
                <w:i w:val="false"/>
                <w:iCs w:val="false"/>
                <w:strike w:val="false"/>
                <w:dstrike w:val="false"/>
                <w:outline w:val="false"/>
                <w:shadow w:val="false"/>
                <w:color w:val="000000"/>
                <w:sz w:val="24"/>
                <w:szCs w:val="24"/>
                <w:u w:val="none"/>
                <w:shd w:fill="auto" w:val="clear"/>
                <w:em w:val="none"/>
                <w:lang w:val="en-US"/>
              </w:rPr>
              <w:t>Агрегат электронасосный  ЦНС(Г)А 6-120</w:t>
            </w:r>
          </w:p>
        </w:tc>
        <w:tc>
          <w:tcPr>
            <w:tcW w:w="2272" w:type="dxa"/>
            <w:tcBorders>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С даты подписания договора</w:t>
            </w:r>
          </w:p>
        </w:tc>
        <w:tc>
          <w:tcPr>
            <w:tcW w:w="2813"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t>Не позднее 01</w:t>
            </w:r>
            <w:r>
              <w:rPr>
                <w:color w:val="000000"/>
                <w:sz w:val="24"/>
                <w:szCs w:val="24"/>
              </w:rPr>
              <w:t>.09.2026г.</w:t>
            </w:r>
          </w:p>
          <w:p>
            <w:pPr>
              <w:pStyle w:val="Normal"/>
              <w:widowControl w:val="false"/>
              <w:jc w:val="center"/>
              <w:rPr>
                <w:sz w:val="24"/>
                <w:szCs w:val="24"/>
              </w:rPr>
            </w:pPr>
            <w:r>
              <w:rPr>
                <w:sz w:val="24"/>
                <w:szCs w:val="24"/>
              </w:rPr>
            </w:r>
          </w:p>
        </w:tc>
      </w:tr>
    </w:tbl>
    <w:p>
      <w:pPr>
        <w:pStyle w:val="Heading4"/>
        <w:numPr>
          <w:ilvl w:val="1"/>
        </w:numPr>
        <w:rPr>
          <w:rFonts w:eastAsia="Times New Roman"/>
          <w:sz w:val="24"/>
          <w:szCs w:val="24"/>
        </w:rPr>
      </w:pPr>
      <w:r>
        <w:rPr>
          <w:rFonts w:eastAsia="Times New Roman"/>
          <w:sz w:val="24"/>
          <w:szCs w:val="24"/>
        </w:rPr>
      </w:r>
    </w:p>
    <w:p>
      <w:pPr>
        <w:pStyle w:val="Heading4"/>
        <w:numPr>
          <w:ilvl w:val="0"/>
          <w:numId w:val="0"/>
        </w:numPr>
        <w:ind w:left="0" w:hanging="0"/>
        <w:rPr/>
      </w:pPr>
      <w:bookmarkStart w:id="15" w:name="_Toc75446580"/>
      <w:bookmarkEnd w:id="15"/>
      <w:r>
        <w:rPr/>
        <w:t xml:space="preserve">2.2. </w:t>
      </w:r>
      <w:bookmarkStart w:id="16" w:name="_Toc184220621"/>
      <w:bookmarkStart w:id="17" w:name="_Toc46743511"/>
      <w:r>
        <w:rPr/>
        <w:t xml:space="preserve">Требования к </w:t>
      </w:r>
      <w:bookmarkEnd w:id="17"/>
      <w:r>
        <w:rPr>
          <w:lang w:val="ru-RU"/>
        </w:rPr>
        <w:t>качеству продукции</w:t>
      </w:r>
      <w:bookmarkEnd w:id="16"/>
    </w:p>
    <w:p>
      <w:pPr>
        <w:pStyle w:val="Heading1"/>
        <w:keepLines/>
        <w:tabs>
          <w:tab w:val="clear" w:pos="0"/>
        </w:tabs>
        <w:spacing w:before="240" w:after="60"/>
        <w:ind w:left="0" w:hanging="0"/>
        <w:rPr>
          <w:sz w:val="24"/>
          <w:szCs w:val="24"/>
        </w:rPr>
      </w:pPr>
      <w:r>
        <w:rPr>
          <w:sz w:val="24"/>
          <w:szCs w:val="24"/>
        </w:rPr>
        <w:t xml:space="preserve"> </w:t>
      </w:r>
      <w:bookmarkStart w:id="18" w:name="_Toc184220622"/>
      <w:r>
        <w:rPr>
          <w:sz w:val="24"/>
          <w:szCs w:val="24"/>
        </w:rPr>
        <w:t>Таблица </w:t>
      </w:r>
      <w:r>
        <w:rPr>
          <w:sz w:val="24"/>
          <w:szCs w:val="24"/>
          <w:lang w:val="ru-RU"/>
        </w:rPr>
        <w:t>3</w:t>
      </w:r>
      <w:r>
        <w:rPr>
          <w:sz w:val="24"/>
          <w:szCs w:val="24"/>
        </w:rPr>
        <w:t xml:space="preserve">.1  Требования к </w:t>
      </w:r>
      <w:r>
        <w:rPr>
          <w:sz w:val="24"/>
          <w:szCs w:val="24"/>
          <w:lang w:val="ru-RU"/>
        </w:rPr>
        <w:t>продукции</w:t>
      </w:r>
      <w:bookmarkEnd w:id="18"/>
      <w:r>
        <w:rPr>
          <w:sz w:val="24"/>
          <w:szCs w:val="24"/>
        </w:rPr>
        <w:t xml:space="preserve"> </w:t>
      </w:r>
    </w:p>
    <w:p>
      <w:pPr>
        <w:pStyle w:val="Normal"/>
        <w:bidi w:val="0"/>
        <w:jc w:val="left"/>
        <w:rPr>
          <w:rFonts w:eastAsia="Times New Roman" w:cs="Times New Roman"/>
          <w:b w:val="false"/>
          <w:bCs w:val="false"/>
          <w:i/>
          <w:i/>
          <w:iCs/>
          <w:strike w:val="false"/>
          <w:dstrike w:val="false"/>
          <w:outline w:val="false"/>
          <w:shadow w:val="false"/>
          <w:color w:val="000000"/>
          <w:sz w:val="24"/>
          <w:szCs w:val="24"/>
          <w:u w:val="none"/>
          <w:shd w:fill="FFFF00" w:val="clear"/>
          <w:em w:val="none"/>
        </w:rPr>
      </w:pPr>
      <w:r>
        <w:rPr>
          <w:rFonts w:eastAsia="Calibri" w:cs="Times New Roman"/>
          <w:b w:val="false"/>
          <w:bCs w:val="false"/>
          <w:i w:val="false"/>
          <w:iCs w:val="false"/>
          <w:caps w:val="false"/>
          <w:smallCaps w:val="false"/>
          <w:strike w:val="false"/>
          <w:dstrike w:val="false"/>
          <w:outline w:val="false"/>
          <w:shadow w:val="false"/>
          <w:color w:val="000000"/>
          <w:spacing w:val="0"/>
          <w:sz w:val="24"/>
          <w:szCs w:val="24"/>
          <w:u w:val="none"/>
          <w:shd w:fill="auto" w:val="clear"/>
          <w:em w:val="none"/>
          <w:lang w:eastAsia="x-none"/>
        </w:rPr>
        <w:t xml:space="preserve">«ОКПД2 </w:t>
      </w:r>
      <w:r>
        <w:rPr>
          <w:rFonts w:eastAsia="Calibri" w:cs="Times New Roman"/>
          <w:b w:val="false"/>
          <w:bCs w:val="false"/>
          <w:i w:val="false"/>
          <w:iCs w:val="false"/>
          <w:caps w:val="false"/>
          <w:smallCaps w:val="false"/>
          <w:strike w:val="false"/>
          <w:dstrike w:val="false"/>
          <w:outline w:val="false"/>
          <w:shadow w:val="false"/>
          <w:color w:val="000000"/>
          <w:spacing w:val="0"/>
          <w:sz w:val="24"/>
          <w:szCs w:val="24"/>
          <w:u w:val="none"/>
          <w:shd w:fill="auto" w:val="clear"/>
          <w:em w:val="none"/>
          <w:lang w:eastAsia="x-none"/>
        </w:rPr>
        <w:t>28</w:t>
      </w:r>
      <w:r>
        <w:rPr>
          <w:rFonts w:eastAsia="Calibri" w:cs="Times New Roman"/>
          <w:b w:val="false"/>
          <w:bCs w:val="false"/>
          <w:i w:val="false"/>
          <w:iCs w:val="false"/>
          <w:caps w:val="false"/>
          <w:smallCaps w:val="false"/>
          <w:strike w:val="false"/>
          <w:dstrike w:val="false"/>
          <w:outline w:val="false"/>
          <w:shadow w:val="false"/>
          <w:color w:val="000000"/>
          <w:spacing w:val="0"/>
          <w:sz w:val="24"/>
          <w:szCs w:val="24"/>
          <w:u w:val="none"/>
          <w:shd w:fill="auto" w:val="clear"/>
          <w:em w:val="none"/>
          <w:lang w:eastAsia="x-none"/>
        </w:rPr>
        <w:t>.13</w:t>
      </w:r>
      <w:r>
        <w:rPr>
          <w:rFonts w:eastAsia="Calibri" w:cs="Times New Roman"/>
          <w:b w:val="false"/>
          <w:bCs w:val="false"/>
          <w:i w:val="false"/>
          <w:iCs w:val="false"/>
          <w:caps w:val="false"/>
          <w:smallCaps w:val="false"/>
          <w:strike w:val="false"/>
          <w:dstrike w:val="false"/>
          <w:outline w:val="false"/>
          <w:shadow w:val="false"/>
          <w:color w:val="000000"/>
          <w:spacing w:val="0"/>
          <w:sz w:val="24"/>
          <w:szCs w:val="24"/>
          <w:u w:val="none"/>
          <w:shd w:fill="auto" w:val="clear"/>
          <w:em w:val="none"/>
          <w:lang w:eastAsia="x-none"/>
        </w:rPr>
        <w:t xml:space="preserve"> Поставка </w:t>
      </w:r>
      <w:r>
        <w:rPr>
          <w:rStyle w:val="Style8"/>
          <w:rFonts w:eastAsia="Calibri" w:cs="Times New Roman"/>
          <w:b w:val="false"/>
          <w:bCs w:val="false"/>
          <w:i w:val="false"/>
          <w:iCs w:val="false"/>
          <w:caps w:val="false"/>
          <w:smallCaps w:val="false"/>
          <w:strike w:val="false"/>
          <w:dstrike w:val="false"/>
          <w:outline w:val="false"/>
          <w:shadow w:val="false"/>
          <w:color w:val="000000"/>
          <w:spacing w:val="0"/>
          <w:sz w:val="24"/>
          <w:szCs w:val="24"/>
          <w:u w:val="none"/>
          <w:shd w:fill="auto" w:val="clear"/>
          <w:em w:val="none"/>
          <w:lang w:eastAsia="x-none"/>
        </w:rPr>
        <w:t>агрегата электронасосного ЦНС(Г)А 6-120</w:t>
      </w:r>
      <w:r>
        <w:rPr>
          <w:rFonts w:eastAsia="Calibri" w:cs="Times New Roman"/>
          <w:b w:val="false"/>
          <w:bCs w:val="false"/>
          <w:i w:val="false"/>
          <w:iCs w:val="false"/>
          <w:caps w:val="false"/>
          <w:smallCaps w:val="false"/>
          <w:strike w:val="false"/>
          <w:dstrike w:val="false"/>
          <w:outline w:val="false"/>
          <w:shadow w:val="false"/>
          <w:color w:val="000000"/>
          <w:spacing w:val="0"/>
          <w:sz w:val="24"/>
          <w:szCs w:val="24"/>
          <w:u w:val="none"/>
          <w:shd w:fill="auto" w:val="clear"/>
          <w:em w:val="none"/>
          <w:lang w:eastAsia="x-none"/>
        </w:rPr>
        <w:t xml:space="preserve">  для нужд Волжского филиала»  (далее — Продукция)</w:t>
      </w:r>
    </w:p>
    <w:tbl>
      <w:tblPr>
        <w:tblStyle w:val="affff6"/>
        <w:tblW w:w="10014" w:type="dxa"/>
        <w:jc w:val="left"/>
        <w:tblInd w:w="16" w:type="dxa"/>
        <w:tblLayout w:type="fixed"/>
        <w:tblCellMar>
          <w:top w:w="0" w:type="dxa"/>
          <w:left w:w="108" w:type="dxa"/>
          <w:bottom w:w="0" w:type="dxa"/>
          <w:right w:w="108" w:type="dxa"/>
        </w:tblCellMar>
        <w:tblLook w:val="04a0" w:noHBand="0" w:noVBand="1" w:firstColumn="1" w:lastRow="0" w:lastColumn="0" w:firstRow="1"/>
      </w:tblPr>
      <w:tblGrid>
        <w:gridCol w:w="825"/>
        <w:gridCol w:w="5115"/>
        <w:gridCol w:w="4074"/>
      </w:tblGrid>
      <w:tr>
        <w:trPr/>
        <w:tc>
          <w:tcPr>
            <w:tcW w:w="825"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 xml:space="preserve">№ </w:t>
            </w:r>
            <w:r>
              <w:rPr>
                <w:rFonts w:eastAsia="Times New Roman" w:cs="Times New Roman"/>
                <w:b/>
                <w:bCs/>
                <w:kern w:val="0"/>
                <w:sz w:val="24"/>
                <w:szCs w:val="24"/>
                <w:lang w:val="ru-RU" w:eastAsia="ru-RU" w:bidi="ar-SA"/>
              </w:rPr>
              <w:t>п/п</w:t>
            </w:r>
          </w:p>
        </w:tc>
        <w:tc>
          <w:tcPr>
            <w:tcW w:w="5115"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Наименование параметра</w:t>
            </w:r>
          </w:p>
        </w:tc>
        <w:tc>
          <w:tcPr>
            <w:tcW w:w="4074"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Требование заказчика</w:t>
            </w:r>
          </w:p>
        </w:tc>
      </w:tr>
      <w:tr>
        <w:trPr/>
        <w:tc>
          <w:tcPr>
            <w:tcW w:w="825" w:type="dxa"/>
            <w:tcBorders/>
            <w:vAlign w:val="center"/>
          </w:tcPr>
          <w:p>
            <w:pPr>
              <w:pStyle w:val="Normal"/>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1</w:t>
            </w:r>
          </w:p>
        </w:tc>
        <w:tc>
          <w:tcPr>
            <w:tcW w:w="5115" w:type="dxa"/>
            <w:tcBorders/>
            <w:vAlign w:val="center"/>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2</w:t>
            </w:r>
          </w:p>
        </w:tc>
        <w:tc>
          <w:tcPr>
            <w:tcW w:w="4074" w:type="dxa"/>
            <w:tcBorders/>
            <w:vAlign w:val="center"/>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3</w:t>
            </w:r>
          </w:p>
        </w:tc>
      </w:tr>
      <w:tr>
        <w:trPr>
          <w:trHeight w:val="510" w:hRule="atLeast"/>
        </w:trPr>
        <w:tc>
          <w:tcPr>
            <w:tcW w:w="10014" w:type="dxa"/>
            <w:gridSpan w:val="3"/>
            <w:tcBorders/>
            <w:vAlign w:val="center"/>
          </w:tcPr>
          <w:p>
            <w:pPr>
              <w:pStyle w:val="Normal"/>
              <w:widowControl w:val="false"/>
              <w:suppressAutoHyphens w:val="true"/>
              <w:spacing w:before="0" w:after="0"/>
              <w:jc w:val="both"/>
              <w:rPr>
                <w:sz w:val="24"/>
                <w:szCs w:val="24"/>
              </w:rPr>
            </w:pPr>
            <w:r>
              <w:rPr>
                <w:rFonts w:eastAsia="Times New Roman" w:cs="Times New Roman"/>
                <w:b/>
                <w:kern w:val="0"/>
                <w:sz w:val="24"/>
                <w:szCs w:val="24"/>
                <w:lang w:val="ru-RU" w:eastAsia="ru-RU" w:bidi="ar-SA"/>
              </w:rPr>
              <w:t>Требования к техническим и функциональным характеристикам (включая гарантируемые показатели)</w:t>
            </w:r>
          </w:p>
        </w:tc>
      </w:tr>
      <w:tr>
        <w:trPr>
          <w:trHeight w:val="300" w:hRule="atLeast"/>
        </w:trPr>
        <w:tc>
          <w:tcPr>
            <w:tcW w:w="10014" w:type="dxa"/>
            <w:gridSpan w:val="3"/>
            <w:tcBorders/>
            <w:vAlign w:val="center"/>
          </w:tcPr>
          <w:p>
            <w:pPr>
              <w:pStyle w:val="Normal"/>
              <w:widowControl w:val="false"/>
              <w:suppressAutoHyphens w:val="true"/>
              <w:spacing w:before="0" w:after="0"/>
              <w:jc w:val="both"/>
              <w:rPr>
                <w:b/>
                <w:sz w:val="24"/>
                <w:szCs w:val="24"/>
                <w:lang w:val="en-US"/>
              </w:rPr>
            </w:pPr>
            <w:r>
              <w:rPr>
                <w:b/>
                <w:sz w:val="24"/>
                <w:szCs w:val="24"/>
                <w:lang w:val="en-US"/>
              </w:rPr>
            </w:r>
          </w:p>
          <w:p>
            <w:pPr>
              <w:pStyle w:val="Normal"/>
              <w:widowControl w:val="false"/>
              <w:suppressAutoHyphens w:val="true"/>
              <w:spacing w:before="0" w:after="0"/>
              <w:jc w:val="both"/>
              <w:rPr>
                <w:b/>
                <w:sz w:val="24"/>
                <w:szCs w:val="24"/>
                <w:lang w:val="en-US"/>
              </w:rPr>
            </w:pPr>
            <w:r>
              <w:rPr>
                <w:rFonts w:eastAsia="Times New Roman" w:cs="Times New Roman"/>
                <w:b/>
                <w:kern w:val="0"/>
                <w:sz w:val="24"/>
                <w:szCs w:val="24"/>
                <w:lang w:val="en-US" w:eastAsia="ru-RU" w:bidi="ar-SA"/>
              </w:rPr>
              <w:t>1.</w:t>
            </w:r>
            <w:r>
              <w:rPr>
                <w:rFonts w:eastAsia="Times New Roman" w:cs="Times New Roman"/>
                <w:kern w:val="0"/>
                <w:lang w:val="en-US" w:eastAsia="ru-RU" w:bidi="ar-SA"/>
              </w:rPr>
              <w:t xml:space="preserve"> </w:t>
            </w:r>
            <w:r>
              <w:rPr>
                <w:rFonts w:eastAsia="Calibri" w:cs="Times New Roman"/>
                <w:b/>
                <w:bCs/>
                <w:i w:val="false"/>
                <w:iCs w:val="false"/>
                <w:strike w:val="false"/>
                <w:dstrike w:val="false"/>
                <w:outline w:val="false"/>
                <w:shadow w:val="false"/>
                <w:color w:val="000000"/>
                <w:kern w:val="0"/>
                <w:sz w:val="24"/>
                <w:szCs w:val="24"/>
                <w:u w:val="none"/>
                <w:shd w:fill="auto" w:val="clear"/>
                <w:em w:val="none"/>
                <w:lang w:val="en-US" w:eastAsia="ru-RU" w:bidi="ar-SA"/>
              </w:rPr>
              <w:t>Агрегат электронасосный  ЦНС(Г)А 6-120</w:t>
            </w:r>
          </w:p>
          <w:p>
            <w:pPr>
              <w:pStyle w:val="Normal"/>
              <w:widowControl w:val="false"/>
              <w:suppressAutoHyphens w:val="true"/>
              <w:spacing w:before="0" w:after="0"/>
              <w:jc w:val="both"/>
              <w:rPr>
                <w:b/>
                <w:sz w:val="24"/>
                <w:szCs w:val="24"/>
                <w:lang w:val="en-US"/>
              </w:rPr>
            </w:pPr>
            <w:r>
              <w:rPr>
                <w:b/>
                <w:sz w:val="24"/>
                <w:szCs w:val="24"/>
                <w:lang w:val="en-US"/>
              </w:rPr>
            </w:r>
          </w:p>
        </w:tc>
      </w:tr>
      <w:tr>
        <w:trPr>
          <w:trHeight w:val="512" w:hRule="atLeast"/>
        </w:trPr>
        <w:tc>
          <w:tcPr>
            <w:tcW w:w="825" w:type="dxa"/>
            <w:tcBorders/>
            <w:vAlign w:val="center"/>
          </w:tcPr>
          <w:p>
            <w:pPr>
              <w:pStyle w:val="Normal"/>
              <w:widowControl w:val="false"/>
              <w:suppressAutoHyphens w:val="true"/>
              <w:spacing w:before="0" w:after="200"/>
              <w:jc w:val="center"/>
              <w:rPr/>
            </w:pPr>
            <w:r>
              <w:rPr>
                <w:rFonts w:eastAsia="Calibri" w:cs="Times New Roman"/>
                <w:kern w:val="0"/>
                <w:sz w:val="24"/>
                <w:szCs w:val="24"/>
                <w:lang w:val="ru-RU" w:eastAsia="ru-RU" w:bidi="ar-SA"/>
              </w:rPr>
              <w:t>1.1.</w:t>
            </w:r>
          </w:p>
        </w:tc>
        <w:tc>
          <w:tcPr>
            <w:tcW w:w="5115" w:type="dxa"/>
            <w:tcBorders/>
            <w:shd w:color="auto" w:fill="auto" w:val="clear"/>
            <w:vAlign w:val="center"/>
          </w:tcPr>
          <w:p>
            <w:pPr>
              <w:pStyle w:val="Normal"/>
              <w:widowControl w:val="false"/>
              <w:jc w:val="left"/>
              <w:rPr>
                <w:rFonts w:ascii="Times New Roman" w:hAnsi="Times New Roman" w:eastAsia="NimbusSansGlobal-Regular;MS Mincho"/>
                <w:b w:val="false"/>
                <w:bCs w:val="false"/>
                <w:i w:val="false"/>
                <w:i w:val="false"/>
                <w:iCs w:val="false"/>
                <w:color w:val="000000"/>
                <w:sz w:val="24"/>
                <w:szCs w:val="24"/>
              </w:rPr>
            </w:pPr>
            <w:r>
              <w:rPr>
                <w:rFonts w:eastAsia="NimbusSansGlobal-Regular;MS Mincho"/>
                <w:b w:val="false"/>
                <w:bCs w:val="false"/>
                <w:i w:val="false"/>
                <w:iCs w:val="false"/>
                <w:caps w:val="false"/>
                <w:smallCaps w:val="false"/>
                <w:color w:val="000000"/>
                <w:spacing w:val="0"/>
                <w:sz w:val="24"/>
                <w:szCs w:val="24"/>
              </w:rPr>
              <w:t>Производитель</w:t>
            </w:r>
          </w:p>
        </w:tc>
        <w:tc>
          <w:tcPr>
            <w:tcW w:w="4074" w:type="dxa"/>
            <w:tcBorders/>
            <w:shd w:color="auto" w:fill="auto" w:val="clear"/>
            <w:vAlign w:val="center"/>
          </w:tcPr>
          <w:p>
            <w:pPr>
              <w:pStyle w:val="Normal"/>
              <w:widowControl w:val="false"/>
              <w:spacing w:lineRule="auto" w:line="348" w:before="0" w:after="0"/>
              <w:ind w:left="0" w:right="0" w:hanging="0"/>
              <w:jc w:val="center"/>
              <w:rPr>
                <w:rFonts w:ascii="Times New Roman" w:hAnsi="Times New Roman"/>
                <w:b w:val="false"/>
                <w:i w:val="false"/>
                <w:i w:val="false"/>
                <w:iCs w:val="false"/>
                <w:caps w:val="false"/>
                <w:smallCaps w:val="false"/>
                <w:color w:val="000000"/>
                <w:spacing w:val="0"/>
                <w:sz w:val="24"/>
                <w:szCs w:val="24"/>
              </w:rPr>
            </w:pPr>
            <w:r>
              <w:rPr>
                <w:b w:val="false"/>
                <w:i w:val="false"/>
                <w:iCs w:val="false"/>
                <w:caps w:val="false"/>
                <w:smallCaps w:val="false"/>
                <w:color w:val="000000"/>
                <w:spacing w:val="0"/>
                <w:sz w:val="24"/>
                <w:szCs w:val="24"/>
              </w:rPr>
              <w:t>Россия</w:t>
            </w:r>
          </w:p>
        </w:tc>
      </w:tr>
      <w:tr>
        <w:trPr/>
        <w:tc>
          <w:tcPr>
            <w:tcW w:w="825" w:type="dxa"/>
            <w:tcBorders>
              <w:top w:val="nil"/>
            </w:tcBorders>
            <w:vAlign w:val="center"/>
          </w:tcPr>
          <w:p>
            <w:pPr>
              <w:pStyle w:val="Normal"/>
              <w:widowControl w:val="false"/>
              <w:suppressAutoHyphens w:val="true"/>
              <w:spacing w:before="0" w:after="200"/>
              <w:jc w:val="center"/>
              <w:rPr/>
            </w:pPr>
            <w:r>
              <w:rPr>
                <w:rFonts w:eastAsia="Calibri" w:cs="Times New Roman"/>
                <w:kern w:val="0"/>
                <w:sz w:val="24"/>
                <w:szCs w:val="24"/>
                <w:lang w:val="ru-RU" w:eastAsia="ru-RU" w:bidi="ar-SA"/>
              </w:rPr>
              <w:t>1.2.</w:t>
            </w:r>
          </w:p>
        </w:tc>
        <w:tc>
          <w:tcPr>
            <w:tcW w:w="5115" w:type="dxa"/>
            <w:tcBorders>
              <w:top w:val="nil"/>
            </w:tcBorders>
            <w:shd w:color="auto" w:fill="auto" w:val="clear"/>
            <w:vAlign w:val="center"/>
          </w:tcPr>
          <w:p>
            <w:pPr>
              <w:pStyle w:val="Normal"/>
              <w:widowControl w:val="false"/>
              <w:jc w:val="left"/>
              <w:rPr>
                <w:i w:val="false"/>
                <w:i w:val="false"/>
                <w:iCs w:val="false"/>
              </w:rPr>
            </w:pPr>
            <w:r>
              <w:rPr>
                <w:rFonts w:eastAsia="Calibri" w:cs="Times New Roman"/>
                <w:b w:val="false"/>
                <w:bCs w:val="false"/>
                <w:i w:val="false"/>
                <w:iCs w:val="false"/>
                <w:color w:val="000000"/>
                <w:kern w:val="0"/>
                <w:sz w:val="24"/>
                <w:szCs w:val="24"/>
                <w:lang w:val="ru-RU" w:eastAsia="ru-RU" w:bidi="ar-SA"/>
              </w:rPr>
              <w:t xml:space="preserve">Условное обозначение </w:t>
            </w:r>
          </w:p>
        </w:tc>
        <w:tc>
          <w:tcPr>
            <w:tcW w:w="4074" w:type="dxa"/>
            <w:tcBorders>
              <w:top w:val="nil"/>
            </w:tcBorders>
            <w:shd w:color="auto" w:fill="auto" w:val="clear"/>
            <w:vAlign w:val="center"/>
          </w:tcPr>
          <w:p>
            <w:pPr>
              <w:pStyle w:val="Normal"/>
              <w:widowControl w:val="false"/>
              <w:bidi w:val="0"/>
              <w:jc w:val="center"/>
              <w:rPr>
                <w:i w:val="false"/>
                <w:i w:val="false"/>
                <w:iCs w:val="false"/>
              </w:rPr>
            </w:pPr>
            <w:r>
              <w:rPr>
                <w:rFonts w:eastAsia="Calibri" w:cs="Times New Roman"/>
                <w:b w:val="false"/>
                <w:bCs w:val="false"/>
                <w:i w:val="false"/>
                <w:iCs w:val="false"/>
                <w:color w:val="000000"/>
                <w:kern w:val="0"/>
                <w:sz w:val="24"/>
                <w:szCs w:val="24"/>
                <w:lang w:val="ru-RU" w:eastAsia="ru-RU" w:bidi="ar-SA"/>
              </w:rPr>
              <w:t>ЦНС(Г)А 6-120</w:t>
            </w:r>
          </w:p>
        </w:tc>
      </w:tr>
      <w:tr>
        <w:trPr/>
        <w:tc>
          <w:tcPr>
            <w:tcW w:w="825" w:type="dxa"/>
            <w:tcBorders/>
            <w:vAlign w:val="center"/>
          </w:tcPr>
          <w:p>
            <w:pPr>
              <w:pStyle w:val="Normal"/>
              <w:widowControl w:val="false"/>
              <w:suppressAutoHyphens w:val="true"/>
              <w:spacing w:before="0" w:after="200"/>
              <w:jc w:val="center"/>
              <w:rPr/>
            </w:pPr>
            <w:r>
              <w:rPr>
                <w:rFonts w:eastAsia="Calibri" w:cs="Times New Roman"/>
                <w:kern w:val="0"/>
                <w:sz w:val="24"/>
                <w:szCs w:val="24"/>
                <w:lang w:val="ru-RU" w:eastAsia="ru-RU" w:bidi="ar-SA"/>
              </w:rPr>
              <w:t>1.3.</w:t>
            </w:r>
          </w:p>
        </w:tc>
        <w:tc>
          <w:tcPr>
            <w:tcW w:w="5115" w:type="dxa"/>
            <w:tcBorders/>
            <w:shd w:color="auto" w:fill="auto" w:val="clear"/>
            <w:vAlign w:val="center"/>
          </w:tcPr>
          <w:p>
            <w:pPr>
              <w:pStyle w:val="Normal"/>
              <w:widowControl w:val="false"/>
              <w:spacing w:lineRule="auto" w:line="240" w:before="0" w:after="0"/>
              <w:jc w:val="left"/>
              <w:rPr>
                <w:i w:val="false"/>
                <w:i w:val="false"/>
                <w:iCs w:val="false"/>
              </w:rPr>
            </w:pPr>
            <w:r>
              <w:rPr>
                <w:rFonts w:eastAsia="Calibri" w:cs="Times New Roman"/>
                <w:b w:val="false"/>
                <w:i w:val="false"/>
                <w:iCs w:val="false"/>
                <w:caps w:val="false"/>
                <w:smallCaps w:val="false"/>
                <w:color w:val="000000"/>
                <w:spacing w:val="0"/>
                <w:kern w:val="0"/>
                <w:sz w:val="24"/>
                <w:szCs w:val="24"/>
                <w:lang w:val="ru-RU" w:eastAsia="ru-RU" w:bidi="ar-SA"/>
              </w:rPr>
              <w:t>Подача м3/ч</w:t>
            </w:r>
          </w:p>
        </w:tc>
        <w:tc>
          <w:tcPr>
            <w:tcW w:w="4074" w:type="dxa"/>
            <w:tcBorders/>
            <w:shd w:color="auto" w:fill="auto" w:val="clear"/>
            <w:vAlign w:val="center"/>
          </w:tcPr>
          <w:p>
            <w:pPr>
              <w:pStyle w:val="ListParagraph"/>
              <w:widowControl w:val="false"/>
              <w:suppressAutoHyphens w:val="true"/>
              <w:spacing w:before="0" w:after="200"/>
              <w:ind w:hanging="0"/>
              <w:contextualSpacing/>
              <w:jc w:val="center"/>
              <w:rPr>
                <w:i w:val="false"/>
                <w:i w:val="false"/>
                <w:iCs w:val="false"/>
              </w:rPr>
            </w:pPr>
            <w:r>
              <w:rPr>
                <w:rFonts w:cs="Times New Roman"/>
                <w:i w:val="false"/>
                <w:iCs w:val="false"/>
                <w:color w:val="000000"/>
                <w:kern w:val="0"/>
                <w:sz w:val="24"/>
                <w:szCs w:val="24"/>
                <w:lang w:val="ru-RU" w:eastAsia="ru-RU" w:bidi="ar-SA"/>
              </w:rPr>
              <w:t>6</w:t>
            </w:r>
          </w:p>
        </w:tc>
      </w:tr>
      <w:tr>
        <w:trPr/>
        <w:tc>
          <w:tcPr>
            <w:tcW w:w="825" w:type="dxa"/>
            <w:tcBorders>
              <w:top w:val="nil"/>
            </w:tcBorders>
            <w:vAlign w:val="center"/>
          </w:tcPr>
          <w:p>
            <w:pPr>
              <w:pStyle w:val="Normal"/>
              <w:widowControl w:val="false"/>
              <w:suppressAutoHyphens w:val="true"/>
              <w:spacing w:before="0" w:after="200"/>
              <w:jc w:val="center"/>
              <w:rPr/>
            </w:pPr>
            <w:r>
              <w:rPr>
                <w:rFonts w:eastAsia="Calibri" w:cs="Times New Roman"/>
                <w:kern w:val="0"/>
                <w:sz w:val="24"/>
                <w:szCs w:val="24"/>
                <w:lang w:val="ru-RU" w:eastAsia="ru-RU" w:bidi="ar-SA"/>
              </w:rPr>
              <w:t>1.4.</w:t>
            </w:r>
          </w:p>
        </w:tc>
        <w:tc>
          <w:tcPr>
            <w:tcW w:w="5115" w:type="dxa"/>
            <w:tcBorders>
              <w:top w:val="nil"/>
            </w:tcBorders>
            <w:shd w:color="auto" w:fill="auto" w:val="clear"/>
            <w:vAlign w:val="center"/>
          </w:tcPr>
          <w:p>
            <w:pPr>
              <w:pStyle w:val="Normal"/>
              <w:widowControl w:val="false"/>
              <w:spacing w:lineRule="auto" w:line="240" w:before="0" w:after="0"/>
              <w:jc w:val="left"/>
              <w:rPr>
                <w:i w:val="false"/>
                <w:i w:val="false"/>
                <w:iCs w:val="false"/>
              </w:rPr>
            </w:pPr>
            <w:r>
              <w:rPr>
                <w:rFonts w:eastAsia="Calibri" w:cs="Times New Roman"/>
                <w:b w:val="false"/>
                <w:i w:val="false"/>
                <w:iCs w:val="false"/>
                <w:caps w:val="false"/>
                <w:smallCaps w:val="false"/>
                <w:color w:val="000000"/>
                <w:spacing w:val="0"/>
                <w:kern w:val="0"/>
                <w:sz w:val="24"/>
                <w:szCs w:val="24"/>
                <w:lang w:val="ru-RU" w:eastAsia="ru-RU" w:bidi="ar-SA"/>
              </w:rPr>
              <w:t xml:space="preserve">Напор, м </w:t>
            </w:r>
          </w:p>
        </w:tc>
        <w:tc>
          <w:tcPr>
            <w:tcW w:w="4074" w:type="dxa"/>
            <w:tcBorders>
              <w:top w:val="nil"/>
            </w:tcBorders>
            <w:shd w:color="auto" w:fill="auto" w:val="clear"/>
            <w:vAlign w:val="center"/>
          </w:tcPr>
          <w:p>
            <w:pPr>
              <w:pStyle w:val="Normal"/>
              <w:widowControl w:val="false"/>
              <w:suppressAutoHyphens w:val="true"/>
              <w:spacing w:before="0" w:after="200"/>
              <w:ind w:left="-8" w:hanging="0"/>
              <w:jc w:val="center"/>
              <w:rPr>
                <w:i w:val="false"/>
                <w:i w:val="false"/>
                <w:iCs w:val="false"/>
              </w:rPr>
            </w:pPr>
            <w:r>
              <w:rPr>
                <w:rFonts w:eastAsia="Calibri" w:cs="Times New Roman"/>
                <w:i w:val="false"/>
                <w:iCs w:val="false"/>
                <w:color w:val="000000"/>
                <w:kern w:val="0"/>
                <w:sz w:val="24"/>
                <w:szCs w:val="24"/>
                <w:lang w:val="ru-RU" w:eastAsia="ru-RU" w:bidi="ar-SA"/>
              </w:rPr>
              <w:t>120</w:t>
            </w:r>
          </w:p>
        </w:tc>
      </w:tr>
      <w:tr>
        <w:trPr/>
        <w:tc>
          <w:tcPr>
            <w:tcW w:w="825" w:type="dxa"/>
            <w:tcBorders>
              <w:top w:val="nil"/>
            </w:tcBorders>
            <w:vAlign w:val="center"/>
          </w:tcPr>
          <w:p>
            <w:pPr>
              <w:pStyle w:val="Normal"/>
              <w:widowControl w:val="false"/>
              <w:suppressAutoHyphens w:val="true"/>
              <w:spacing w:before="0" w:after="200"/>
              <w:jc w:val="center"/>
              <w:rPr/>
            </w:pPr>
            <w:r>
              <w:rPr>
                <w:rFonts w:eastAsia="Calibri" w:cs="Times New Roman"/>
                <w:kern w:val="0"/>
                <w:sz w:val="24"/>
                <w:szCs w:val="24"/>
                <w:lang w:val="ru-RU" w:eastAsia="ru-RU" w:bidi="ar-SA"/>
              </w:rPr>
              <w:t>1.5.</w:t>
            </w:r>
          </w:p>
        </w:tc>
        <w:tc>
          <w:tcPr>
            <w:tcW w:w="5115" w:type="dxa"/>
            <w:tcBorders>
              <w:top w:val="nil"/>
            </w:tcBorders>
            <w:shd w:color="auto" w:fill="auto" w:val="clear"/>
            <w:vAlign w:val="center"/>
          </w:tcPr>
          <w:p>
            <w:pPr>
              <w:pStyle w:val="Normal"/>
              <w:widowControl w:val="false"/>
              <w:spacing w:lineRule="auto" w:line="240" w:before="0" w:after="0"/>
              <w:jc w:val="left"/>
              <w:rPr>
                <w:i w:val="false"/>
                <w:i w:val="false"/>
                <w:iCs w:val="false"/>
              </w:rPr>
            </w:pPr>
            <w:r>
              <w:rPr>
                <w:rFonts w:eastAsia="Calibri" w:cs="Times New Roman"/>
                <w:i w:val="false"/>
                <w:iCs w:val="false"/>
                <w:color w:val="000000"/>
                <w:kern w:val="0"/>
                <w:sz w:val="24"/>
                <w:szCs w:val="24"/>
                <w:lang w:val="ru-RU" w:eastAsia="ru-RU" w:bidi="ar-SA"/>
              </w:rPr>
              <w:t>Мощность электродвигателя, кВт</w:t>
            </w:r>
          </w:p>
        </w:tc>
        <w:tc>
          <w:tcPr>
            <w:tcW w:w="4074" w:type="dxa"/>
            <w:tcBorders>
              <w:top w:val="nil"/>
            </w:tcBorders>
            <w:shd w:color="auto" w:fill="auto" w:val="clear"/>
            <w:vAlign w:val="center"/>
          </w:tcPr>
          <w:p>
            <w:pPr>
              <w:pStyle w:val="ListParagraph"/>
              <w:widowControl w:val="false"/>
              <w:suppressAutoHyphens w:val="true"/>
              <w:spacing w:before="0" w:after="200"/>
              <w:ind w:left="-8" w:hanging="0"/>
              <w:contextualSpacing/>
              <w:jc w:val="center"/>
              <w:rPr>
                <w:i w:val="false"/>
                <w:i w:val="false"/>
                <w:iCs w:val="false"/>
              </w:rPr>
            </w:pPr>
            <w:r>
              <w:rPr>
                <w:rFonts w:cs="Times New Roman"/>
                <w:i w:val="false"/>
                <w:iCs w:val="false"/>
                <w:color w:val="000000"/>
                <w:kern w:val="0"/>
                <w:sz w:val="24"/>
                <w:szCs w:val="24"/>
                <w:lang w:val="ru-RU" w:eastAsia="ru-RU" w:bidi="ar-SA"/>
              </w:rPr>
              <w:t>4,0</w:t>
            </w:r>
          </w:p>
        </w:tc>
      </w:tr>
      <w:tr>
        <w:trPr/>
        <w:tc>
          <w:tcPr>
            <w:tcW w:w="825" w:type="dxa"/>
            <w:tcBorders>
              <w:top w:val="nil"/>
            </w:tcBorders>
            <w:vAlign w:val="center"/>
          </w:tcPr>
          <w:p>
            <w:pPr>
              <w:pStyle w:val="Normal"/>
              <w:widowControl w:val="false"/>
              <w:suppressAutoHyphens w:val="true"/>
              <w:spacing w:before="0" w:after="200"/>
              <w:jc w:val="center"/>
              <w:rPr/>
            </w:pPr>
            <w:r>
              <w:rPr>
                <w:rFonts w:eastAsia="Calibri" w:cs="Times New Roman"/>
                <w:kern w:val="0"/>
                <w:sz w:val="24"/>
                <w:szCs w:val="24"/>
                <w:lang w:val="ru-RU" w:eastAsia="ru-RU" w:bidi="ar-SA"/>
              </w:rPr>
              <w:t>1.6.</w:t>
            </w:r>
          </w:p>
        </w:tc>
        <w:tc>
          <w:tcPr>
            <w:tcW w:w="5115" w:type="dxa"/>
            <w:tcBorders>
              <w:top w:val="nil"/>
            </w:tcBorders>
            <w:shd w:color="auto" w:fill="auto" w:val="clear"/>
            <w:vAlign w:val="center"/>
          </w:tcPr>
          <w:p>
            <w:pPr>
              <w:pStyle w:val="Normal"/>
              <w:widowControl w:val="false"/>
              <w:spacing w:lineRule="auto" w:line="240" w:before="0" w:after="0"/>
              <w:jc w:val="left"/>
              <w:rPr>
                <w:i w:val="false"/>
                <w:i w:val="false"/>
                <w:iCs w:val="false"/>
              </w:rPr>
            </w:pPr>
            <w:r>
              <w:rPr>
                <w:rFonts w:cs="Times New Roman"/>
                <w:b w:val="false"/>
                <w:i w:val="false"/>
                <w:iCs w:val="false"/>
                <w:caps w:val="false"/>
                <w:smallCaps w:val="false"/>
                <w:color w:val="000000"/>
                <w:spacing w:val="0"/>
                <w:sz w:val="24"/>
                <w:szCs w:val="24"/>
              </w:rPr>
              <w:t xml:space="preserve">Вес, кг </w:t>
            </w:r>
          </w:p>
          <w:p>
            <w:pPr>
              <w:pStyle w:val="Normal"/>
              <w:widowControl w:val="false"/>
              <w:spacing w:lineRule="auto" w:line="240" w:before="0" w:after="0"/>
              <w:jc w:val="left"/>
              <w:rPr>
                <w:i w:val="false"/>
                <w:i w:val="false"/>
                <w:iCs w:val="false"/>
              </w:rPr>
            </w:pPr>
            <w:r>
              <w:rPr>
                <w:rFonts w:eastAsia="Calibri" w:cs="Times New Roman"/>
                <w:b w:val="false"/>
                <w:i w:val="false"/>
                <w:iCs w:val="false"/>
                <w:caps w:val="false"/>
                <w:smallCaps w:val="false"/>
                <w:color w:val="000000"/>
                <w:spacing w:val="0"/>
                <w:kern w:val="0"/>
                <w:sz w:val="24"/>
                <w:szCs w:val="24"/>
                <w:lang w:val="ru-RU" w:eastAsia="ru-RU" w:bidi="ar-SA"/>
              </w:rPr>
              <w:t>(не более)</w:t>
            </w:r>
          </w:p>
        </w:tc>
        <w:tc>
          <w:tcPr>
            <w:tcW w:w="4074" w:type="dxa"/>
            <w:tcBorders>
              <w:top w:val="nil"/>
            </w:tcBorders>
            <w:shd w:color="auto" w:fill="auto" w:val="clear"/>
            <w:vAlign w:val="center"/>
          </w:tcPr>
          <w:p>
            <w:pPr>
              <w:pStyle w:val="ListParagraph"/>
              <w:widowControl w:val="false"/>
              <w:suppressAutoHyphens w:val="true"/>
              <w:spacing w:before="0" w:after="200"/>
              <w:ind w:left="-8" w:hanging="0"/>
              <w:contextualSpacing/>
              <w:jc w:val="center"/>
              <w:rPr>
                <w:rFonts w:cs="Times New Roman"/>
                <w:i w:val="false"/>
                <w:i w:val="false"/>
                <w:iCs w:val="false"/>
                <w:kern w:val="0"/>
                <w:lang w:val="en-US" w:eastAsia="ru-RU" w:bidi="ar-SA"/>
              </w:rPr>
            </w:pPr>
            <w:r>
              <w:rPr>
                <w:rFonts w:cs="Times New Roman"/>
                <w:i w:val="false"/>
                <w:iCs w:val="false"/>
                <w:kern w:val="0"/>
                <w:lang w:val="en-US" w:eastAsia="ru-RU" w:bidi="ar-SA"/>
              </w:rPr>
            </w:r>
          </w:p>
          <w:p>
            <w:pPr>
              <w:pStyle w:val="ListParagraph"/>
              <w:widowControl w:val="false"/>
              <w:suppressAutoHyphens w:val="true"/>
              <w:spacing w:before="0" w:after="200"/>
              <w:ind w:left="-8" w:hanging="0"/>
              <w:contextualSpacing/>
              <w:jc w:val="center"/>
              <w:rPr>
                <w:i w:val="false"/>
                <w:i w:val="false"/>
                <w:iCs w:val="false"/>
              </w:rPr>
            </w:pPr>
            <w:r>
              <w:rPr>
                <w:rFonts w:cs="Times New Roman"/>
                <w:i w:val="false"/>
                <w:iCs w:val="false"/>
                <w:color w:val="000000"/>
                <w:kern w:val="0"/>
                <w:sz w:val="24"/>
                <w:szCs w:val="24"/>
                <w:lang w:val="en-US" w:eastAsia="ru-RU" w:bidi="ar-SA"/>
              </w:rPr>
              <w:t>85</w:t>
            </w:r>
          </w:p>
        </w:tc>
      </w:tr>
      <w:tr>
        <w:trPr>
          <w:trHeight w:val="536" w:hRule="atLeast"/>
        </w:trPr>
        <w:tc>
          <w:tcPr>
            <w:tcW w:w="825" w:type="dxa"/>
            <w:tcBorders>
              <w:top w:val="nil"/>
            </w:tcBorders>
            <w:vAlign w:val="center"/>
          </w:tcPr>
          <w:p>
            <w:pPr>
              <w:pStyle w:val="Normal"/>
              <w:widowControl w:val="false"/>
              <w:suppressAutoHyphens w:val="true"/>
              <w:spacing w:before="0" w:after="200"/>
              <w:jc w:val="center"/>
              <w:rPr>
                <w:sz w:val="24"/>
                <w:szCs w:val="24"/>
              </w:rPr>
            </w:pPr>
            <w:r>
              <w:rPr>
                <w:sz w:val="24"/>
                <w:szCs w:val="24"/>
              </w:rPr>
              <w:t>1.7.</w:t>
            </w:r>
          </w:p>
        </w:tc>
        <w:tc>
          <w:tcPr>
            <w:tcW w:w="5115" w:type="dxa"/>
            <w:tcBorders>
              <w:top w:val="nil"/>
            </w:tcBorders>
            <w:shd w:color="auto" w:fill="auto" w:val="clear"/>
            <w:vAlign w:val="center"/>
          </w:tcPr>
          <w:p>
            <w:pPr>
              <w:pStyle w:val="Normal"/>
              <w:widowControl w:val="false"/>
              <w:spacing w:lineRule="auto" w:line="240" w:before="0" w:after="0"/>
              <w:jc w:val="left"/>
              <w:rPr>
                <w:rFonts w:eastAsia="Times New Roman" w:cs="Times New Roman"/>
                <w:i w:val="false"/>
                <w:i w:val="false"/>
                <w:iCs w:val="false"/>
                <w:color w:val="000000"/>
                <w:kern w:val="0"/>
                <w:sz w:val="24"/>
                <w:szCs w:val="24"/>
                <w:lang w:val="ru-RU" w:eastAsia="ru-RU" w:bidi="ar-SA"/>
              </w:rPr>
            </w:pPr>
            <w:r>
              <w:rPr>
                <w:rFonts w:eastAsia="Times New Roman" w:cs="Times New Roman"/>
                <w:i w:val="false"/>
                <w:iCs w:val="false"/>
                <w:color w:val="000000"/>
                <w:kern w:val="0"/>
                <w:sz w:val="24"/>
                <w:szCs w:val="24"/>
                <w:lang w:val="ru-RU" w:eastAsia="ru-RU" w:bidi="ar-SA"/>
              </w:rPr>
              <w:t>Климатическое исполнение агрегата</w:t>
            </w:r>
          </w:p>
        </w:tc>
        <w:tc>
          <w:tcPr>
            <w:tcW w:w="4074" w:type="dxa"/>
            <w:tcBorders>
              <w:top w:val="nil"/>
            </w:tcBorders>
            <w:shd w:color="auto" w:fill="auto" w:val="clear"/>
            <w:vAlign w:val="center"/>
          </w:tcPr>
          <w:p>
            <w:pPr>
              <w:pStyle w:val="ListParagraph"/>
              <w:widowControl w:val="false"/>
              <w:suppressAutoHyphens w:val="true"/>
              <w:spacing w:before="0" w:after="200"/>
              <w:ind w:left="-8" w:hanging="0"/>
              <w:contextualSpacing/>
              <w:jc w:val="center"/>
              <w:rPr>
                <w:i w:val="false"/>
                <w:i w:val="false"/>
                <w:iCs w:val="false"/>
                <w:color w:val="000000"/>
              </w:rPr>
            </w:pPr>
            <w:r>
              <w:rPr>
                <w:i w:val="false"/>
                <w:iCs w:val="false"/>
                <w:color w:val="000000"/>
              </w:rPr>
              <w:t>УХЛ4 по ГОСТ15150-69</w:t>
            </w:r>
          </w:p>
        </w:tc>
      </w:tr>
      <w:tr>
        <w:trPr>
          <w:trHeight w:val="1408" w:hRule="atLeast"/>
        </w:trPr>
        <w:tc>
          <w:tcPr>
            <w:tcW w:w="825" w:type="dxa"/>
            <w:vMerge w:val="restart"/>
            <w:tcBorders>
              <w:top w:val="nil"/>
            </w:tcBorders>
            <w:vAlign w:val="center"/>
          </w:tcPr>
          <w:p>
            <w:pPr>
              <w:pStyle w:val="Normal"/>
              <w:widowControl w:val="false"/>
              <w:suppressAutoHyphens w:val="true"/>
              <w:spacing w:before="0" w:after="200"/>
              <w:jc w:val="center"/>
              <w:rPr/>
            </w:pPr>
            <w:r>
              <w:rPr>
                <w:rFonts w:eastAsia="Calibri" w:cs="Times New Roman"/>
                <w:kern w:val="0"/>
                <w:sz w:val="24"/>
                <w:szCs w:val="24"/>
                <w:lang w:val="ru-RU" w:eastAsia="ru-RU" w:bidi="ar-SA"/>
              </w:rPr>
              <w:t>1.8.</w:t>
            </w:r>
          </w:p>
        </w:tc>
        <w:tc>
          <w:tcPr>
            <w:tcW w:w="5115" w:type="dxa"/>
            <w:vMerge w:val="restart"/>
            <w:tcBorders>
              <w:top w:val="nil"/>
            </w:tcBorders>
            <w:shd w:color="auto" w:fill="auto" w:val="clear"/>
          </w:tcPr>
          <w:p>
            <w:pPr>
              <w:pStyle w:val="Normal"/>
              <w:widowControl w:val="false"/>
              <w:spacing w:lineRule="auto" w:line="240" w:before="0" w:after="0"/>
              <w:jc w:val="center"/>
              <w:rPr>
                <w:i w:val="false"/>
                <w:i w:val="false"/>
                <w:iCs w:val="false"/>
              </w:rPr>
            </w:pPr>
            <w:r>
              <w:rPr>
                <w:i w:val="false"/>
                <w:iCs w:val="false"/>
              </w:rPr>
            </w:r>
          </w:p>
          <w:p>
            <w:pPr>
              <w:pStyle w:val="Normal"/>
              <w:widowControl w:val="false"/>
              <w:spacing w:lineRule="auto" w:line="240" w:before="0" w:after="0"/>
              <w:jc w:val="center"/>
              <w:rPr>
                <w:i w:val="false"/>
                <w:i w:val="false"/>
                <w:iCs w:val="false"/>
              </w:rPr>
            </w:pPr>
            <w:r>
              <w:rPr>
                <w:i w:val="false"/>
                <w:iCs w:val="false"/>
              </w:rPr>
            </w:r>
          </w:p>
          <w:p>
            <w:pPr>
              <w:pStyle w:val="Normal"/>
              <w:widowControl w:val="false"/>
              <w:spacing w:lineRule="auto" w:line="240" w:before="0" w:after="0"/>
              <w:jc w:val="center"/>
              <w:rPr>
                <w:i w:val="false"/>
                <w:i w:val="false"/>
                <w:iCs w:val="false"/>
              </w:rPr>
            </w:pPr>
            <w:r>
              <w:rPr>
                <w:i w:val="false"/>
                <w:iCs w:val="false"/>
              </w:rPr>
            </w:r>
          </w:p>
          <w:p>
            <w:pPr>
              <w:pStyle w:val="Normal"/>
              <w:widowControl w:val="false"/>
              <w:spacing w:lineRule="auto" w:line="240" w:before="0" w:after="0"/>
              <w:jc w:val="center"/>
              <w:rPr>
                <w:i w:val="false"/>
                <w:i w:val="false"/>
                <w:iCs w:val="false"/>
              </w:rPr>
            </w:pPr>
            <w:r>
              <w:rPr>
                <w:i w:val="false"/>
                <w:iCs w:val="false"/>
              </w:rPr>
            </w:r>
          </w:p>
          <w:p>
            <w:pPr>
              <w:pStyle w:val="Normal"/>
              <w:widowControl w:val="false"/>
              <w:spacing w:lineRule="auto" w:line="240" w:before="0" w:after="0"/>
              <w:jc w:val="center"/>
              <w:rPr>
                <w:i w:val="false"/>
                <w:i w:val="false"/>
                <w:iCs w:val="false"/>
              </w:rPr>
            </w:pPr>
            <w:r>
              <w:rPr>
                <w:i w:val="false"/>
                <w:iCs w:val="false"/>
              </w:rPr>
            </w:r>
          </w:p>
          <w:p>
            <w:pPr>
              <w:pStyle w:val="Normal"/>
              <w:widowControl w:val="false"/>
              <w:spacing w:lineRule="auto" w:line="240" w:before="0" w:after="0"/>
              <w:jc w:val="center"/>
              <w:rPr>
                <w:i w:val="false"/>
                <w:i w:val="false"/>
                <w:iCs w:val="false"/>
              </w:rPr>
            </w:pPr>
            <w:r>
              <w:rPr>
                <w:i w:val="false"/>
                <w:iCs w:val="false"/>
              </w:rPr>
            </w:r>
          </w:p>
          <w:p>
            <w:pPr>
              <w:pStyle w:val="Normal"/>
              <w:widowControl w:val="false"/>
              <w:spacing w:lineRule="auto" w:line="240" w:before="0" w:after="0"/>
              <w:jc w:val="center"/>
              <w:rPr>
                <w:i w:val="false"/>
                <w:i w:val="false"/>
                <w:iCs w:val="false"/>
              </w:rPr>
            </w:pPr>
            <w:r>
              <w:rPr>
                <w:i w:val="false"/>
                <w:iCs w:val="false"/>
              </w:rPr>
            </w:r>
          </w:p>
          <w:p>
            <w:pPr>
              <w:pStyle w:val="Normal"/>
              <w:widowControl w:val="false"/>
              <w:spacing w:lineRule="auto" w:line="240" w:before="0" w:after="0"/>
              <w:jc w:val="left"/>
              <w:rPr>
                <w:rFonts w:eastAsia="Calibri" w:cs="Times New Roman"/>
                <w:b w:val="false"/>
                <w:caps w:val="false"/>
                <w:smallCaps w:val="false"/>
                <w:color w:val="000000"/>
                <w:spacing w:val="0"/>
                <w:kern w:val="0"/>
                <w:sz w:val="24"/>
                <w:szCs w:val="24"/>
                <w:lang w:val="ru-RU" w:eastAsia="ru-RU" w:bidi="ar-SA"/>
              </w:rPr>
            </w:pPr>
            <w:r>
              <w:rPr>
                <w:rFonts w:eastAsia="Calibri" w:cs="Times New Roman"/>
                <w:b w:val="false"/>
                <w:caps w:val="false"/>
                <w:smallCaps w:val="false"/>
                <w:color w:val="000000"/>
                <w:spacing w:val="0"/>
                <w:kern w:val="0"/>
                <w:sz w:val="24"/>
                <w:szCs w:val="24"/>
                <w:lang w:val="ru-RU" w:eastAsia="ru-RU" w:bidi="ar-SA"/>
              </w:rPr>
            </w:r>
          </w:p>
          <w:p>
            <w:pPr>
              <w:pStyle w:val="Normal"/>
              <w:widowControl w:val="false"/>
              <w:spacing w:lineRule="auto" w:line="240" w:before="0" w:after="0"/>
              <w:jc w:val="left"/>
              <w:rPr>
                <w:i w:val="false"/>
                <w:i w:val="false"/>
                <w:iCs w:val="false"/>
              </w:rPr>
            </w:pPr>
            <w:r>
              <w:rPr>
                <w:rFonts w:eastAsia="Calibri" w:cs="Times New Roman"/>
                <w:b w:val="false"/>
                <w:i w:val="false"/>
                <w:iCs w:val="false"/>
                <w:caps w:val="false"/>
                <w:smallCaps w:val="false"/>
                <w:color w:val="000000"/>
                <w:spacing w:val="0"/>
                <w:kern w:val="0"/>
                <w:sz w:val="24"/>
                <w:szCs w:val="24"/>
                <w:lang w:val="ru-RU" w:eastAsia="ru-RU" w:bidi="ar-SA"/>
              </w:rPr>
              <w:t xml:space="preserve">Консервация </w:t>
            </w:r>
          </w:p>
        </w:tc>
        <w:tc>
          <w:tcPr>
            <w:tcW w:w="4074" w:type="dxa"/>
            <w:tcBorders>
              <w:top w:val="nil"/>
            </w:tcBorders>
            <w:shd w:color="auto" w:fill="auto" w:val="clear"/>
            <w:vAlign w:val="center"/>
          </w:tcPr>
          <w:p>
            <w:pPr>
              <w:pStyle w:val="ListParagraph"/>
              <w:widowControl w:val="false"/>
              <w:suppressAutoHyphens w:val="true"/>
              <w:spacing w:before="0" w:after="200"/>
              <w:ind w:left="-8" w:hanging="0"/>
              <w:contextualSpacing/>
              <w:jc w:val="center"/>
              <w:rPr>
                <w:i w:val="false"/>
                <w:i w:val="false"/>
                <w:iCs w:val="false"/>
                <w:color w:val="000000"/>
              </w:rPr>
            </w:pPr>
            <w:r>
              <w:rPr>
                <w:i w:val="false"/>
                <w:iCs w:val="false"/>
                <w:color w:val="000000"/>
              </w:rPr>
            </w:r>
          </w:p>
          <w:p>
            <w:pPr>
              <w:pStyle w:val="ListParagraph"/>
              <w:widowControl w:val="false"/>
              <w:suppressAutoHyphens w:val="true"/>
              <w:spacing w:before="0" w:after="200"/>
              <w:ind w:left="-8" w:hanging="0"/>
              <w:contextualSpacing/>
              <w:jc w:val="center"/>
              <w:rPr>
                <w:i w:val="false"/>
                <w:i w:val="false"/>
                <w:iCs w:val="false"/>
                <w:color w:val="000000"/>
              </w:rPr>
            </w:pPr>
            <w:r>
              <w:rPr>
                <w:i w:val="false"/>
                <w:iCs w:val="false"/>
                <w:color w:val="000000"/>
              </w:rPr>
            </w:r>
          </w:p>
          <w:p>
            <w:pPr>
              <w:pStyle w:val="ListParagraph"/>
              <w:widowControl w:val="false"/>
              <w:suppressAutoHyphens w:val="true"/>
              <w:spacing w:before="0" w:after="200"/>
              <w:ind w:left="-8" w:hanging="0"/>
              <w:contextualSpacing/>
              <w:jc w:val="center"/>
              <w:rPr>
                <w:i w:val="false"/>
                <w:i w:val="false"/>
                <w:iCs w:val="false"/>
                <w:color w:val="000000"/>
              </w:rPr>
            </w:pPr>
            <w:r>
              <w:rPr>
                <w:i w:val="false"/>
                <w:iCs w:val="false"/>
                <w:color w:val="000000"/>
              </w:rPr>
              <w:t>Насос перед отправкой потребителю подвергается консервации по группе11-1,варианту временной защиты В3-2 по ГОСТ 9.0.14-78</w:t>
            </w:r>
          </w:p>
        </w:tc>
      </w:tr>
      <w:tr>
        <w:trPr>
          <w:trHeight w:val="3299" w:hRule="atLeast"/>
        </w:trPr>
        <w:tc>
          <w:tcPr>
            <w:tcW w:w="825" w:type="dxa"/>
            <w:vMerge w:val="continue"/>
            <w:tcBorders>
              <w:top w:val="nil"/>
            </w:tcBorders>
            <w:vAlign w:val="center"/>
          </w:tcPr>
          <w:p>
            <w:pPr>
              <w:pStyle w:val="Normal"/>
              <w:widowControl w:val="false"/>
              <w:suppressAutoHyphens w:val="true"/>
              <w:spacing w:before="0" w:after="200"/>
              <w:jc w:val="center"/>
              <w:rPr/>
            </w:pPr>
            <w:r>
              <w:rPr/>
            </w:r>
          </w:p>
        </w:tc>
        <w:tc>
          <w:tcPr>
            <w:tcW w:w="5115" w:type="dxa"/>
            <w:vMerge w:val="continue"/>
            <w:tcBorders>
              <w:top w:val="nil"/>
            </w:tcBorders>
            <w:shd w:color="auto" w:fill="auto" w:val="clear"/>
          </w:tcPr>
          <w:p>
            <w:pPr>
              <w:pStyle w:val="Normal"/>
              <w:widowControl w:val="false"/>
              <w:spacing w:lineRule="auto" w:line="240" w:before="0" w:after="0"/>
              <w:jc w:val="center"/>
              <w:rPr>
                <w:rFonts w:eastAsia="Times New Roman" w:cs="Times New Roman"/>
                <w:i w:val="false"/>
                <w:i w:val="false"/>
                <w:iCs w:val="false"/>
                <w:color w:val="C9211E"/>
                <w:kern w:val="0"/>
                <w:sz w:val="24"/>
                <w:szCs w:val="24"/>
                <w:lang w:val="ru-RU" w:eastAsia="ru-RU" w:bidi="ar-SA"/>
              </w:rPr>
            </w:pPr>
            <w:r>
              <w:rPr>
                <w:rFonts w:eastAsia="Times New Roman" w:cs="Times New Roman"/>
                <w:i w:val="false"/>
                <w:iCs w:val="false"/>
                <w:color w:val="C9211E"/>
                <w:kern w:val="0"/>
                <w:sz w:val="24"/>
                <w:szCs w:val="24"/>
                <w:lang w:val="ru-RU" w:eastAsia="ru-RU" w:bidi="ar-SA"/>
              </w:rPr>
            </w:r>
          </w:p>
        </w:tc>
        <w:tc>
          <w:tcPr>
            <w:tcW w:w="4074" w:type="dxa"/>
            <w:tcBorders>
              <w:top w:val="nil"/>
            </w:tcBorders>
            <w:shd w:color="auto" w:fill="auto" w:val="clear"/>
            <w:vAlign w:val="center"/>
          </w:tcPr>
          <w:p>
            <w:pPr>
              <w:pStyle w:val="ListParagraph"/>
              <w:widowControl w:val="false"/>
              <w:suppressAutoHyphens w:val="true"/>
              <w:spacing w:before="0" w:after="200"/>
              <w:ind w:left="-8" w:hanging="0"/>
              <w:contextualSpacing/>
              <w:jc w:val="center"/>
              <w:rPr>
                <w:i w:val="false"/>
                <w:i w:val="false"/>
                <w:iCs w:val="false"/>
                <w:color w:val="000000"/>
              </w:rPr>
            </w:pPr>
            <w:r>
              <w:rPr>
                <w:i w:val="false"/>
                <w:iCs w:val="false"/>
                <w:color w:val="000000"/>
              </w:rPr>
              <w:t>Внутренние поверхности насосов типа ЦНС и ЦНСГ консервируются смазкой К-17 по ГОСТ 10877-76.</w:t>
            </w:r>
          </w:p>
        </w:tc>
      </w:tr>
      <w:tr>
        <w:trPr>
          <w:trHeight w:val="3299" w:hRule="atLeast"/>
        </w:trPr>
        <w:tc>
          <w:tcPr>
            <w:tcW w:w="825" w:type="dxa"/>
            <w:tcBorders>
              <w:top w:val="nil"/>
            </w:tcBorders>
            <w:vAlign w:val="center"/>
          </w:tcPr>
          <w:p>
            <w:pPr>
              <w:pStyle w:val="Normal"/>
              <w:widowControl w:val="false"/>
              <w:suppressAutoHyphens w:val="true"/>
              <w:spacing w:before="0" w:after="200"/>
              <w:jc w:val="center"/>
              <w:rPr>
                <w:sz w:val="24"/>
                <w:szCs w:val="24"/>
              </w:rPr>
            </w:pPr>
            <w:r>
              <w:rPr>
                <w:sz w:val="24"/>
                <w:szCs w:val="24"/>
              </w:rPr>
              <w:t>1.9.</w:t>
            </w:r>
          </w:p>
        </w:tc>
        <w:tc>
          <w:tcPr>
            <w:tcW w:w="5115" w:type="dxa"/>
            <w:tcBorders>
              <w:top w:val="nil"/>
            </w:tcBorders>
            <w:shd w:color="auto" w:fill="auto" w:val="clear"/>
            <w:vAlign w:val="center"/>
          </w:tcPr>
          <w:p>
            <w:pPr>
              <w:pStyle w:val="Normal"/>
              <w:widowControl w:val="false"/>
              <w:spacing w:lineRule="auto" w:line="240" w:before="0" w:after="0"/>
              <w:jc w:val="left"/>
              <w:rPr>
                <w:i w:val="false"/>
                <w:i w:val="false"/>
                <w:iCs w:val="false"/>
                <w:sz w:val="24"/>
                <w:szCs w:val="24"/>
              </w:rPr>
            </w:pPr>
            <w:r>
              <w:rPr>
                <w:rFonts w:eastAsia="Calibri"/>
                <w:b w:val="false"/>
                <w:i w:val="false"/>
                <w:iCs w:val="false"/>
                <w:caps w:val="false"/>
                <w:smallCaps w:val="false"/>
                <w:color w:val="000000"/>
                <w:spacing w:val="0"/>
                <w:sz w:val="24"/>
                <w:szCs w:val="24"/>
              </w:rPr>
              <w:t>Общий вид насоса с габаритными и установочными размерами.</w:t>
            </w:r>
          </w:p>
        </w:tc>
        <w:tc>
          <w:tcPr>
            <w:tcW w:w="4074" w:type="dxa"/>
            <w:tcBorders>
              <w:top w:val="nil"/>
            </w:tcBorders>
            <w:shd w:color="auto" w:fill="auto" w:val="clear"/>
          </w:tcPr>
          <w:p>
            <w:pPr>
              <w:pStyle w:val="ListParagraph"/>
              <w:widowControl w:val="false"/>
              <w:suppressAutoHyphens w:val="true"/>
              <w:spacing w:before="0" w:after="200"/>
              <w:ind w:left="-8" w:hanging="0"/>
              <w:contextualSpacing/>
              <w:jc w:val="center"/>
              <w:rPr>
                <w:color w:val="C9211E"/>
              </w:rPr>
            </w:pPr>
            <w:r>
              <w:rPr>
                <w:color w:val="C9211E"/>
              </w:rPr>
              <w:drawing>
                <wp:anchor behindDoc="0" distT="0" distB="0" distL="0" distR="0" simplePos="0" locked="0" layoutInCell="1" allowOverlap="1" relativeHeight="2">
                  <wp:simplePos x="0" y="0"/>
                  <wp:positionH relativeFrom="column">
                    <wp:posOffset>616585</wp:posOffset>
                  </wp:positionH>
                  <wp:positionV relativeFrom="paragraph">
                    <wp:posOffset>65405</wp:posOffset>
                  </wp:positionV>
                  <wp:extent cx="1266190" cy="191516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25" t="-14" r="-25" b="-14"/>
                          <a:stretch>
                            <a:fillRect/>
                          </a:stretch>
                        </pic:blipFill>
                        <pic:spPr bwMode="auto">
                          <a:xfrm>
                            <a:off x="0" y="0"/>
                            <a:ext cx="1266190" cy="1915160"/>
                          </a:xfrm>
                          <a:prstGeom prst="rect">
                            <a:avLst/>
                          </a:prstGeom>
                        </pic:spPr>
                      </pic:pic>
                    </a:graphicData>
                  </a:graphic>
                </wp:anchor>
              </w:drawing>
            </w:r>
          </w:p>
        </w:tc>
      </w:tr>
      <w:tr>
        <w:trPr/>
        <w:tc>
          <w:tcPr>
            <w:tcW w:w="825" w:type="dxa"/>
            <w:tcBorders>
              <w:top w:val="nil"/>
            </w:tcBorders>
            <w:vAlign w:val="center"/>
          </w:tcPr>
          <w:p>
            <w:pPr>
              <w:pStyle w:val="ListParagraph"/>
              <w:widowControl w:val="false"/>
              <w:suppressAutoHyphens w:val="true"/>
              <w:spacing w:before="60" w:after="60"/>
              <w:ind w:left="-117" w:hanging="0"/>
              <w:contextualSpacing/>
              <w:jc w:val="center"/>
              <w:rPr>
                <w:b/>
                <w:bCs/>
              </w:rPr>
            </w:pPr>
            <w:r>
              <w:rPr>
                <w:rFonts w:cs="Times New Roman"/>
                <w:b/>
                <w:bCs/>
                <w:kern w:val="0"/>
                <w:lang w:val="ru-RU" w:eastAsia="ru-RU" w:bidi="ar-SA"/>
              </w:rPr>
              <w:t>2.</w:t>
            </w:r>
          </w:p>
        </w:tc>
        <w:tc>
          <w:tcPr>
            <w:tcW w:w="9189" w:type="dxa"/>
            <w:gridSpan w:val="2"/>
            <w:tcBorders/>
            <w:shd w:color="auto" w:fill="auto" w:val="clea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Требования к гарантиям, гарантийному и послегарантийному обслуживанию</w:t>
            </w:r>
          </w:p>
        </w:tc>
      </w:tr>
      <w:tr>
        <w:trPr/>
        <w:tc>
          <w:tcPr>
            <w:tcW w:w="825"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2.1</w:t>
            </w:r>
          </w:p>
        </w:tc>
        <w:tc>
          <w:tcPr>
            <w:tcW w:w="5115" w:type="dxa"/>
            <w:tcBorders>
              <w:top w:val="nil"/>
            </w:tcBorders>
            <w:shd w:color="auto" w:fill="auto" w:val="clear"/>
          </w:tcPr>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sz w:val="24"/>
                <w:szCs w:val="24"/>
              </w:rPr>
            </w:pPr>
            <w:r>
              <w:rPr>
                <w:rFonts w:eastAsia="Calibri" w:cs="Times New Roman"/>
                <w:kern w:val="0"/>
                <w:sz w:val="24"/>
                <w:szCs w:val="24"/>
                <w:lang w:val="en-US" w:eastAsia="ru-RU" w:bidi="ar-SA"/>
              </w:rPr>
              <w:t>Га</w:t>
            </w:r>
            <w:r>
              <w:rPr>
                <w:rFonts w:eastAsia="Calibri" w:cs="Times New Roman"/>
                <w:kern w:val="0"/>
                <w:sz w:val="24"/>
                <w:szCs w:val="24"/>
                <w:lang w:val="ru-RU" w:eastAsia="ru-RU" w:bidi="ar-SA"/>
              </w:rPr>
              <w:t>рантия, не менее</w:t>
            </w:r>
          </w:p>
        </w:tc>
        <w:tc>
          <w:tcPr>
            <w:tcW w:w="4074" w:type="dxa"/>
            <w:tcBorders>
              <w:top w:val="nil"/>
            </w:tcBorders>
            <w:shd w:color="auto" w:fill="auto" w:val="clea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Поставщик обязан установить на продукцию гарантийный срок не менее 12</w:t>
            </w:r>
            <w:r>
              <w:rPr>
                <w:rFonts w:eastAsia="Calibri" w:cs="Times New Roman"/>
                <w:color w:val="000000"/>
                <w:kern w:val="0"/>
                <w:sz w:val="24"/>
                <w:szCs w:val="24"/>
                <w:lang w:val="ru-RU" w:eastAsia="ru-RU" w:bidi="ar-SA"/>
              </w:rPr>
              <w:t xml:space="preserve"> (д</w:t>
            </w:r>
            <w:r>
              <w:rPr>
                <w:rFonts w:eastAsia="Calibri" w:cs="Times New Roman"/>
                <w:b w:val="false"/>
                <w:i w:val="false"/>
                <w:caps w:val="false"/>
                <w:smallCaps w:val="false"/>
                <w:color w:val="000000"/>
                <w:spacing w:val="0"/>
                <w:kern w:val="0"/>
                <w:sz w:val="24"/>
                <w:szCs w:val="24"/>
                <w:lang w:val="ru-RU" w:eastAsia="ru-RU" w:bidi="ar-SA"/>
              </w:rPr>
              <w:t>венадцати</w:t>
            </w:r>
            <w:r>
              <w:rPr>
                <w:rFonts w:eastAsia="Calibri" w:cs="Times New Roman"/>
                <w:caps w:val="false"/>
                <w:smallCaps w:val="false"/>
                <w:color w:val="000000"/>
                <w:spacing w:val="0"/>
                <w:kern w:val="0"/>
                <w:sz w:val="24"/>
                <w:szCs w:val="24"/>
                <w:lang w:val="ru-RU" w:eastAsia="ru-RU" w:bidi="ar-SA"/>
              </w:rPr>
              <w:t> </w:t>
            </w:r>
            <w:r>
              <w:rPr>
                <w:rFonts w:eastAsia="Calibri" w:cs="Times New Roman"/>
                <w:b w:val="false"/>
                <w:i w:val="false"/>
                <w:caps w:val="false"/>
                <w:smallCaps w:val="false"/>
                <w:color w:val="000000"/>
                <w:spacing w:val="0"/>
                <w:kern w:val="0"/>
                <w:sz w:val="24"/>
                <w:szCs w:val="24"/>
                <w:lang w:val="ru-RU" w:eastAsia="ru-RU" w:bidi="ar-SA"/>
              </w:rPr>
              <w:t>месяцев</w:t>
            </w:r>
            <w:r>
              <w:rPr>
                <w:rFonts w:eastAsia="Calibri" w:cs="Times New Roman"/>
                <w:color w:val="000000"/>
                <w:kern w:val="0"/>
                <w:sz w:val="24"/>
                <w:szCs w:val="24"/>
                <w:lang w:val="ru-RU" w:eastAsia="ru-RU" w:bidi="ar-SA"/>
              </w:rPr>
              <w:t>)</w:t>
            </w:r>
            <w:r>
              <w:rPr>
                <w:rFonts w:eastAsia="Calibri" w:cs="Times New Roman"/>
                <w:color w:val="C9211E"/>
                <w:kern w:val="0"/>
                <w:sz w:val="24"/>
                <w:szCs w:val="24"/>
                <w:lang w:val="ru-RU" w:eastAsia="ru-RU" w:bidi="ar-SA"/>
              </w:rPr>
              <w:t xml:space="preserve"> </w:t>
            </w:r>
            <w:r>
              <w:rPr>
                <w:rFonts w:eastAsia="Calibri" w:cs="Times New Roman"/>
                <w:kern w:val="0"/>
                <w:sz w:val="24"/>
                <w:szCs w:val="24"/>
                <w:lang w:val="ru-RU" w:eastAsia="ru-RU" w:bidi="ar-SA"/>
              </w:rPr>
              <w:t>месяцев с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tc>
      </w:tr>
      <w:tr>
        <w:trPr/>
        <w:tc>
          <w:tcPr>
            <w:tcW w:w="825" w:type="dxa"/>
            <w:tcBorders>
              <w:top w:val="nil"/>
            </w:tcBorders>
            <w:vAlign w:val="center"/>
          </w:tcPr>
          <w:p>
            <w:pPr>
              <w:pStyle w:val="ListParagraph"/>
              <w:widowControl w:val="false"/>
              <w:suppressAutoHyphens w:val="true"/>
              <w:spacing w:before="60" w:after="60"/>
              <w:ind w:left="-117" w:hanging="0"/>
              <w:contextualSpacing/>
              <w:jc w:val="center"/>
              <w:rPr>
                <w:lang w:val="en-US"/>
              </w:rPr>
            </w:pPr>
            <w:r>
              <w:rPr>
                <w:rFonts w:cs="Times New Roman"/>
                <w:b/>
                <w:bCs/>
                <w:kern w:val="0"/>
                <w:lang w:val="ru-RU" w:eastAsia="ru-RU" w:bidi="ar-SA"/>
              </w:rPr>
              <w:t>3</w:t>
            </w:r>
            <w:r>
              <w:rPr>
                <w:rFonts w:cs="Times New Roman"/>
                <w:b/>
                <w:bCs/>
                <w:kern w:val="0"/>
                <w:lang w:val="en-US" w:eastAsia="ru-RU" w:bidi="ar-SA"/>
              </w:rPr>
              <w:t>.</w:t>
            </w:r>
          </w:p>
        </w:tc>
        <w:tc>
          <w:tcPr>
            <w:tcW w:w="9189" w:type="dxa"/>
            <w:gridSpan w:val="2"/>
            <w:tcBorders>
              <w:top w:val="nil"/>
            </w:tcBorders>
            <w:shd w:color="auto" w:fill="auto" w:val="clear"/>
          </w:tcPr>
          <w:p>
            <w:pPr>
              <w:pStyle w:val="Normal"/>
              <w:widowControl w:val="false"/>
              <w:suppressAutoHyphens w:val="true"/>
              <w:spacing w:before="0" w:after="200"/>
              <w:jc w:val="left"/>
              <w:rPr>
                <w:sz w:val="24"/>
                <w:szCs w:val="24"/>
              </w:rPr>
            </w:pPr>
            <w:r>
              <w:rPr>
                <w:rFonts w:eastAsia="Calibri" w:cs="Times New Roman"/>
                <w:b/>
                <w:kern w:val="0"/>
                <w:sz w:val="24"/>
                <w:szCs w:val="24"/>
                <w:lang w:val="ru-RU" w:eastAsia="ru-RU" w:bidi="ar-SA"/>
              </w:rPr>
              <w:t>Требования к комплектации и документам, поставляемым вместе с продукцией</w:t>
            </w:r>
          </w:p>
        </w:tc>
      </w:tr>
      <w:tr>
        <w:trPr/>
        <w:tc>
          <w:tcPr>
            <w:tcW w:w="825"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3.1</w:t>
            </w:r>
          </w:p>
        </w:tc>
        <w:tc>
          <w:tcPr>
            <w:tcW w:w="5115" w:type="dxa"/>
            <w:tcBorders>
              <w:top w:val="nil"/>
            </w:tcBorders>
            <w:shd w:color="auto" w:fill="auto" w:val="clear"/>
            <w:vAlign w:val="center"/>
          </w:tcPr>
          <w:p>
            <w:pPr>
              <w:pStyle w:val="Normal"/>
              <w:widowControl w:val="false"/>
              <w:suppressAutoHyphens w:val="true"/>
              <w:spacing w:before="0" w:after="0"/>
              <w:jc w:val="left"/>
              <w:rPr>
                <w:sz w:val="24"/>
                <w:szCs w:val="24"/>
              </w:rPr>
            </w:pPr>
            <w:r>
              <w:rPr>
                <w:rFonts w:eastAsia="Times New Roman" w:cs="Times New Roman"/>
                <w:kern w:val="0"/>
                <w:sz w:val="24"/>
                <w:szCs w:val="24"/>
                <w:lang w:val="ru-RU" w:eastAsia="ru-RU" w:bidi="ar-SA"/>
              </w:rPr>
              <w:t>Документы, передаваемые вместе с продукцией</w:t>
            </w:r>
          </w:p>
        </w:tc>
        <w:tc>
          <w:tcPr>
            <w:tcW w:w="4074" w:type="dxa"/>
            <w:tcBorders>
              <w:top w:val="nil"/>
            </w:tcBorders>
            <w:shd w:color="auto" w:fill="auto" w:val="clear"/>
          </w:tcPr>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Паспорт; сертификат качества;</w:t>
            </w:r>
          </w:p>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Руководство по эксплуатации и техническому обслуживанию (на русском языке);</w:t>
            </w:r>
          </w:p>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Товарную накладную унифицированной формы ТОРГ-12(УПД) в 2 экз.</w:t>
            </w:r>
          </w:p>
        </w:tc>
      </w:tr>
      <w:tr>
        <w:trPr/>
        <w:tc>
          <w:tcPr>
            <w:tcW w:w="825" w:type="dxa"/>
            <w:tcBorders/>
            <w:vAlign w:val="center"/>
          </w:tcPr>
          <w:p>
            <w:pPr>
              <w:pStyle w:val="Normal"/>
              <w:widowControl w:val="false"/>
              <w:suppressAutoHyphens w:val="true"/>
              <w:spacing w:before="60" w:after="60"/>
              <w:jc w:val="left"/>
              <w:rPr>
                <w:sz w:val="24"/>
                <w:szCs w:val="24"/>
                <w:lang w:val="en-US"/>
              </w:rPr>
            </w:pPr>
            <w:r>
              <w:rPr>
                <w:rFonts w:eastAsia="Times New Roman" w:cs="Times New Roman"/>
                <w:b/>
                <w:bCs/>
                <w:kern w:val="0"/>
                <w:sz w:val="24"/>
                <w:szCs w:val="24"/>
                <w:lang w:val="en-US" w:eastAsia="x-none" w:bidi="ar-SA"/>
              </w:rPr>
              <w:t xml:space="preserve">    </w:t>
            </w:r>
            <w:r>
              <w:rPr>
                <w:rFonts w:eastAsia="Times New Roman" w:cs="Times New Roman"/>
                <w:b/>
                <w:bCs/>
                <w:kern w:val="0"/>
                <w:sz w:val="24"/>
                <w:szCs w:val="24"/>
                <w:lang w:val="ru-RU" w:eastAsia="x-none" w:bidi="ar-SA"/>
              </w:rPr>
              <w:t>4</w:t>
            </w:r>
            <w:r>
              <w:rPr>
                <w:rFonts w:eastAsia="Times New Roman" w:cs="Times New Roman"/>
                <w:b/>
                <w:bCs/>
                <w:kern w:val="0"/>
                <w:sz w:val="24"/>
                <w:szCs w:val="24"/>
                <w:lang w:val="en-US" w:eastAsia="x-none" w:bidi="ar-SA"/>
              </w:rPr>
              <w:t>.</w:t>
            </w:r>
          </w:p>
        </w:tc>
        <w:tc>
          <w:tcPr>
            <w:tcW w:w="9189"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b/>
                <w:bCs/>
                <w:kern w:val="0"/>
                <w:sz w:val="24"/>
                <w:szCs w:val="24"/>
                <w:lang w:val="ru-RU" w:eastAsia="ru-RU" w:bidi="ar-SA"/>
              </w:rPr>
              <w:t>Требования к доставке,  маркировке, упаковке, транспортировке, перемещению, условиям хранения, приемке и испытаниям</w:t>
            </w:r>
          </w:p>
        </w:tc>
      </w:tr>
      <w:tr>
        <w:trPr/>
        <w:tc>
          <w:tcPr>
            <w:tcW w:w="825" w:type="dxa"/>
            <w:tcBorders>
              <w:top w:val="nil"/>
            </w:tcBorders>
            <w:vAlign w:val="center"/>
          </w:tcPr>
          <w:p>
            <w:pPr>
              <w:pStyle w:val="Normal"/>
              <w:widowControl w:val="false"/>
              <w:suppressAutoHyphens w:val="true"/>
              <w:spacing w:before="60" w:after="60"/>
              <w:jc w:val="left"/>
              <w:rPr>
                <w:sz w:val="24"/>
                <w:szCs w:val="24"/>
                <w:lang w:val="en-US"/>
              </w:rPr>
            </w:pPr>
            <w:r>
              <w:rPr>
                <w:sz w:val="24"/>
                <w:szCs w:val="24"/>
                <w:lang w:val="en-US"/>
              </w:rPr>
              <w:t xml:space="preserve">  </w:t>
            </w:r>
            <w:r>
              <w:rPr>
                <w:sz w:val="24"/>
                <w:szCs w:val="24"/>
                <w:lang w:val="en-US"/>
              </w:rPr>
              <w:t>4.1</w:t>
            </w:r>
          </w:p>
        </w:tc>
        <w:tc>
          <w:tcPr>
            <w:tcW w:w="9189" w:type="dxa"/>
            <w:gridSpan w:val="2"/>
            <w:tcBorders>
              <w:top w:val="nil"/>
            </w:tcBorders>
            <w:vAlign w:val="center"/>
          </w:tcPr>
          <w:p>
            <w:pPr>
              <w:pStyle w:val="Normal"/>
              <w:widowControl w:val="false"/>
              <w:ind w:left="0" w:right="0" w:hanging="0"/>
              <w:rPr>
                <w:rFonts w:ascii="Times New Roman" w:hAnsi="Times New Roman" w:cs="Times New Roman"/>
                <w:b w:val="false"/>
                <w:i w:val="false"/>
                <w:i w:val="false"/>
                <w:caps w:val="false"/>
                <w:smallCaps w:val="false"/>
                <w:color w:val="000000"/>
                <w:spacing w:val="0"/>
                <w:sz w:val="24"/>
                <w:szCs w:val="24"/>
              </w:rPr>
            </w:pPr>
            <w:r>
              <w:rPr>
                <w:rFonts w:cs="Times New Roman"/>
                <w:b w:val="false"/>
                <w:i w:val="false"/>
                <w:caps w:val="false"/>
                <w:smallCaps w:val="false"/>
                <w:color w:val="000000"/>
                <w:spacing w:val="0"/>
                <w:sz w:val="24"/>
                <w:szCs w:val="24"/>
              </w:rPr>
              <w:t>Маркировка товаров (деталей, узлов) должна быть:</w:t>
            </w:r>
          </w:p>
          <w:p>
            <w:pPr>
              <w:pStyle w:val="Normal"/>
              <w:widowControl w:val="false"/>
              <w:ind w:left="0" w:right="0" w:hanging="0"/>
              <w:rPr/>
            </w:pP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1.1. Четкой и разборчивой, выделяться или размещаться на фоне, контрастном по отношению к цвету упаковки (изделия);</w:t>
            </w:r>
          </w:p>
          <w:p>
            <w:pPr>
              <w:pStyle w:val="Normal"/>
              <w:widowControl w:val="false"/>
              <w:ind w:left="0" w:right="0" w:hanging="0"/>
              <w:rPr/>
            </w:pP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1.2. Упаковка должна быть устойчивой к воздействию климатических факторов;</w:t>
            </w:r>
          </w:p>
          <w:p>
            <w:pPr>
              <w:pStyle w:val="Normal"/>
              <w:widowControl w:val="false"/>
              <w:ind w:left="0" w:right="0" w:hanging="0"/>
              <w:rPr/>
            </w:pP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2C2D2E"/>
                <w:spacing w:val="0"/>
                <w:sz w:val="24"/>
                <w:szCs w:val="24"/>
              </w:rPr>
              <w:t xml:space="preserve"> </w:t>
            </w:r>
            <w:r>
              <w:rPr>
                <w:rFonts w:cs="Times New Roman"/>
                <w:b w:val="false"/>
                <w:i w:val="false"/>
                <w:caps w:val="false"/>
                <w:smallCaps w:val="false"/>
                <w:color w:val="000000"/>
                <w:spacing w:val="0"/>
                <w:sz w:val="24"/>
                <w:szCs w:val="24"/>
              </w:rPr>
              <w:t>1.3. Маркировка на упаковке должна содержать следующую информацию:</w:t>
            </w:r>
          </w:p>
          <w:p>
            <w:pPr>
              <w:pStyle w:val="Normal"/>
              <w:widowControl w:val="false"/>
              <w:ind w:left="0" w:right="0" w:hanging="0"/>
              <w:rPr/>
            </w:pP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1.3.1. наименование товара (детали, узла);</w:t>
            </w:r>
          </w:p>
          <w:p>
            <w:pPr>
              <w:pStyle w:val="Normal"/>
              <w:widowControl w:val="false"/>
              <w:ind w:left="0" w:right="0" w:hanging="0"/>
              <w:rPr/>
            </w:pP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1.3.2. наименование страны, производителя, его адрес;</w:t>
            </w:r>
          </w:p>
          <w:p>
            <w:pPr>
              <w:pStyle w:val="Normal"/>
              <w:widowControl w:val="false"/>
              <w:ind w:left="0" w:right="0" w:hanging="0"/>
              <w:rPr/>
            </w:pP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1.3.3. назначение (область использования);</w:t>
            </w:r>
          </w:p>
          <w:p>
            <w:pPr>
              <w:pStyle w:val="Normal"/>
              <w:widowControl w:val="false"/>
              <w:ind w:left="0" w:right="0" w:hanging="0"/>
              <w:rPr/>
            </w:pP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1.3.4. основные свойства и характеристики;</w:t>
            </w:r>
          </w:p>
          <w:p>
            <w:pPr>
              <w:pStyle w:val="Normal"/>
              <w:widowControl w:val="false"/>
              <w:ind w:left="0" w:right="0" w:hanging="0"/>
              <w:rPr/>
            </w:pP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caps w:val="false"/>
                <w:smallCaps w:val="false"/>
                <w:color w:val="000000"/>
                <w:spacing w:val="0"/>
                <w:sz w:val="24"/>
                <w:szCs w:val="24"/>
              </w:rPr>
              <w:t> </w:t>
            </w:r>
            <w:r>
              <w:rPr>
                <w:rFonts w:eastAsia="Times New Roman" w:cs="Times New Roman"/>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1.3.5. правила и условия эффективного и безопасного использования;</w:t>
            </w:r>
          </w:p>
          <w:p>
            <w:pPr>
              <w:pStyle w:val="Normal"/>
              <w:widowControl w:val="false"/>
              <w:ind w:left="0" w:right="0" w:hanging="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1.3.6. техническая и эксплуатационная документация должна быть упакована в пакет из водонепроницаемый пленки.</w:t>
            </w:r>
          </w:p>
          <w:p>
            <w:pPr>
              <w:pStyle w:val="Normal"/>
              <w:widowControl w:val="false"/>
              <w:ind w:left="0" w:right="0" w:hanging="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1.3.6. клеймо ОТК</w:t>
            </w:r>
          </w:p>
          <w:p>
            <w:pPr>
              <w:pStyle w:val="Normal"/>
              <w:widowControl w:val="false"/>
              <w:ind w:left="0" w:right="0" w:hanging="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1.3.7. маркировка должна быть нанесена методом глубокого фототравления и ударным способом по ГОСТ 14192. </w:t>
            </w:r>
          </w:p>
          <w:p>
            <w:pPr>
              <w:pStyle w:val="Normal"/>
              <w:widowControl w:val="false"/>
              <w:ind w:left="0" w:right="0" w:hanging="0"/>
              <w:rPr/>
            </w:pPr>
            <w:r>
              <w:rPr>
                <w:rFonts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1.4. Упаковка должна быть достаточной для обеспечения безопасного обращения с поставляемым оборудованием.</w:t>
            </w:r>
          </w:p>
          <w:p>
            <w:pPr>
              <w:pStyle w:val="Normal"/>
              <w:widowControl w:val="false"/>
              <w:ind w:left="0" w:right="0" w:hanging="0"/>
              <w:rPr/>
            </w:pPr>
            <w:r>
              <w:rPr>
                <w:rFonts w:eastAsia="Times New Roman"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1.5. </w:t>
            </w:r>
            <w:r>
              <w:rPr>
                <w:rFonts w:cs="Times New Roman"/>
                <w:b w:val="false"/>
                <w:i w:val="false"/>
                <w:caps w:val="false"/>
                <w:smallCaps w:val="false"/>
                <w:color w:val="000000"/>
                <w:spacing w:val="0"/>
                <w:sz w:val="24"/>
                <w:szCs w:val="24"/>
                <w:u w:val="none"/>
              </w:rPr>
              <w:t>Временную противокоррозионную защиту изделий выполнить согласно ГОСТ 9.014-78.</w:t>
            </w:r>
          </w:p>
          <w:p>
            <w:pPr>
              <w:pStyle w:val="Normal"/>
              <w:widowControl w:val="false"/>
              <w:ind w:left="0" w:right="0" w:hanging="0"/>
              <w:rPr/>
            </w:pPr>
            <w:r>
              <w:rPr>
                <w:rFonts w:eastAsia="Times New Roman"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1.6.  Транспортирование оборудования следует производить в крытых вагонах, закрытых автомашинах, воздушным, речным транспортом. (</w:t>
            </w:r>
            <w:r>
              <w:rPr>
                <w:rFonts w:cs="Times New Roman"/>
                <w:b w:val="false"/>
                <w:i w:val="false"/>
                <w:caps w:val="false"/>
                <w:smallCaps w:val="false"/>
                <w:color w:val="000000"/>
                <w:spacing w:val="0"/>
                <w:sz w:val="24"/>
                <w:szCs w:val="24"/>
                <w:u w:val="none"/>
              </w:rPr>
              <w:t>Условия транспортирования изделия по ГОСТ 23216-78)</w:t>
            </w:r>
          </w:p>
          <w:p>
            <w:pPr>
              <w:pStyle w:val="Normal"/>
              <w:widowControl w:val="false"/>
              <w:ind w:left="0" w:right="0" w:hanging="0"/>
              <w:rPr/>
            </w:pPr>
            <w:r>
              <w:rPr>
                <w:rFonts w:eastAsia="Times New Roman" w:cs="Times New Roman"/>
                <w:b w:val="false"/>
                <w:i w:val="false"/>
                <w:caps w:val="false"/>
                <w:smallCaps w:val="false"/>
                <w:color w:val="000000"/>
                <w:spacing w:val="0"/>
                <w:sz w:val="24"/>
                <w:szCs w:val="24"/>
                <w:u w:val="none"/>
              </w:rPr>
              <w:t xml:space="preserve">   </w:t>
            </w:r>
            <w:r>
              <w:rPr>
                <w:rFonts w:cs="Times New Roman"/>
                <w:b w:val="false"/>
                <w:i w:val="false"/>
                <w:caps w:val="false"/>
                <w:smallCaps w:val="false"/>
                <w:color w:val="000000"/>
                <w:spacing w:val="0"/>
                <w:sz w:val="24"/>
                <w:szCs w:val="24"/>
                <w:u w:val="none"/>
              </w:rPr>
              <w:t>1.7. Изделия транспортируются на склад заказчика в транспортной упаковке предприятия-изготовителя выполненной с учетом особенностей изделия по (ГОСТ 23216-78, ГОСТ 15150-69)</w:t>
            </w:r>
          </w:p>
          <w:p>
            <w:pPr>
              <w:pStyle w:val="Normal"/>
              <w:widowControl w:val="false"/>
              <w:ind w:left="0" w:right="0" w:hanging="0"/>
              <w:rPr/>
            </w:pPr>
            <w:r>
              <w:rPr>
                <w:rFonts w:eastAsia="Times New Roman"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 xml:space="preserve">1.8.  Требования к сроку хранения в упаковке изготовителя </w:t>
            </w:r>
          </w:p>
          <w:p>
            <w:pPr>
              <w:pStyle w:val="Normal"/>
              <w:widowControl w:val="false"/>
              <w:ind w:left="0" w:right="0" w:hanging="0"/>
              <w:rPr/>
            </w:pPr>
            <w:r>
              <w:rPr>
                <w:rFonts w:eastAsia="Times New Roman" w:cs="Times New Roman"/>
                <w:b w:val="false"/>
                <w:i w:val="false"/>
                <w:caps w:val="false"/>
                <w:smallCaps w:val="false"/>
                <w:color w:val="000000"/>
                <w:spacing w:val="0"/>
                <w:sz w:val="24"/>
                <w:szCs w:val="24"/>
              </w:rPr>
              <w:t xml:space="preserve">  </w:t>
            </w:r>
            <w:r>
              <w:rPr>
                <w:rFonts w:cs="Times New Roman"/>
                <w:b w:val="false"/>
                <w:i w:val="false"/>
                <w:caps w:val="false"/>
                <w:smallCaps w:val="false"/>
                <w:color w:val="000000"/>
                <w:spacing w:val="0"/>
                <w:sz w:val="24"/>
                <w:szCs w:val="24"/>
              </w:rPr>
              <w:t>Не менее 1 года.</w:t>
            </w:r>
          </w:p>
        </w:tc>
      </w:tr>
      <w:tr>
        <w:trPr/>
        <w:tc>
          <w:tcPr>
            <w:tcW w:w="825" w:type="dxa"/>
            <w:tcBorders/>
            <w:vAlign w:val="center"/>
          </w:tcPr>
          <w:p>
            <w:pPr>
              <w:pStyle w:val="ListParagraph"/>
              <w:widowControl w:val="false"/>
              <w:suppressAutoHyphens w:val="true"/>
              <w:spacing w:before="60" w:after="60"/>
              <w:ind w:left="-117" w:hanging="0"/>
              <w:contextualSpacing/>
              <w:jc w:val="center"/>
              <w:rPr/>
            </w:pPr>
            <w:r>
              <w:rPr>
                <w:rFonts w:cs="Times New Roman"/>
                <w:kern w:val="0"/>
                <w:lang w:val="ru-RU" w:eastAsia="x-none" w:bidi="ar-SA"/>
              </w:rPr>
              <w:t>4.2</w:t>
            </w:r>
          </w:p>
        </w:tc>
        <w:tc>
          <w:tcPr>
            <w:tcW w:w="5115" w:type="dxa"/>
            <w:tcBorders/>
            <w:vAlign w:val="center"/>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Место поставки</w:t>
            </w:r>
          </w:p>
        </w:tc>
        <w:tc>
          <w:tcPr>
            <w:tcW w:w="4074"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404130, Волгоградская обл., г.Волжский, пр-т Ленина 1А территория филиала ПАО «РусГидро» - Волжская ГЭС».</w:t>
            </w:r>
          </w:p>
        </w:tc>
      </w:tr>
      <w:tr>
        <w:trPr/>
        <w:tc>
          <w:tcPr>
            <w:tcW w:w="825" w:type="dxa"/>
            <w:tcBorders/>
            <w:vAlign w:val="center"/>
          </w:tcPr>
          <w:p>
            <w:pPr>
              <w:pStyle w:val="ListParagraph"/>
              <w:widowControl w:val="false"/>
              <w:suppressAutoHyphens w:val="true"/>
              <w:spacing w:before="60" w:after="60"/>
              <w:ind w:left="-117" w:hanging="0"/>
              <w:contextualSpacing/>
              <w:jc w:val="center"/>
              <w:rPr/>
            </w:pPr>
            <w:r>
              <w:rPr>
                <w:rFonts w:cs="Times New Roman"/>
                <w:kern w:val="0"/>
                <w:lang w:val="ru-RU" w:eastAsia="x-none" w:bidi="ar-SA"/>
              </w:rPr>
              <w:t xml:space="preserve"> </w:t>
            </w:r>
            <w:r>
              <w:rPr>
                <w:rFonts w:cs="Times New Roman"/>
                <w:kern w:val="0"/>
                <w:lang w:val="ru-RU" w:eastAsia="x-none" w:bidi="ar-SA"/>
              </w:rPr>
              <w:t>4.3</w:t>
            </w:r>
          </w:p>
        </w:tc>
        <w:tc>
          <w:tcPr>
            <w:tcW w:w="5115"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Приемка продукции</w:t>
            </w:r>
          </w:p>
        </w:tc>
        <w:tc>
          <w:tcPr>
            <w:tcW w:w="4074"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Только в рабочие дни с 9-00 до 11-00 и с 13-00 до 16-00</w:t>
            </w:r>
          </w:p>
        </w:tc>
      </w:tr>
      <w:tr>
        <w:trPr/>
        <w:tc>
          <w:tcPr>
            <w:tcW w:w="825" w:type="dxa"/>
            <w:tcBorders/>
            <w:vAlign w:val="center"/>
          </w:tcPr>
          <w:p>
            <w:pPr>
              <w:pStyle w:val="Normal"/>
              <w:widowControl w:val="false"/>
              <w:suppressAutoHyphens w:val="true"/>
              <w:spacing w:before="60" w:after="60"/>
              <w:jc w:val="center"/>
              <w:rPr/>
            </w:pPr>
            <w:r>
              <w:rPr>
                <w:rFonts w:eastAsia="Times New Roman" w:cs="Times New Roman"/>
                <w:kern w:val="0"/>
                <w:sz w:val="24"/>
                <w:szCs w:val="24"/>
                <w:lang w:val="ru-RU" w:eastAsia="ru-RU" w:bidi="ar-SA"/>
              </w:rPr>
              <w:t>4.4</w:t>
            </w:r>
          </w:p>
        </w:tc>
        <w:tc>
          <w:tcPr>
            <w:tcW w:w="9189" w:type="dxa"/>
            <w:gridSpan w:val="2"/>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w:t>
            </w:r>
          </w:p>
        </w:tc>
      </w:tr>
      <w:tr>
        <w:trPr/>
        <w:tc>
          <w:tcPr>
            <w:tcW w:w="825" w:type="dxa"/>
            <w:tcBorders/>
            <w:vAlign w:val="center"/>
          </w:tcPr>
          <w:p>
            <w:pPr>
              <w:pStyle w:val="Normal"/>
              <w:widowControl w:val="false"/>
              <w:suppressAutoHyphens w:val="true"/>
              <w:spacing w:before="60" w:after="60"/>
              <w:jc w:val="left"/>
              <w:rPr>
                <w:sz w:val="24"/>
                <w:szCs w:val="24"/>
                <w:lang w:val="en-US"/>
              </w:rPr>
            </w:pPr>
            <w:r>
              <w:rPr>
                <w:rFonts w:eastAsia="Times New Roman" w:cs="Times New Roman"/>
                <w:b/>
                <w:bCs/>
                <w:kern w:val="0"/>
                <w:sz w:val="24"/>
                <w:szCs w:val="24"/>
                <w:lang w:val="en-US" w:eastAsia="x-none" w:bidi="ar-SA"/>
              </w:rPr>
              <w:t xml:space="preserve">    </w:t>
            </w:r>
            <w:r>
              <w:rPr>
                <w:rFonts w:eastAsia="Times New Roman" w:cs="Times New Roman"/>
                <w:b/>
                <w:bCs/>
                <w:kern w:val="0"/>
                <w:sz w:val="24"/>
                <w:szCs w:val="24"/>
                <w:lang w:val="ru-RU" w:eastAsia="x-none" w:bidi="ar-SA"/>
              </w:rPr>
              <w:t>5</w:t>
            </w:r>
            <w:r>
              <w:rPr>
                <w:rFonts w:eastAsia="Times New Roman" w:cs="Times New Roman"/>
                <w:b/>
                <w:bCs/>
                <w:kern w:val="0"/>
                <w:sz w:val="24"/>
                <w:szCs w:val="24"/>
                <w:lang w:val="en-US" w:eastAsia="x-none" w:bidi="ar-SA"/>
              </w:rPr>
              <w:t>.</w:t>
            </w:r>
          </w:p>
        </w:tc>
        <w:tc>
          <w:tcPr>
            <w:tcW w:w="9189" w:type="dxa"/>
            <w:gridSpan w:val="2"/>
            <w:tcBorders/>
            <w:vAlign w:val="center"/>
          </w:tcPr>
          <w:p>
            <w:pPr>
              <w:pStyle w:val="Normal"/>
              <w:widowControl w:val="false"/>
              <w:suppressAutoHyphens w:val="true"/>
              <w:spacing w:before="60" w:after="60"/>
              <w:jc w:val="left"/>
              <w:rPr>
                <w:sz w:val="24"/>
                <w:szCs w:val="24"/>
              </w:rPr>
            </w:pPr>
            <w:r>
              <w:rPr>
                <w:rFonts w:eastAsia="Times New Roman" w:cs="Times New Roman"/>
                <w:b/>
                <w:kern w:val="0"/>
                <w:sz w:val="24"/>
                <w:szCs w:val="24"/>
                <w:lang w:val="ru-RU" w:eastAsia="ru-RU" w:bidi="ar-SA"/>
              </w:rPr>
              <w:t>Прочие (дополнительные) требования к продукции</w:t>
            </w:r>
          </w:p>
        </w:tc>
      </w:tr>
      <w:tr>
        <w:trPr/>
        <w:tc>
          <w:tcPr>
            <w:tcW w:w="825"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5.1</w:t>
            </w:r>
          </w:p>
        </w:tc>
        <w:tc>
          <w:tcPr>
            <w:tcW w:w="9189" w:type="dxa"/>
            <w:gridSpan w:val="2"/>
            <w:tcBorders/>
            <w:vAlign w:val="center"/>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Продукция должна соответствовать требованиям: Технического регламента Таможенного союза «О безопасности машин и оборудования» ТР ТС 010/2011.</w:t>
            </w:r>
          </w:p>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 xml:space="preserve">Продукция должна поставляться в пригодной для транспортировки упаковке, которая может защитить его от воздействия внешних условий, таких как вода, пыль и т.п. Упаковка должна обеспечивать полную сохранность продукции на весь срок его транспортировки с учетом перегрузок и длительного хранения. </w:t>
            </w:r>
            <w:r>
              <w:rPr>
                <w:rFonts w:eastAsia="Times New Roman" w:cs="Times New Roman"/>
                <w:b w:val="false"/>
                <w:i w:val="false"/>
                <w:caps w:val="false"/>
                <w:smallCaps w:val="false"/>
                <w:color w:val="000000"/>
                <w:spacing w:val="0"/>
                <w:kern w:val="0"/>
                <w:sz w:val="24"/>
                <w:szCs w:val="24"/>
                <w:lang w:val="ru-RU" w:eastAsia="ru-RU" w:bidi="ar-SA"/>
              </w:rPr>
              <w:t>ГОСТ 9.014-78: </w:t>
            </w:r>
            <w:r>
              <w:rPr>
                <w:rStyle w:val="Strong"/>
                <w:rFonts w:eastAsia="Times New Roman" w:cs="Times New Roman"/>
                <w:b w:val="false"/>
                <w:i w:val="false"/>
                <w:caps w:val="false"/>
                <w:smallCaps w:val="false"/>
                <w:color w:val="000000"/>
                <w:spacing w:val="0"/>
                <w:kern w:val="0"/>
                <w:sz w:val="24"/>
                <w:szCs w:val="24"/>
                <w:lang w:val="ru-RU" w:eastAsia="ru-RU" w:bidi="ar-SA"/>
              </w:rPr>
              <w:t xml:space="preserve">«Единая система защиты от коррозии и старения. Временная противокоррозионная защита изделий. Общие требования».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 ГОСТ 10877-76 «Масло консервационное К-17. Технические условия». </w:t>
            </w:r>
            <w:r>
              <w:rPr>
                <w:rStyle w:val="Strong"/>
                <w:rFonts w:eastAsia="Times New Roman" w:cs="Times New Roman"/>
                <w:b w:val="false"/>
                <w:i w:val="false"/>
                <w:caps w:val="false"/>
                <w:smallCaps w:val="false"/>
                <w:color w:val="333333"/>
                <w:spacing w:val="0"/>
                <w:kern w:val="0"/>
                <w:sz w:val="24"/>
                <w:szCs w:val="24"/>
                <w:lang w:val="ru-RU" w:eastAsia="ru-RU" w:bidi="ar-SA"/>
              </w:rPr>
              <w:t> </w:t>
            </w:r>
            <w:r>
              <w:rPr>
                <w:rStyle w:val="Strong"/>
                <w:rFonts w:eastAsia="Times New Roman" w:cs="Times New Roman"/>
                <w:b w:val="false"/>
                <w:i w:val="false"/>
                <w:caps w:val="false"/>
                <w:smallCaps w:val="false"/>
                <w:color w:val="000000"/>
                <w:spacing w:val="0"/>
                <w:kern w:val="0"/>
                <w:sz w:val="24"/>
                <w:szCs w:val="24"/>
                <w:lang w:val="ru-RU" w:eastAsia="ru-RU" w:bidi="ar-SA"/>
              </w:rPr>
              <w:t>ГОСТ 14192-96 «Маркировка грузов».</w:t>
            </w:r>
          </w:p>
        </w:tc>
      </w:tr>
    </w:tbl>
    <w:p>
      <w:pPr>
        <w:pStyle w:val="Heading1"/>
        <w:spacing w:before="120" w:after="60"/>
        <w:ind w:left="1224" w:hanging="0"/>
        <w:rPr/>
      </w:pPr>
      <w:r>
        <w:rPr/>
      </w:r>
    </w:p>
    <w:sectPr>
      <w:headerReference w:type="default" r:id="rId3"/>
      <w:headerReference w:type="first" r:id="rId4"/>
      <w:type w:val="nextPage"/>
      <w:pgSz w:w="11906" w:h="16838"/>
      <w:pgMar w:left="1134" w:right="851" w:gutter="0" w:header="680" w:top="1134" w:footer="0" w:bottom="992"/>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5</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4">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99"/>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zh-TW"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uiPriority="99"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2166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1"/>
    <w:qFormat/>
    <w:rsid w:val="00353a27"/>
    <w:pPr>
      <w:outlineLvl w:val="0"/>
    </w:pPr>
    <w:rPr>
      <w:sz w:val="28"/>
      <w:szCs w:val="28"/>
    </w:rPr>
  </w:style>
  <w:style w:type="paragraph" w:styleId="Heading2">
    <w:name w:val="Heading 2"/>
    <w:basedOn w:val="Heading4"/>
    <w:next w:val="Normal"/>
    <w:link w:val="2"/>
    <w:qFormat/>
    <w:rsid w:val="00ea61a8"/>
    <w:pPr>
      <w:outlineLvl w:val="1"/>
    </w:pPr>
    <w:rPr/>
  </w:style>
  <w:style w:type="paragraph" w:styleId="Heading3">
    <w:name w:val="Heading 3"/>
    <w:basedOn w:val="Normal"/>
    <w:next w:val="Normal"/>
    <w:link w:val="3"/>
    <w:autoRedefine/>
    <w:qFormat/>
    <w:rsid w:val="00035e96"/>
    <w:pPr>
      <w:keepNext w:val="true"/>
      <w:tabs>
        <w:tab w:val="clear" w:pos="708"/>
        <w:tab w:val="left" w:pos="0" w:leader="none"/>
      </w:tabs>
      <w:spacing w:before="120" w:after="60"/>
      <w:ind w:left="1224" w:hanging="504"/>
      <w:outlineLvl w:val="2"/>
    </w:pPr>
    <w:rPr>
      <w:rFonts w:eastAsia="Calibri"/>
      <w:b/>
      <w:sz w:val="24"/>
      <w:szCs w:val="24"/>
      <w:lang w:val="x-none" w:eastAsia="x-none"/>
    </w:rPr>
  </w:style>
  <w:style w:type="paragraph" w:styleId="Heading4">
    <w:name w:val="Heading 4"/>
    <w:basedOn w:val="Heading3"/>
    <w:next w:val="Normal"/>
    <w:link w:val="4"/>
    <w:qFormat/>
    <w:rsid w:val="006629c9"/>
    <w:pPr>
      <w:outlineLvl w:val="3"/>
    </w:pPr>
    <w:rPr>
      <w:bCs/>
    </w:rPr>
  </w:style>
  <w:style w:type="paragraph" w:styleId="Heading5">
    <w:name w:val="Heading 5"/>
    <w:basedOn w:val="Normal"/>
    <w:next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next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d561d9"/>
    <w:rPr>
      <w:vertAlign w:val="superscript"/>
    </w:rPr>
  </w:style>
  <w:style w:type="character" w:styleId="Pagenumber">
    <w:name w:val="page number"/>
    <w:basedOn w:val="DefaultParagraphFont"/>
    <w:qFormat/>
    <w:rsid w:val="006c2f3f"/>
    <w:rPr/>
  </w:style>
  <w:style w:type="character" w:styleId="1" w:customStyle="1">
    <w:name w:val="Гиперссылка1"/>
    <w:uiPriority w:val="99"/>
    <w:qFormat/>
    <w:rsid w:val="006c2f3f"/>
    <w:rPr>
      <w:color w:val="0000FF"/>
      <w:u w:val="single"/>
    </w:rPr>
  </w:style>
  <w:style w:type="character" w:styleId="Annotationreference">
    <w:name w:val="annotation reference"/>
    <w:uiPriority w:val="99"/>
    <w:semiHidden/>
    <w:qFormat/>
    <w:rsid w:val="00b714b0"/>
    <w:rPr>
      <w:sz w:val="16"/>
      <w:szCs w:val="16"/>
    </w:rPr>
  </w:style>
  <w:style w:type="character" w:styleId="Strong1">
    <w:name w:val="Strong1"/>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1" w:customStyle="1">
    <w:name w:val="Заголовок 1 Знак"/>
    <w:qFormat/>
    <w:rsid w:val="00353a27"/>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035e96"/>
    <w:rPr>
      <w:rFonts w:eastAsia="Calibri"/>
      <w:b/>
      <w:sz w:val="24"/>
      <w:szCs w:val="24"/>
      <w:lang w:val="x-none"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6"/>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link w:val="Quote"/>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link w:val="IntenseQuote"/>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link w:val="E-mailSignature"/>
    <w:uiPriority w:val="99"/>
    <w:qFormat/>
    <w:rsid w:val="00d22f6d"/>
    <w:rPr>
      <w:rFonts w:eastAsia="Calibri"/>
      <w:sz w:val="24"/>
      <w:szCs w:val="24"/>
    </w:rPr>
  </w:style>
  <w:style w:type="character" w:styleId="12" w:customStyle="1">
    <w:name w:val="Подпункт Знак1"/>
    <w:link w:val="Style21"/>
    <w:qFormat/>
    <w:locked/>
    <w:rsid w:val="00d22f6d"/>
    <w:rPr>
      <w:sz w:val="28"/>
    </w:rPr>
  </w:style>
  <w:style w:type="character" w:styleId="Style5" w:customStyle="1">
    <w:name w:val="Текст сноски Знак"/>
    <w:uiPriority w:val="99"/>
    <w:qFormat/>
    <w:rsid w:val="00d22f6d"/>
    <w:rPr/>
  </w:style>
  <w:style w:type="character" w:styleId="Style6" w:customStyle="1">
    <w:name w:val="Основной текст Знак"/>
    <w:qFormat/>
    <w:rsid w:val="004459a5"/>
    <w:rPr>
      <w:sz w:val="28"/>
      <w:szCs w:val="28"/>
    </w:rPr>
  </w:style>
  <w:style w:type="character" w:styleId="Blk" w:customStyle="1">
    <w:name w:val="blk"/>
    <w:qFormat/>
    <w:rsid w:val="00431ace"/>
    <w:rPr/>
  </w:style>
  <w:style w:type="character" w:styleId="Style7" w:customStyle="1">
    <w:name w:val="Абзац списка Знак"/>
    <w:link w:val="ListParagraph"/>
    <w:uiPriority w:val="34"/>
    <w:qFormat/>
    <w:locked/>
    <w:rsid w:val="00310eb4"/>
    <w:rPr>
      <w:rFonts w:eastAsia="Calibri"/>
      <w:sz w:val="24"/>
      <w:szCs w:val="24"/>
    </w:rPr>
  </w:style>
  <w:style w:type="character" w:styleId="Style8" w:customStyle="1">
    <w:name w:val="комментарий"/>
    <w:qFormat/>
    <w:rsid w:val="0025139e"/>
    <w:rPr>
      <w:b/>
      <w:i/>
      <w:shd w:fill="FFFF99" w:val="clear"/>
    </w:rPr>
  </w:style>
  <w:style w:type="character" w:styleId="Style9" w:customStyle="1">
    <w:name w:val="Подподпункт Знак"/>
    <w:link w:val="Style29"/>
    <w:qFormat/>
    <w:locked/>
    <w:rsid w:val="0025139e"/>
    <w:rPr>
      <w:sz w:val="26"/>
      <w:szCs w:val="26"/>
    </w:rPr>
  </w:style>
  <w:style w:type="character" w:styleId="31" w:customStyle="1">
    <w:name w:val="УРОВЕНЬ_Абзац_тип3 Знак"/>
    <w:link w:val="36"/>
    <w:qFormat/>
    <w:rsid w:val="00b56f46"/>
    <w:rPr>
      <w:rFonts w:eastAsia="Calibri"/>
      <w:sz w:val="26"/>
      <w:szCs w:val="28"/>
      <w:lang w:eastAsia="en-US"/>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link w:val="Annotationtext"/>
    <w:semiHidden/>
    <w:qFormat/>
    <w:rsid w:val="00dc0f7d"/>
    <w:rPr/>
  </w:style>
  <w:style w:type="character" w:styleId="Style12" w:customStyle="1">
    <w:name w:val="Текст концевой сноски Знак"/>
    <w:basedOn w:val="DefaultParagraphFont"/>
    <w:qFormat/>
    <w:rsid w:val="003879d4"/>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qFormat/>
    <w:rsid w:val="003879d4"/>
    <w:rPr>
      <w:vertAlign w:val="superscript"/>
    </w:rPr>
  </w:style>
  <w:style w:type="character" w:styleId="22" w:customStyle="1">
    <w:name w:val="Пункт2 Знак"/>
    <w:link w:val="24"/>
    <w:qFormat/>
    <w:rsid w:val="00de52bc"/>
    <w:rPr>
      <w:b/>
      <w:sz w:val="28"/>
    </w:rPr>
  </w:style>
  <w:style w:type="character" w:styleId="13" w:customStyle="1">
    <w:name w:val="УРОВЕНЬ_1. Знак"/>
    <w:link w:val="110"/>
    <w:qFormat/>
    <w:rsid w:val="004a17ae"/>
    <w:rPr>
      <w:rFonts w:eastAsia="Calibri"/>
      <w:caps/>
      <w:sz w:val="28"/>
      <w:szCs w:val="28"/>
      <w:lang w:eastAsia="en-US"/>
    </w:rPr>
  </w:style>
  <w:style w:type="character" w:styleId="14" w:customStyle="1">
    <w:name w:val="Неразрешенное упоминание1"/>
    <w:basedOn w:val="DefaultParagraphFont"/>
    <w:uiPriority w:val="99"/>
    <w:semiHidden/>
    <w:unhideWhenUsed/>
    <w:qFormat/>
    <w:rsid w:val="00c36f30"/>
    <w:rPr>
      <w:color w:val="605E5C"/>
      <w:shd w:fill="E1DFDD" w:val="clear"/>
    </w:rPr>
  </w:style>
  <w:style w:type="character" w:styleId="32" w:customStyle="1">
    <w:name w:val="Основной текст с отступом 3 Знак"/>
    <w:link w:val="BodyTextIndent3"/>
    <w:qFormat/>
    <w:rsid w:val="00c36f30"/>
    <w:rPr>
      <w:sz w:val="16"/>
      <w:szCs w:val="16"/>
    </w:rPr>
  </w:style>
  <w:style w:type="character" w:styleId="Style14" w:customStyle="1">
    <w:name w:val="Ссылка указателя"/>
    <w:qFormat/>
    <w:rPr/>
  </w:style>
  <w:style w:type="character" w:styleId="Hyperlink">
    <w:name w:val="Hyperlink"/>
    <w:basedOn w:val="DefaultParagraphFont"/>
    <w:uiPriority w:val="99"/>
    <w:unhideWhenUsed/>
    <w:rsid w:val="0087245f"/>
    <w:rPr>
      <w:color w:val="0563C1" w:themeColor="hyperlink"/>
      <w:u w:val="single"/>
    </w:rPr>
  </w:style>
  <w:style w:type="character" w:styleId="Strong">
    <w:name w:val="Strong"/>
    <w:qFormat/>
    <w:rPr>
      <w:b/>
      <w:bCs/>
    </w:rPr>
  </w:style>
  <w:style w:type="paragraph" w:styleId="Style15">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6"/>
    <w:rsid w:val="0076353a"/>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6">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Caption11" w:customStyle="1">
    <w:name w:val="caption11"/>
    <w:basedOn w:val="Normal"/>
    <w:next w:val="Normal"/>
    <w:uiPriority w:val="35"/>
    <w:qFormat/>
    <w:rsid w:val="00d22f6d"/>
    <w:pPr/>
    <w:rPr>
      <w:rFonts w:eastAsia="Calibri"/>
      <w:b/>
      <w:bCs/>
      <w:color w:val="4F81BD"/>
      <w:sz w:val="18"/>
      <w:szCs w:val="18"/>
    </w:rPr>
  </w:style>
  <w:style w:type="paragraph" w:styleId="Indexheading11" w:customStyle="1">
    <w:name w:val="index heading11"/>
    <w:basedOn w:val="Title"/>
    <w:qFormat/>
    <w:pPr/>
    <w:rPr/>
  </w:style>
  <w:style w:type="paragraph" w:styleId="Style17" w:customStyle="1">
    <w:name w:val="Название раздела инструкции"/>
    <w:basedOn w:val="Normal"/>
    <w:autoRedefine/>
    <w:qFormat/>
    <w:rsid w:val="00275328"/>
    <w:pPr>
      <w:jc w:val="center"/>
    </w:pPr>
    <w:rPr>
      <w:b/>
    </w:rPr>
  </w:style>
  <w:style w:type="paragraph" w:styleId="Style18" w:customStyle="1">
    <w:name w:val="Раздел положения"/>
    <w:basedOn w:val="Normal"/>
    <w:autoRedefine/>
    <w:qFormat/>
    <w:rsid w:val="007475ee"/>
    <w:pPr>
      <w:numPr>
        <w:ilvl w:val="0"/>
        <w:numId w:val="1"/>
      </w:numPr>
      <w:spacing w:before="80" w:after="80"/>
      <w:jc w:val="center"/>
    </w:pPr>
    <w:rPr>
      <w:b/>
      <w:sz w:val="32"/>
      <w:szCs w:val="32"/>
    </w:rPr>
  </w:style>
  <w:style w:type="paragraph" w:styleId="Style19" w:customStyle="1">
    <w:name w:val="Подраздел раздела положения"/>
    <w:basedOn w:val="Normal"/>
    <w:autoRedefine/>
    <w:qFormat/>
    <w:rsid w:val="007475ee"/>
    <w:pPr>
      <w:numPr>
        <w:ilvl w:val="1"/>
        <w:numId w:val="1"/>
      </w:numPr>
      <w:spacing w:before="80" w:after="80"/>
      <w:jc w:val="both"/>
    </w:pPr>
    <w:rPr/>
  </w:style>
  <w:style w:type="paragraph" w:styleId="FootnoteText">
    <w:name w:val="Footnote Text"/>
    <w:basedOn w:val="Normal"/>
    <w:link w:val="Style5"/>
    <w:uiPriority w:val="99"/>
    <w:rsid w:val="00d561d9"/>
    <w:pPr/>
    <w:rPr>
      <w:sz w:val="20"/>
      <w:szCs w:val="20"/>
    </w:rPr>
  </w:style>
  <w:style w:type="paragraph" w:styleId="15" w:customStyle="1">
    <w:name w:val="Шапка 1"/>
    <w:basedOn w:val="Normal"/>
    <w:qFormat/>
    <w:rsid w:val="00d561d9"/>
    <w:pPr>
      <w:pBdr>
        <w:bottom w:val="thickThinSmallGap" w:sz="24" w:space="1" w:color="000000"/>
      </w:pBdr>
      <w:spacing w:before="0" w:after="240"/>
      <w:jc w:val="center"/>
    </w:pPr>
    <w:rPr>
      <w:sz w:val="22"/>
      <w:szCs w:val="22"/>
    </w:rPr>
  </w:style>
  <w:style w:type="paragraph" w:styleId="23" w:customStyle="1">
    <w:name w:val="Шапка 2"/>
    <w:basedOn w:val="Normal"/>
    <w:qFormat/>
    <w:rsid w:val="00d561d9"/>
    <w:pPr>
      <w:pBdr>
        <w:bottom w:val="thickThinSmallGap" w:sz="24" w:space="1" w:color="000000"/>
      </w:pBdr>
      <w:spacing w:before="0" w:after="120"/>
      <w:jc w:val="center"/>
    </w:pPr>
    <w:rPr>
      <w:b/>
      <w:sz w:val="22"/>
      <w:szCs w:val="22"/>
    </w:rPr>
  </w:style>
  <w:style w:type="paragraph" w:styleId="33" w:customStyle="1">
    <w:name w:val="Шапка 3"/>
    <w:basedOn w:val="Normal"/>
    <w:qFormat/>
    <w:rsid w:val="00d561d9"/>
    <w:pPr>
      <w:pBdr>
        <w:bottom w:val="thickThinSmallGap" w:sz="24" w:space="1" w:color="000000"/>
      </w:pBdr>
      <w:spacing w:before="240" w:after="360"/>
      <w:jc w:val="center"/>
    </w:pPr>
    <w:rPr>
      <w:b/>
      <w:sz w:val="24"/>
      <w:szCs w:val="24"/>
    </w:rPr>
  </w:style>
  <w:style w:type="paragraph" w:styleId="16" w:customStyle="1">
    <w:name w:val="Название1"/>
    <w:basedOn w:val="Normal"/>
    <w:link w:val="Style1"/>
    <w:uiPriority w:val="10"/>
    <w:qFormat/>
    <w:rsid w:val="00bd4014"/>
    <w:pPr>
      <w:jc w:val="center"/>
    </w:pPr>
    <w:rPr>
      <w:szCs w:val="20"/>
      <w:lang w:val="x-none" w:eastAsia="x-none"/>
    </w:rPr>
  </w:style>
  <w:style w:type="paragraph" w:styleId="Style20" w:customStyle="1">
    <w:name w:val="Колонтитул"/>
    <w:basedOn w:val="Normal"/>
    <w:qFormat/>
    <w:pPr/>
    <w:rPr/>
  </w:style>
  <w:style w:type="paragraph" w:styleId="Header">
    <w:name w:val="Header"/>
    <w:basedOn w:val="Normal"/>
    <w:link w:val="Style10"/>
    <w:rsid w:val="0076353a"/>
    <w:pPr>
      <w:tabs>
        <w:tab w:val="clear" w:pos="708"/>
        <w:tab w:val="center" w:pos="4677" w:leader="none"/>
        <w:tab w:val="right" w:pos="9355" w:leader="none"/>
      </w:tabs>
    </w:pPr>
    <w:rPr>
      <w:sz w:val="24"/>
      <w:szCs w:val="24"/>
    </w:rPr>
  </w:style>
  <w:style w:type="paragraph" w:styleId="BodyTextIndent">
    <w:name w:val="Body Text Indent"/>
    <w:basedOn w:val="Normal"/>
    <w:rsid w:val="0076353a"/>
    <w:pPr>
      <w:ind w:left="360" w:hanging="0"/>
    </w:pPr>
    <w:rPr>
      <w:sz w:val="24"/>
      <w:szCs w:val="24"/>
    </w:rPr>
  </w:style>
  <w:style w:type="paragraph" w:styleId="Footer">
    <w:name w:val="Footer"/>
    <w:basedOn w:val="Normal"/>
    <w:rsid w:val="0076353a"/>
    <w:pPr>
      <w:tabs>
        <w:tab w:val="clear" w:pos="708"/>
        <w:tab w:val="center" w:pos="4677" w:leader="none"/>
        <w:tab w:val="right" w:pos="9355" w:leader="none"/>
      </w:tabs>
    </w:pPr>
    <w:rPr/>
  </w:style>
  <w:style w:type="paragraph" w:styleId="BodyTextIndent2">
    <w:name w:val="Body Text Indent 2"/>
    <w:basedOn w:val="Normal"/>
    <w:qFormat/>
    <w:rsid w:val="0076353a"/>
    <w:pPr>
      <w:spacing w:lineRule="auto" w:line="480" w:before="0" w:after="120"/>
      <w:ind w:left="283" w:hanging="0"/>
    </w:pPr>
    <w:rPr/>
  </w:style>
  <w:style w:type="paragraph" w:styleId="BodyText3">
    <w:name w:val="Body Text 3"/>
    <w:basedOn w:val="Normal"/>
    <w:qFormat/>
    <w:rsid w:val="0076353a"/>
    <w:pPr>
      <w:spacing w:before="0" w:after="120"/>
    </w:pPr>
    <w:rPr>
      <w:sz w:val="16"/>
      <w:szCs w:val="16"/>
    </w:rPr>
  </w:style>
  <w:style w:type="paragraph" w:styleId="BodyTextIndent3">
    <w:name w:val="Body Text Indent 3"/>
    <w:basedOn w:val="Normal"/>
    <w:link w:val="32"/>
    <w:qFormat/>
    <w:rsid w:val="0076353a"/>
    <w:pPr>
      <w:spacing w:before="0" w:after="120"/>
      <w:ind w:left="283" w:hanging="0"/>
    </w:pPr>
    <w:rPr>
      <w:sz w:val="16"/>
      <w:szCs w:val="16"/>
    </w:rPr>
  </w:style>
  <w:style w:type="paragraph" w:styleId="BodyText2">
    <w:name w:val="Body Text 2"/>
    <w:basedOn w:val="Normal"/>
    <w:qFormat/>
    <w:rsid w:val="0076353a"/>
    <w:pPr>
      <w:spacing w:lineRule="auto" w:line="480" w:before="0" w:after="120"/>
    </w:pPr>
    <w:rPr/>
  </w:style>
  <w:style w:type="paragraph" w:styleId="BlockText">
    <w:name w:val="Block Text"/>
    <w:basedOn w:val="Normal"/>
    <w:qFormat/>
    <w:rsid w:val="0076353a"/>
    <w:pPr>
      <w:ind w:left="-567" w:right="-766" w:hanging="0"/>
      <w:jc w:val="center"/>
    </w:pPr>
    <w:rPr>
      <w:b/>
      <w:bCs/>
      <w:sz w:val="24"/>
      <w:szCs w:val="20"/>
    </w:rPr>
  </w:style>
  <w:style w:type="paragraph" w:styleId="Style21" w:customStyle="1">
    <w:name w:val="Подпункт"/>
    <w:basedOn w:val="Normal"/>
    <w:link w:val="12"/>
    <w:qFormat/>
    <w:rsid w:val="0076353a"/>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rsid w:val="0076353a"/>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uiPriority w:val="39"/>
    <w:rsid w:val="00421b6b"/>
    <w:pPr>
      <w:spacing w:before="120" w:after="0"/>
    </w:pPr>
    <w:rPr>
      <w:rFonts w:cs="Calibri Light (Заголовки)"/>
      <w:b/>
      <w:bCs/>
      <w:sz w:val="24"/>
      <w:szCs w:val="24"/>
    </w:rPr>
  </w:style>
  <w:style w:type="paragraph" w:styleId="TOC3">
    <w:name w:val="TOC 3"/>
    <w:basedOn w:val="Normal"/>
    <w:next w:val="Normal"/>
    <w:autoRedefine/>
    <w:uiPriority w:val="39"/>
    <w:rsid w:val="00c01756"/>
    <w:pPr>
      <w:ind w:left="280" w:hanging="0"/>
    </w:pPr>
    <w:rPr>
      <w:rFonts w:cs="Calibri" w:cstheme="minorHAnsi"/>
      <w:sz w:val="20"/>
      <w:szCs w:val="20"/>
    </w:rPr>
  </w:style>
  <w:style w:type="paragraph" w:styleId="Style22" w:customStyle="1">
    <w:name w:val="Раздел регламента"/>
    <w:basedOn w:val="Normal"/>
    <w:qFormat/>
    <w:rsid w:val="00e228fa"/>
    <w:pPr/>
    <w:rPr/>
  </w:style>
  <w:style w:type="paragraph" w:styleId="Style23" w:customStyle="1">
    <w:name w:val="Приложение к регламенту"/>
    <w:basedOn w:val="Normal"/>
    <w:qFormat/>
    <w:rsid w:val="00e228fa"/>
    <w:pPr>
      <w:jc w:val="right"/>
    </w:pPr>
    <w:rPr/>
  </w:style>
  <w:style w:type="paragraph" w:styleId="TOC2">
    <w:name w:val="TOC 2"/>
    <w:basedOn w:val="Normal"/>
    <w:next w:val="Normal"/>
    <w:autoRedefine/>
    <w:uiPriority w:val="39"/>
    <w:rsid w:val="00c01756"/>
    <w:pPr>
      <w:spacing w:before="240" w:after="0"/>
    </w:pPr>
    <w:rPr>
      <w:rFonts w:cs="Calibri" w:cstheme="minorHAnsi"/>
      <w:b/>
      <w:bCs/>
      <w:sz w:val="20"/>
      <w:szCs w:val="20"/>
    </w:rPr>
  </w:style>
  <w:style w:type="paragraph" w:styleId="BalloonText">
    <w:name w:val="Balloon Text"/>
    <w:basedOn w:val="Normal"/>
    <w:semiHidden/>
    <w:qFormat/>
    <w:rsid w:val="00197c91"/>
    <w:pPr/>
    <w:rPr>
      <w:rFonts w:ascii="Tahoma" w:hAnsi="Tahoma" w:cs="Tahoma"/>
      <w:sz w:val="16"/>
      <w:szCs w:val="16"/>
    </w:rPr>
  </w:style>
  <w:style w:type="paragraph" w:styleId="Annotationtext">
    <w:name w:val="annotation text"/>
    <w:basedOn w:val="Normal"/>
    <w:link w:val="Style11"/>
    <w:semiHidden/>
    <w:qFormat/>
    <w:rsid w:val="00b714b0"/>
    <w:pPr/>
    <w:rPr>
      <w:sz w:val="20"/>
      <w:szCs w:val="20"/>
    </w:rPr>
  </w:style>
  <w:style w:type="paragraph" w:styleId="Annotationsubject">
    <w:name w:val="annotation subject"/>
    <w:basedOn w:val="Annotationtext"/>
    <w:next w:val="Annotationtext"/>
    <w:semiHidden/>
    <w:qFormat/>
    <w:rsid w:val="00b714b0"/>
    <w:pPr/>
    <w:rPr>
      <w:b/>
      <w:bCs/>
    </w:rPr>
  </w:style>
  <w:style w:type="paragraph" w:styleId="17"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autoRedefine/>
    <w:semiHidden/>
    <w:rsid w:val="00f57628"/>
    <w:pPr>
      <w:ind w:left="1960" w:hanging="0"/>
    </w:pPr>
    <w:rPr>
      <w:rFonts w:ascii="Calibri" w:hAnsi="Calibri" w:cs="Calibri" w:asciiTheme="minorHAnsi" w:cstheme="minorHAnsi" w:hAnsiTheme="minorHAnsi"/>
      <w:sz w:val="20"/>
      <w:szCs w:val="20"/>
    </w:rPr>
  </w:style>
  <w:style w:type="paragraph" w:styleId="TOC5">
    <w:name w:val="TOC 5"/>
    <w:basedOn w:val="Normal"/>
    <w:next w:val="Normal"/>
    <w:autoRedefine/>
    <w:semiHidden/>
    <w:rsid w:val="00f57628"/>
    <w:pPr>
      <w:ind w:left="840" w:hanging="0"/>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c01756"/>
    <w:pPr>
      <w:ind w:left="560" w:hanging="0"/>
    </w:pPr>
    <w:rPr>
      <w:rFonts w:cs="Calibri" w:cstheme="minorHAnsi"/>
      <w:sz w:val="20"/>
      <w:szCs w:val="20"/>
    </w:rPr>
  </w:style>
  <w:style w:type="paragraph" w:styleId="25" w:customStyle="1">
    <w:name w:val="Раздел положения 2"/>
    <w:basedOn w:val="Normal"/>
    <w:qFormat/>
    <w:rsid w:val="002c1e0e"/>
    <w:pPr>
      <w:pageBreakBefore/>
      <w:jc w:val="both"/>
      <w:outlineLvl w:val="0"/>
    </w:pPr>
    <w:rPr>
      <w:b/>
    </w:rPr>
  </w:style>
  <w:style w:type="paragraph" w:styleId="Style24"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rsid w:val="00d22f6d"/>
    <w:pPr>
      <w:spacing w:lineRule="auto" w:line="360"/>
    </w:pPr>
    <w:rPr>
      <w:rFonts w:eastAsia="Calibri"/>
      <w:sz w:val="24"/>
      <w:szCs w:val="24"/>
    </w:rPr>
  </w:style>
  <w:style w:type="paragraph" w:styleId="Subtitle">
    <w:name w:val="Subtitle"/>
    <w:basedOn w:val="Normal"/>
    <w:next w:val="Normal"/>
    <w:link w:val="Style2"/>
    <w:uiPriority w:val="11"/>
    <w:qFormat/>
    <w:rsid w:val="00d22f6d"/>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uiPriority w:val="34"/>
    <w:qFormat/>
    <w:rsid w:val="00d22f6d"/>
    <w:pPr>
      <w:spacing w:before="0" w:after="0"/>
      <w:ind w:left="720" w:hanging="0"/>
      <w:contextualSpacing/>
    </w:pPr>
    <w:rPr>
      <w:rFonts w:eastAsia="Calibri"/>
      <w:sz w:val="24"/>
      <w:szCs w:val="24"/>
    </w:rPr>
  </w:style>
  <w:style w:type="paragraph" w:styleId="Quote">
    <w:name w:val="Quote"/>
    <w:basedOn w:val="Normal"/>
    <w:next w:val="Normal"/>
    <w:link w:val="2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next w:val="Normal"/>
    <w:link w:val="Style3"/>
    <w:uiPriority w:val="30"/>
    <w:qFormat/>
    <w:rsid w:val="00d22f6d"/>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5"/>
    <w:pPr/>
    <w:rPr/>
  </w:style>
  <w:style w:type="paragraph" w:styleId="TOCHeading">
    <w:name w:val="TOC Heading"/>
    <w:basedOn w:val="Heading1"/>
    <w:next w:val="Normal"/>
    <w:uiPriority w:val="39"/>
    <w:qFormat/>
    <w:rsid w:val="00d22f6d"/>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rsid w:val="00d22f6d"/>
    <w:pPr/>
    <w:rPr>
      <w:rFonts w:eastAsia="Calibri"/>
      <w:sz w:val="24"/>
      <w:szCs w:val="24"/>
      <w:lang w:val="x-none" w:eastAsia="x-none"/>
    </w:rPr>
  </w:style>
  <w:style w:type="paragraph" w:styleId="Style25"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rsid w:val="00d22f6d"/>
    <w:pPr>
      <w:numPr>
        <w:ilvl w:val="2"/>
        <w:numId w:val="2"/>
      </w:numPr>
      <w:jc w:val="both"/>
    </w:pPr>
    <w:rPr>
      <w:rFonts w:ascii="Garamond" w:hAnsi="Garamond"/>
      <w:sz w:val="24"/>
      <w:szCs w:val="20"/>
    </w:rPr>
  </w:style>
  <w:style w:type="paragraph" w:styleId="41" w:customStyle="1">
    <w:name w:val="Маркированный список 41"/>
    <w:basedOn w:val="Normal"/>
    <w:qFormat/>
    <w:rsid w:val="00d22f6d"/>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rsid w:val="00d22f6d"/>
    <w:pPr>
      <w:numPr>
        <w:ilvl w:val="1"/>
        <w:numId w:val="2"/>
      </w:num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26" w:customStyle="1">
    <w:name w:val="Пункт"/>
    <w:basedOn w:val="Normal"/>
    <w:qFormat/>
    <w:rsid w:val="00d22f6d"/>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8" w:customStyle="1">
    <w:name w:val="Абзац списка1"/>
    <w:basedOn w:val="Normal"/>
    <w:qFormat/>
    <w:rsid w:val="00d22f6d"/>
    <w:pPr>
      <w:spacing w:lineRule="auto" w:line="276" w:before="0" w:after="200"/>
      <w:ind w:left="720" w:hanging="0"/>
      <w:contextualSpacing/>
    </w:pPr>
    <w:rPr>
      <w:rFonts w:ascii="Calibri" w:hAnsi="Calibri"/>
      <w:sz w:val="22"/>
      <w:szCs w:val="22"/>
      <w:lang w:eastAsia="en-US"/>
    </w:rPr>
  </w:style>
  <w:style w:type="paragraph" w:styleId="Style27"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28" w:customStyle="1">
    <w:name w:val="Таблица шапка"/>
    <w:basedOn w:val="Normal"/>
    <w:qFormat/>
    <w:rsid w:val="00f64089"/>
    <w:pPr>
      <w:keepNext w:val="true"/>
      <w:spacing w:before="40" w:after="40"/>
      <w:ind w:left="57" w:right="57" w:hanging="0"/>
    </w:pPr>
    <w:rPr>
      <w:sz w:val="22"/>
      <w:szCs w:val="26"/>
    </w:rPr>
  </w:style>
  <w:style w:type="paragraph" w:styleId="Style29" w:customStyle="1">
    <w:name w:val="Подподпункт"/>
    <w:basedOn w:val="Style21"/>
    <w:link w:val="Style9"/>
    <w:qFormat/>
    <w:rsid w:val="0025139e"/>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0" w:customStyle="1">
    <w:name w:val="УРОВЕНЬ_(а)"/>
    <w:basedOn w:val="ListParagraph"/>
    <w:qFormat/>
    <w:rsid w:val="00b56f46"/>
    <w:pPr>
      <w:numPr>
        <w:ilvl w:val="3"/>
        <w:numId w:val="3"/>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rsid w:val="00b56f46"/>
    <w:pPr>
      <w:numPr>
        <w:ilvl w:val="4"/>
        <w:numId w:val="3"/>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rsid w:val="00b56f46"/>
    <w:pPr>
      <w:numPr>
        <w:ilvl w:val="6"/>
        <w:numId w:val="3"/>
      </w:numPr>
      <w:spacing w:lineRule="exact" w:line="360" w:before="120" w:after="0"/>
      <w:contextualSpacing w:val="false"/>
      <w:jc w:val="both"/>
    </w:pPr>
    <w:rPr>
      <w:sz w:val="26"/>
      <w:szCs w:val="28"/>
      <w:lang w:eastAsia="en-US"/>
    </w:rPr>
  </w:style>
  <w:style w:type="paragraph" w:styleId="36" w:customStyle="1">
    <w:name w:val="УРОВЕНЬ_Абзац_тип3"/>
    <w:basedOn w:val="ListParagraph"/>
    <w:link w:val="31"/>
    <w:qFormat/>
    <w:rsid w:val="00b56f46"/>
    <w:pPr>
      <w:numPr>
        <w:ilvl w:val="7"/>
        <w:numId w:val="3"/>
      </w:numPr>
      <w:spacing w:lineRule="exact" w:line="360" w:before="120" w:after="0"/>
      <w:contextualSpacing w:val="false"/>
      <w:jc w:val="both"/>
    </w:pPr>
    <w:rPr>
      <w:sz w:val="26"/>
      <w:szCs w:val="28"/>
      <w:lang w:eastAsia="en-US"/>
    </w:rPr>
  </w:style>
  <w:style w:type="paragraph" w:styleId="Style31" w:customStyle="1">
    <w:name w:val="УРОВЕНЬ_Подпись"/>
    <w:basedOn w:val="ListParagraph"/>
    <w:qFormat/>
    <w:rsid w:val="00b56f46"/>
    <w:pPr>
      <w:keepNext w:val="true"/>
      <w:numPr>
        <w:ilvl w:val="5"/>
        <w:numId w:val="3"/>
      </w:numPr>
      <w:spacing w:lineRule="exact" w:line="360" w:before="120" w:after="120"/>
      <w:contextualSpacing w:val="false"/>
      <w:jc w:val="right"/>
      <w:outlineLvl w:val="3"/>
    </w:pPr>
    <w:rPr>
      <w:sz w:val="26"/>
      <w:szCs w:val="28"/>
      <w:lang w:eastAsia="en-US"/>
    </w:rPr>
  </w:style>
  <w:style w:type="paragraph" w:styleId="19" w:customStyle="1">
    <w:name w:val="Стиль Заголовок 1 + по ширине"/>
    <w:basedOn w:val="Heading1"/>
    <w:qFormat/>
    <w:rsid w:val="005773b2"/>
    <w:pPr>
      <w:keepLines/>
      <w:tabs>
        <w:tab w:val="clear" w:pos="0"/>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rsid w:val="003879d4"/>
    <w:pPr/>
    <w:rPr>
      <w:sz w:val="20"/>
      <w:szCs w:val="20"/>
    </w:rPr>
  </w:style>
  <w:style w:type="paragraph" w:styleId="28" w:customStyle="1">
    <w:name w:val="Заголовок 2 КВВ"/>
    <w:basedOn w:val="Normal"/>
    <w:qFormat/>
    <w:rsid w:val="00cb35e8"/>
    <w:pPr>
      <w:keepNext w:val="true"/>
      <w:numPr>
        <w:ilvl w:val="0"/>
        <w:numId w:val="4"/>
      </w:numPr>
      <w:spacing w:before="120" w:after="120"/>
      <w:jc w:val="both"/>
      <w:outlineLvl w:val="0"/>
    </w:pPr>
    <w:rPr>
      <w:b/>
      <w:kern w:val="2"/>
      <w:sz w:val="24"/>
      <w:szCs w:val="20"/>
      <w:lang w:eastAsia="x-none"/>
    </w:rPr>
  </w:style>
  <w:style w:type="paragraph" w:styleId="Style32" w:customStyle="1">
    <w:name w:val="Таблица текст"/>
    <w:basedOn w:val="Normal"/>
    <w:qFormat/>
    <w:rsid w:val="00343e95"/>
    <w:pPr>
      <w:spacing w:before="40" w:after="40"/>
      <w:ind w:left="57" w:right="57" w:hanging="0"/>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10" w:customStyle="1">
    <w:name w:val="УРОВЕНЬ_1."/>
    <w:basedOn w:val="ListParagraph"/>
    <w:link w:val="13"/>
    <w:qFormat/>
    <w:rsid w:val="004a17ae"/>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unhideWhenUsed/>
    <w:rsid w:val="00d849aa"/>
    <w:pPr>
      <w:ind w:left="1120" w:hanging="0"/>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d849aa"/>
    <w:pPr>
      <w:ind w:left="1400" w:hanging="0"/>
    </w:pPr>
    <w:rPr>
      <w:rFonts w:ascii="Calibri" w:hAnsi="Calibri" w:cs="Calibri" w:asciiTheme="minorHAnsi" w:cstheme="minorHAnsi" w:hAnsiTheme="minorHAnsi"/>
      <w:sz w:val="20"/>
      <w:szCs w:val="20"/>
    </w:rPr>
  </w:style>
  <w:style w:type="paragraph" w:styleId="TOC8">
    <w:name w:val="TOC 8"/>
    <w:basedOn w:val="Normal"/>
    <w:next w:val="Normal"/>
    <w:autoRedefine/>
    <w:unhideWhenUsed/>
    <w:rsid w:val="00d849aa"/>
    <w:pPr>
      <w:ind w:left="1680" w:hanging="0"/>
    </w:pPr>
    <w:rPr>
      <w:rFonts w:ascii="Calibri" w:hAnsi="Calibri" w:cs="Calibri" w:asciiTheme="minorHAnsi" w:cstheme="minorHAnsi" w:hAnsiTheme="minorHAnsi"/>
      <w:sz w:val="20"/>
      <w:szCs w:val="20"/>
    </w:rPr>
  </w:style>
  <w:style w:type="paragraph" w:styleId="Style33" w:customStyle="1">
    <w:name w:val="Содержимое врезки"/>
    <w:basedOn w:val="Normal"/>
    <w:qFormat/>
    <w:pPr/>
    <w:rPr/>
  </w:style>
  <w:style w:type="paragraph" w:styleId="111" w:customStyle="1">
    <w:name w:val="Основной текст1"/>
    <w:basedOn w:val="Normal"/>
    <w:qFormat/>
    <w:pPr>
      <w:widowControl w:val="false"/>
      <w:shd w:val="clear" w:color="auto" w:fill="FFFFFF"/>
      <w:spacing w:lineRule="exact" w:line="302"/>
    </w:pPr>
    <w:rPr/>
  </w:style>
  <w:style w:type="paragraph" w:styleId="Style34" w:customStyle="1">
    <w:name w:val="Содержимое таблицы"/>
    <w:basedOn w:val="Normal"/>
    <w:qFormat/>
    <w:pPr>
      <w:widowControl w:val="false"/>
      <w:suppressLineNumbers/>
    </w:pPr>
    <w:rPr/>
  </w:style>
  <w:style w:type="paragraph" w:styleId="Style35" w:customStyle="1">
    <w:name w:val="Заголовок таблицы"/>
    <w:basedOn w:val="Style34"/>
    <w:qFormat/>
    <w:pPr>
      <w:jc w:val="center"/>
    </w:pPr>
    <w:rPr>
      <w:b/>
      <w:bCs/>
    </w:rPr>
  </w:style>
  <w:style w:type="paragraph" w:styleId="Style36">
    <w:name w:val="Абзац списка"/>
    <w:basedOn w:val="Normal"/>
    <w:qFormat/>
    <w:pPr>
      <w:spacing w:before="0" w:after="0"/>
      <w:ind w:left="720" w:right="0" w:hanging="0"/>
      <w:contextualSpacing/>
    </w:pPr>
    <w:rPr>
      <w:rFonts w:eastAsia="Calibri"/>
      <w:sz w:val="24"/>
      <w:szCs w:val="24"/>
    </w:rPr>
  </w:style>
  <w:style w:type="numbering" w:styleId="NoList" w:default="1">
    <w:name w:val="No List"/>
    <w:uiPriority w:val="99"/>
    <w:semiHidden/>
    <w:unhideWhenUsed/>
    <w:qFormat/>
  </w:style>
  <w:style w:type="numbering" w:styleId="112" w:customStyle="1">
    <w:name w:val="Стиль1"/>
    <w:uiPriority w:val="99"/>
    <w:qFormat/>
    <w:rsid w:val="00f001e4"/>
  </w:style>
  <w:style w:type="numbering" w:styleId="29" w:customStyle="1">
    <w:name w:val="Стиль2"/>
    <w:uiPriority w:val="99"/>
    <w:qFormat/>
    <w:rsid w:val="006629c9"/>
  </w:style>
  <w:style w:type="table" w:default="1" w:styleId="a5">
    <w:name w:val="Normal Table"/>
    <w:uiPriority w:val="99"/>
    <w:semiHidden/>
    <w:unhideWhenUsed/>
    <w:tblPr>
      <w:tblCellMar>
        <w:top w:w="0" w:type="dxa"/>
        <w:left w:w="108" w:type="dxa"/>
        <w:bottom w:w="0" w:type="dxa"/>
        <w:right w:w="108" w:type="dxa"/>
      </w:tblCellMar>
    </w:tblPr>
  </w:style>
  <w:style w:type="table" w:styleId="affff6">
    <w:name w:val="Table Grid"/>
    <w:basedOn w:val="a5"/>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e">
    <w:name w:val="Сетка таблицы1"/>
    <w:basedOn w:val="a5"/>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9B493-3199-4B66-BE74-97FEEB3CE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Application>AlterOffice/3.4.0.9$Linux_X86_64 LibreOffice_project/b8daf9e823b1a5463a2f48435ddc2e8696e7d4fc</Application>
  <AppVersion>15.0000</AppVersion>
  <DocSecurity>4</DocSecurity>
  <Pages>5</Pages>
  <Words>728</Words>
  <Characters>5078</Characters>
  <CharactersWithSpaces>5928</CharactersWithSpaces>
  <Paragraphs>125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2024-12-04T13:04:00Z</dcterms:created>
  <dc:creator>Быстров Олег Геннадьевич</dc:creator>
  <dc:description/>
  <dc:language>ru-RU</dc:language>
  <cp:lastModifiedBy/>
  <cp:lastPrinted>2025-01-21T08:54:17Z</cp:lastPrinted>
  <dcterms:modified xsi:type="dcterms:W3CDTF">2026-07-30T13:30:21Z</dcterms:modified>
  <cp:revision>21</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