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ind w:left="5670" w:hanging="0"/>
        <w:rPr/>
      </w:pPr>
      <w:r>
        <w:rPr/>
      </w:r>
    </w:p>
    <w:p>
      <w:pPr>
        <w:pStyle w:val="Normal"/>
        <w:ind w:firstLine="5670"/>
        <w:rPr/>
      </w:pPr>
      <w:r>
        <w:rPr/>
      </w:r>
    </w:p>
    <w:p>
      <w:pPr>
        <w:pStyle w:val="Normal"/>
        <w:ind w:firstLine="5670"/>
        <w:rPr/>
      </w:pPr>
      <w:r>
        <w:rPr/>
      </w:r>
    </w:p>
    <w:p>
      <w:pPr>
        <w:pStyle w:val="Normal"/>
        <w:ind w:firstLine="5670"/>
        <w:rPr/>
      </w:pPr>
      <w:r>
        <w:rPr/>
      </w:r>
    </w:p>
    <w:p>
      <w:pPr>
        <w:pStyle w:val="Normal"/>
        <w:ind w:firstLine="5670"/>
        <w:rPr/>
      </w:pPr>
      <w:r>
        <w:rPr/>
      </w:r>
    </w:p>
    <w:p>
      <w:pPr>
        <w:pStyle w:val="Normal"/>
        <w:ind w:firstLine="5670"/>
        <w:rPr/>
      </w:pPr>
      <w:r>
        <w:rPr/>
      </w:r>
    </w:p>
    <w:p>
      <w:pPr>
        <w:pStyle w:val="Normal"/>
        <w:ind w:left="567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32"/>
          <w:szCs w:val="32"/>
        </w:rPr>
      </w:pPr>
      <w:r>
        <w:rPr>
          <w:rFonts w:eastAsia="Calibri"/>
          <w:b/>
          <w:sz w:val="32"/>
          <w:szCs w:val="32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Style w:val="Style8"/>
          <w:sz w:val="26"/>
          <w:szCs w:val="26"/>
        </w:rPr>
      </w:pPr>
      <w:r>
        <w:rPr>
          <w:rFonts w:eastAsia="Calibri"/>
          <w:b/>
          <w:sz w:val="32"/>
          <w:szCs w:val="32"/>
        </w:rPr>
        <w:t>«ОКПД2 42.91.20.190 Механическое очищение от ракушки ж/б плит откосов деривационного канала Новотроицкой ГЭС</w:t>
      </w:r>
      <w:r>
        <w:rPr/>
        <w:t xml:space="preserve"> </w:t>
      </w:r>
      <w:r>
        <w:rPr>
          <w:rFonts w:eastAsia="Calibri"/>
          <w:b/>
          <w:sz w:val="32"/>
          <w:szCs w:val="32"/>
        </w:rPr>
        <w:t>Филиала ПАО «РусГидро» – «Каскад Кубанских ГЭС»</w:t>
      </w:r>
    </w:p>
    <w:p>
      <w:pPr>
        <w:pStyle w:val="Normal"/>
        <w:keepNext w:val="true"/>
        <w:keepLines/>
        <w:jc w:val="center"/>
        <w:rPr>
          <w:sz w:val="32"/>
          <w:szCs w:val="32"/>
        </w:rPr>
      </w:pPr>
      <w:r>
        <w:rPr>
          <w:rFonts w:eastAsia="Calibri"/>
          <w:b/>
          <w:sz w:val="32"/>
          <w:szCs w:val="32"/>
        </w:rPr>
        <w:t>Лот № 23-ЭКСП-БПД-2026-ККГЭС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50503_3850693634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50505_3850693634">
            <w:r>
              <w:rPr>
                <w:webHidden/>
                <w:rStyle w:val="Style14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50507_3850693634">
            <w:r>
              <w:rPr>
                <w:webHidden/>
                <w:rStyle w:val="Style14"/>
                <w:vanish w:val="false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50509_3850693634">
            <w:r>
              <w:rPr>
                <w:webHidden/>
                <w:rStyle w:val="Style14"/>
                <w:vanish w:val="false"/>
              </w:rPr>
              <w:t>1.3. Цель оказания услуг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50511_3850693634">
            <w:r>
              <w:rPr>
                <w:webHidden/>
                <w:rStyle w:val="Style14"/>
                <w:vanish w:val="false"/>
              </w:rPr>
              <w:t>1.4. Существующее положение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0513_3850693634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50515_3850693634">
            <w:r>
              <w:rPr>
                <w:webHidden/>
                <w:rStyle w:val="Style14"/>
                <w:vanish w:val="false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0517_3850693634">
            <w:r>
              <w:rPr>
                <w:webHidden/>
                <w:rStyle w:val="Style14"/>
                <w:vanish w:val="false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50519_3850693634">
            <w:r>
              <w:rPr>
                <w:webHidden/>
                <w:rStyle w:val="Style14"/>
                <w:vanish w:val="false"/>
              </w:rPr>
              <w:t>2.1. Требования к объемам и срокам оказания услуг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50521_3850693634">
            <w:r>
              <w:rPr>
                <w:webHidden/>
                <w:rStyle w:val="Style14"/>
                <w:vanish w:val="false"/>
              </w:rPr>
              <w:t>2.1.1. Требования к перечню и объему услуг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0523_3850693634"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50525_3850693634">
            <w:r>
              <w:rPr>
                <w:webHidden/>
                <w:rStyle w:val="Style14"/>
                <w:vanish w:val="false"/>
              </w:rPr>
              <w:t>2.1.2. Требования к срокам оказания услуг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0527_3850693634"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50529_3850693634">
            <w:r>
              <w:rPr>
                <w:webHidden/>
                <w:rStyle w:val="Style14"/>
                <w:vanish w:val="false"/>
              </w:rPr>
              <w:t>2.2. Требования к качеству услуг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0531_3850693634"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0547_3850693634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12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0551_3850693634">
            <w:r>
              <w:rPr>
                <w:webHidden/>
                <w:rStyle w:val="Style14"/>
                <w:vanish w:val="false"/>
              </w:rPr>
              <w:t>4. Требования к документации по ценообразованию на этапе заключения (исполнения) договора</w:t>
              <w:tab/>
              <w:t>12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0557_3850693634">
            <w:r>
              <w:rPr>
                <w:webHidden/>
                <w:rStyle w:val="Style14"/>
                <w:vanish w:val="false"/>
              </w:rPr>
              <w:t xml:space="preserve">5. </w:t>
            </w:r>
            <w:r>
              <w:rPr>
                <w:rStyle w:val="Style14"/>
                <w:iCs/>
              </w:rPr>
              <w:t>Приложения</w:t>
            </w:r>
            <w:r>
              <w:rPr>
                <w:rStyle w:val="Style14"/>
              </w:rPr>
              <w:tab/>
              <w:t>12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</w:rPr>
      </w:r>
    </w:p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_RefHeading___Toc50503_3850693634"/>
      <w:bookmarkStart w:id="1" w:name="_Toc54643694"/>
      <w:bookmarkEnd w:id="0"/>
      <w:r>
        <w:rPr>
          <w:lang w:val="ru-RU"/>
        </w:rPr>
        <w:t>Общие сведения</w:t>
      </w:r>
      <w:bookmarkEnd w:id="1"/>
    </w:p>
    <w:p>
      <w:pPr>
        <w:pStyle w:val="Heading4"/>
        <w:numPr>
          <w:ilvl w:val="1"/>
          <w:numId w:val="3"/>
        </w:numPr>
        <w:rPr/>
      </w:pPr>
      <w:bookmarkStart w:id="2" w:name="__RefHeading___Toc50505_3850693634"/>
      <w:bookmarkStart w:id="3" w:name="_Toc46743505"/>
      <w:bookmarkStart w:id="4" w:name="_Toc54643695"/>
      <w:bookmarkEnd w:id="2"/>
      <w:r>
        <w:rPr/>
        <w:t>Обозначения и сокращения</w:t>
      </w:r>
      <w:bookmarkEnd w:id="3"/>
      <w:bookmarkEnd w:id="4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ППБ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пожарной безопасности;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ППР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производства работ;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ПТЭ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 технической эксплуатации электрических станций и сетей;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СМР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строительно-монтажные работы;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стандарт организации;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задание;</w:t>
            </w:r>
          </w:p>
        </w:tc>
      </w:tr>
      <w:tr>
        <w:trPr>
          <w:trHeight w:val="264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5" w:name="__RefHeading___Toc50507_3850693634"/>
      <w:bookmarkStart w:id="6" w:name="_Toc46743506"/>
      <w:bookmarkStart w:id="7" w:name="_Toc54643696"/>
      <w:bookmarkEnd w:id="5"/>
      <w:r>
        <w:rPr/>
        <w:t>Наименование закупаемой продукции</w:t>
      </w:r>
      <w:bookmarkEnd w:id="6"/>
      <w:bookmarkEnd w:id="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«ОКПД2 42.91.20.190</w:t>
      </w:r>
      <w:r>
        <w:rPr>
          <w:rFonts w:eastAsia="Calibri"/>
          <w:b/>
          <w:sz w:val="32"/>
          <w:szCs w:val="32"/>
        </w:rPr>
        <w:t xml:space="preserve"> </w:t>
      </w:r>
      <w:r>
        <w:rPr>
          <w:rFonts w:cs="Calibri"/>
          <w:sz w:val="24"/>
          <w:szCs w:val="24"/>
        </w:rPr>
        <w:t>Механическое очищение от ракушки ж/б плит откосов деривационного канала Новотроицкой ГЭС Филиала ПАО «РусГидро» – «Каскад Кубанских ГЭС»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8" w:name="__RefHeading___Toc50509_3850693634"/>
      <w:bookmarkStart w:id="9" w:name="_Toc54643697"/>
      <w:bookmarkStart w:id="10" w:name="_Toc46743507"/>
      <w:bookmarkEnd w:id="8"/>
      <w:r>
        <w:rPr/>
        <w:t xml:space="preserve">Цель </w:t>
      </w:r>
      <w:bookmarkEnd w:id="10"/>
      <w:r>
        <w:rPr>
          <w:lang w:val="ru-RU"/>
        </w:rPr>
        <w:t>оказания услуг</w:t>
      </w:r>
      <w:r>
        <w:rPr/>
        <w:t xml:space="preserve"> </w:t>
      </w:r>
      <w:bookmarkEnd w:id="9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Style w:val="Style8"/>
          <w:b w:val="false"/>
          <w:bCs/>
          <w:sz w:val="24"/>
          <w:szCs w:val="24"/>
        </w:rPr>
      </w:pPr>
      <w:r>
        <w:rPr>
          <w:rFonts w:cs="Calibri"/>
          <w:sz w:val="24"/>
          <w:szCs w:val="24"/>
        </w:rPr>
        <w:t>Целью работ является приведение к проектным отметкам откосов подводящего канала, восстановление условий нормальной эксплуатации Новотроицкой ГЭС</w:t>
      </w:r>
    </w:p>
    <w:p>
      <w:pPr>
        <w:pStyle w:val="Heading4"/>
        <w:numPr>
          <w:ilvl w:val="1"/>
          <w:numId w:val="3"/>
        </w:numPr>
        <w:rPr/>
      </w:pPr>
      <w:bookmarkStart w:id="11" w:name="__RefHeading___Toc50511_3850693634"/>
      <w:bookmarkStart w:id="12" w:name="_Toc54643698"/>
      <w:bookmarkStart w:id="13" w:name="_Toc46743508"/>
      <w:bookmarkEnd w:id="11"/>
      <w:r>
        <w:rPr/>
        <w:t>Существующее положение</w:t>
      </w:r>
      <w:bookmarkEnd w:id="13"/>
      <w:r>
        <w:rPr>
          <w:lang w:val="ru-RU"/>
        </w:rPr>
        <w:t xml:space="preserve"> </w:t>
      </w:r>
      <w:bookmarkEnd w:id="12"/>
    </w:p>
    <w:p>
      <w:pPr>
        <w:pStyle w:val="Normal"/>
        <w:ind w:firstLine="567"/>
        <w:jc w:val="both"/>
        <w:rPr>
          <w:rFonts w:cs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Деривационный канал Новотроицкой ГЭС </w:t>
      </w:r>
      <w:r>
        <w:rPr>
          <w:rFonts w:cs="Calibri"/>
          <w:sz w:val="24"/>
          <w:szCs w:val="24"/>
        </w:rPr>
        <w:t xml:space="preserve">служит для подвода воды от головного шлюза-регулятора к водоприемнику. Канал выполнен в полувыемке-полунасыпи. В начальной части канал проходит в выемке глубиной до 7,0 м. В концевой части канал проходит - в полувыемке-полунасыпи. На всем протяжении канал облицован железобетонными плитами. Деривационный канал перед водоприемником на длине 35 м покрыт железобетоном. Протяженность деривационного канала -314 м. 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4" w:name="__RefHeading___Toc50513_3850693634"/>
      <w:bookmarkStart w:id="15" w:name="_Toc54643699"/>
      <w:bookmarkEnd w:id="14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5"/>
    </w:p>
    <w:tbl>
      <w:tblPr>
        <w:tblW w:w="991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7"/>
        <w:gridCol w:w="2843"/>
        <w:gridCol w:w="2145"/>
        <w:gridCol w:w="2412"/>
        <w:gridCol w:w="1701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Verdana"/>
                <w:bCs/>
                <w:color w:val="000000"/>
                <w:sz w:val="24"/>
                <w:szCs w:val="24"/>
              </w:rPr>
            </w:pPr>
            <w:r>
              <w:rPr>
                <w:rFonts w:eastAsia="Verdana"/>
                <w:bCs/>
                <w:color w:val="000000"/>
                <w:sz w:val="24"/>
                <w:szCs w:val="24"/>
              </w:rPr>
              <w:t>Новотроицк</w:t>
            </w:r>
            <w:r>
              <w:rPr>
                <w:rFonts w:eastAsia="Verdana"/>
                <w:bCs/>
                <w:color w:val="000000"/>
                <w:sz w:val="24"/>
                <w:szCs w:val="24"/>
                <w:lang w:val="en-US"/>
              </w:rPr>
              <w:t>ая</w:t>
            </w:r>
            <w:r>
              <w:rPr>
                <w:rFonts w:eastAsia="Verdana"/>
                <w:bCs/>
                <w:color w:val="000000"/>
                <w:sz w:val="24"/>
                <w:szCs w:val="24"/>
              </w:rPr>
              <w:t xml:space="preserve"> ГЭС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Verdana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Российская Федерация, Ставропольский край, Изобильненский район, поселок Солнечнодольск, микрорайон Пионерный, пер. Заводской, 2А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Verdana"/>
                <w:bCs/>
                <w:color w:val="000000"/>
                <w:sz w:val="24"/>
                <w:szCs w:val="24"/>
              </w:rPr>
            </w:pPr>
            <w:r>
              <w:rPr>
                <w:rFonts w:eastAsia="Verdana"/>
                <w:bCs/>
                <w:color w:val="000000"/>
                <w:sz w:val="24"/>
                <w:szCs w:val="24"/>
              </w:rPr>
              <w:t>Деривационный канал Новотроицкой ГЭС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-</w:t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16" w:name="__RefHeading___Toc50515_3850693634"/>
      <w:bookmarkStart w:id="17" w:name="_Toc54643700"/>
      <w:bookmarkStart w:id="18" w:name="_Hlk49857604"/>
      <w:bookmarkStart w:id="19" w:name="_Toc46743509"/>
      <w:bookmarkEnd w:id="16"/>
      <w:r>
        <w:rPr/>
        <w:t xml:space="preserve">Информация в отношении исполнения договора, </w:t>
      </w:r>
      <w:bookmarkStart w:id="20" w:name="_Hlk46492347"/>
      <w:r>
        <w:rPr/>
        <w:t xml:space="preserve">которая должна быть учтена при подготовке заявки </w:t>
      </w:r>
      <w:bookmarkEnd w:id="20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8"/>
      <w:bookmarkEnd w:id="19"/>
      <w:r>
        <w:rPr>
          <w:lang w:val="ru-RU"/>
        </w:rPr>
        <w:t xml:space="preserve"> </w:t>
      </w:r>
      <w:bookmarkEnd w:id="17"/>
    </w:p>
    <w:p>
      <w:pPr>
        <w:pStyle w:val="Normal"/>
        <w:ind w:firstLine="567"/>
        <w:jc w:val="both"/>
        <w:rPr>
          <w:rFonts w:cs="Calibri"/>
          <w:sz w:val="24"/>
          <w:szCs w:val="24"/>
        </w:rPr>
      </w:pPr>
      <w:bookmarkStart w:id="21" w:name="_Toc50125126"/>
      <w:bookmarkStart w:id="22" w:name="_Toc54643701"/>
      <w:bookmarkEnd w:id="21"/>
      <w:bookmarkEnd w:id="22"/>
      <w:r>
        <w:rPr>
          <w:rFonts w:cs="Calibri"/>
          <w:sz w:val="24"/>
          <w:szCs w:val="24"/>
        </w:rPr>
        <w:t xml:space="preserve">Участнику предусмотреть включение 3% от общей сметной стоимости затраты на непредвиденные расходы, которые могут возникнуть в процессе оказания услуг. </w:t>
      </w:r>
    </w:p>
    <w:p>
      <w:pPr>
        <w:pStyle w:val="Normal"/>
        <w:ind w:firstLine="56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Перечень ресурсов, предоставляемых Заказчиком и необходимых для оказания услуг по договорам:</w:t>
      </w:r>
    </w:p>
    <w:p>
      <w:pPr>
        <w:pStyle w:val="Normal"/>
        <w:ind w:firstLine="56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вода;</w:t>
      </w:r>
    </w:p>
    <w:p>
      <w:pPr>
        <w:pStyle w:val="Normal"/>
        <w:ind w:firstLine="56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электроснабжение;</w:t>
      </w:r>
    </w:p>
    <w:p>
      <w:pPr>
        <w:pStyle w:val="Normal"/>
        <w:ind w:firstLine="56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обеспечение санитарно-гигиенических и бытовых условий.</w:t>
      </w:r>
    </w:p>
    <w:p>
      <w:pPr>
        <w:pStyle w:val="Normal"/>
        <w:ind w:firstLine="56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содержание пожарной и сторожевой охраны.</w:t>
      </w:r>
    </w:p>
    <w:p>
      <w:pPr>
        <w:pStyle w:val="Normal"/>
        <w:ind w:firstLine="56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представление помещений:</w:t>
      </w:r>
    </w:p>
    <w:p>
      <w:pPr>
        <w:pStyle w:val="Normal"/>
        <w:ind w:firstLine="56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помещения для размещения персонала исполнителя.</w:t>
      </w:r>
    </w:p>
    <w:p>
      <w:pPr>
        <w:pStyle w:val="Normal"/>
        <w:ind w:firstLine="56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- складские помещения и площадки для погрузки / разгрузки / складирования / хранения материально-технических ресурсов, оборудования исполнителя, а также давальческих материалов и запасных частей, оборудования заказчика.</w:t>
      </w:r>
    </w:p>
    <w:p>
      <w:pPr>
        <w:pStyle w:val="Normal"/>
        <w:jc w:val="both"/>
        <w:rPr>
          <w:rFonts w:cs="Calibri"/>
          <w:sz w:val="24"/>
          <w:szCs w:val="24"/>
        </w:rPr>
      </w:pPr>
      <w:bookmarkStart w:id="23" w:name="_Toc54646402"/>
      <w:r>
        <w:rPr>
          <w:rFonts w:cs="Calibri"/>
          <w:sz w:val="24"/>
          <w:szCs w:val="24"/>
        </w:rPr>
        <w:t>Особые условия оказания услуг</w:t>
      </w:r>
      <w:bookmarkEnd w:id="23"/>
      <w:r>
        <w:rPr>
          <w:rFonts w:cs="Calibri"/>
          <w:sz w:val="24"/>
          <w:szCs w:val="24"/>
        </w:rPr>
        <w:t>:</w:t>
      </w:r>
    </w:p>
    <w:p>
      <w:pPr>
        <w:pStyle w:val="Normal"/>
        <w:ind w:left="0" w:right="0" w:firstLine="709"/>
        <w:jc w:val="both"/>
        <w:rPr>
          <w:rFonts w:ascii="Times New Roman" w:hAnsi="Times New Roman" w:eastAsia="Times New Roman" w:cs="Calibri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Calibri"/>
          <w:color w:val="auto"/>
          <w:kern w:val="0"/>
          <w:sz w:val="24"/>
          <w:szCs w:val="24"/>
          <w:lang w:val="ru-RU" w:eastAsia="ru-RU" w:bidi="ar-SA"/>
        </w:rPr>
        <w:t>Образовавшиеся в процессе оказания услуг отходы являются собственностью Исполнителя.</w:t>
      </w:r>
    </w:p>
    <w:p>
      <w:pPr>
        <w:pStyle w:val="Heading4"/>
        <w:keepNext w:val="true"/>
        <w:widowControl/>
        <w:numPr>
          <w:ilvl w:val="0"/>
          <w:numId w:val="0"/>
        </w:numPr>
        <w:suppressAutoHyphens w:val="true"/>
        <w:bidi w:val="0"/>
        <w:spacing w:before="120" w:after="60"/>
        <w:ind w:left="432" w:hanging="0"/>
        <w:jc w:val="left"/>
        <w:rPr>
          <w:b w:val="false"/>
          <w:lang w:val="ru-RU"/>
        </w:rPr>
      </w:pPr>
      <w:r>
        <w:rPr>
          <w:b w:val="false"/>
          <w:lang w:val="ru-RU"/>
        </w:rPr>
      </w:r>
      <w:bookmarkStart w:id="24" w:name="_Toc54643702"/>
      <w:bookmarkStart w:id="25" w:name="_Toc51339693"/>
      <w:bookmarkStart w:id="26" w:name="_Toc54643701_Копия_1"/>
      <w:bookmarkStart w:id="27" w:name="_Toc54643702"/>
      <w:bookmarkStart w:id="28" w:name="_Toc51339693"/>
      <w:bookmarkStart w:id="29" w:name="_Toc54643701_Копия_1"/>
      <w:bookmarkEnd w:id="29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30" w:name="__RefHeading___Toc50517_3850693634"/>
      <w:bookmarkEnd w:id="30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27"/>
      <w:bookmarkEnd w:id="28"/>
    </w:p>
    <w:p>
      <w:pPr>
        <w:pStyle w:val="Heading4"/>
        <w:numPr>
          <w:ilvl w:val="1"/>
          <w:numId w:val="3"/>
        </w:numPr>
        <w:rPr/>
      </w:pPr>
      <w:bookmarkStart w:id="31" w:name="__RefHeading___Toc50519_3850693634"/>
      <w:bookmarkStart w:id="32" w:name="_Toc54643703"/>
      <w:bookmarkEnd w:id="31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32"/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33" w:name="__RefHeading___Toc50521_3850693634"/>
      <w:bookmarkStart w:id="34" w:name="_Toc54643704"/>
      <w:bookmarkEnd w:id="33"/>
      <w:r>
        <w:rPr>
          <w:lang w:val="ru-RU"/>
        </w:rPr>
        <w:t>Требования к перечню и объему услуг</w:t>
      </w:r>
      <w:bookmarkEnd w:id="34"/>
    </w:p>
    <w:p>
      <w:pPr>
        <w:pStyle w:val="Normal"/>
        <w:rPr>
          <w:sz w:val="24"/>
          <w:szCs w:val="24"/>
          <w:lang w:eastAsia="x-none"/>
        </w:rPr>
      </w:pPr>
      <w:r>
        <w:rPr>
          <w:bCs/>
          <w:sz w:val="24"/>
          <w:szCs w:val="24"/>
        </w:rPr>
        <w:t>Перечень оказываемых услуг:</w:t>
      </w:r>
    </w:p>
    <w:p>
      <w:pPr>
        <w:pStyle w:val="Normal"/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- разработка и согласование ППР;</w:t>
      </w:r>
    </w:p>
    <w:p>
      <w:pPr>
        <w:pStyle w:val="Normal"/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- перебазировка техники к месту оказания услуг;</w:t>
      </w:r>
    </w:p>
    <w:p>
      <w:pPr>
        <w:pStyle w:val="Normal"/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- планировка места отвала;</w:t>
      </w:r>
    </w:p>
    <w:p>
      <w:pPr>
        <w:pStyle w:val="Normal"/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- очистка дна канала от ракушки, механизированным способом;</w:t>
      </w:r>
    </w:p>
    <w:p>
      <w:pPr>
        <w:pStyle w:val="Normal"/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- погрузка на гребне, после подъёма на верх;</w:t>
      </w:r>
    </w:p>
    <w:p>
      <w:pPr>
        <w:pStyle w:val="Normal"/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- вывоз отходов на полигон.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35" w:name="__RefHeading___Toc50523_3850693634"/>
      <w:bookmarkStart w:id="36" w:name="_Toc54643705"/>
      <w:bookmarkStart w:id="37" w:name="_Toc51339695"/>
      <w:bookmarkEnd w:id="3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37"/>
      <w:r>
        <w:rPr>
          <w:sz w:val="24"/>
          <w:szCs w:val="24"/>
          <w:lang w:val="ru-RU"/>
        </w:rPr>
        <w:t>и объем оказываемых услуг</w:t>
      </w:r>
      <w:bookmarkEnd w:id="36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9"/>
        <w:gridCol w:w="3857"/>
        <w:gridCol w:w="2693"/>
        <w:gridCol w:w="2410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оказания услуг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«ОКПД2 42.91.20.190 </w:t>
            </w:r>
            <w:r>
              <w:rPr>
                <w:sz w:val="24"/>
                <w:szCs w:val="24"/>
              </w:rPr>
              <w:t>Механическое очищение от ракушки ж/б плит откосов деривационного канала Новотроицкой ГЭС Филиала ПАО «РусГидро» – «Каскад Кубанских ГЭС»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ведомостью оказания услуг (Приложение №2 к настоящим Техническим требованиям)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38" w:name="__RefHeading___Toc50525_3850693634"/>
      <w:bookmarkStart w:id="39" w:name="_Toc54643706"/>
      <w:bookmarkStart w:id="40" w:name="_Toc51339696"/>
      <w:bookmarkEnd w:id="38"/>
      <w:r>
        <w:rPr>
          <w:lang w:val="ru-RU"/>
        </w:rPr>
        <w:t xml:space="preserve">Требования </w:t>
      </w:r>
      <w:bookmarkEnd w:id="40"/>
      <w:r>
        <w:rPr>
          <w:lang w:val="ru-RU"/>
        </w:rPr>
        <w:t>к срокам оказания услуг</w:t>
      </w:r>
      <w:bookmarkEnd w:id="39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41" w:name="__RefHeading___Toc50527_3850693634"/>
      <w:bookmarkStart w:id="42" w:name="_Toc54643707"/>
      <w:bookmarkStart w:id="43" w:name="_Toc50125127"/>
      <w:bookmarkStart w:id="44" w:name="_Toc51339697"/>
      <w:bookmarkStart w:id="45" w:name="_Toc50125126_Копия_1"/>
      <w:bookmarkEnd w:id="41"/>
      <w:bookmarkEnd w:id="4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46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43"/>
      <w:bookmarkEnd w:id="44"/>
      <w:bookmarkEnd w:id="46"/>
      <w:r>
        <w:rPr>
          <w:sz w:val="24"/>
          <w:szCs w:val="24"/>
          <w:lang w:val="ru-RU"/>
        </w:rPr>
        <w:t>оказания услуг</w:t>
      </w:r>
      <w:bookmarkEnd w:id="42"/>
    </w:p>
    <w:tbl>
      <w:tblPr>
        <w:tblW w:w="1048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29"/>
        <w:gridCol w:w="2552"/>
        <w:gridCol w:w="2551"/>
        <w:gridCol w:w="2268"/>
        <w:gridCol w:w="1985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ОКПД2 42.91.20.190 </w:t>
            </w:r>
            <w:r>
              <w:rPr>
                <w:sz w:val="24"/>
                <w:szCs w:val="24"/>
              </w:rPr>
              <w:t>Механическое очищение от ракушки ж/б плит откосов деривационного канала Новотроицкой ГЭС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14.09.2026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09.10.2026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bookmarkStart w:id="47" w:name="_Toc46743510"/>
            <w:r>
              <w:rPr>
                <w:i/>
                <w:iCs/>
                <w:sz w:val="24"/>
                <w:szCs w:val="24"/>
              </w:rPr>
              <w:t>нет</w:t>
            </w:r>
            <w:bookmarkEnd w:id="47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48" w:name="__RefHeading___Toc50529_3850693634"/>
      <w:bookmarkStart w:id="49" w:name="_Toc54643709"/>
      <w:bookmarkStart w:id="50" w:name="_Toc51339698"/>
      <w:bookmarkStart w:id="51" w:name="_Toc54643708"/>
      <w:bookmarkStart w:id="52" w:name="_Toc46743511"/>
      <w:bookmarkEnd w:id="48"/>
      <w:r>
        <w:rPr/>
        <w:t xml:space="preserve">Требования к </w:t>
      </w:r>
      <w:bookmarkEnd w:id="52"/>
      <w:r>
        <w:rPr>
          <w:lang w:val="ru-RU"/>
        </w:rPr>
        <w:t>качеству услуг</w:t>
      </w:r>
      <w:bookmarkEnd w:id="51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53" w:name="__RefHeading___Toc50531_3850693634"/>
      <w:bookmarkEnd w:id="53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50"/>
      <w:r>
        <w:rPr>
          <w:sz w:val="24"/>
          <w:szCs w:val="24"/>
          <w:lang w:val="ru-RU"/>
        </w:rPr>
        <w:t>качеству услуг</w:t>
      </w:r>
      <w:bookmarkEnd w:id="49"/>
      <w:r>
        <w:rPr>
          <w:sz w:val="24"/>
          <w:szCs w:val="24"/>
        </w:rPr>
        <w:t xml:space="preserve"> 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№1 Таблицы 2): </w:t>
      </w:r>
      <w:r>
        <w:rPr>
          <w:rFonts w:eastAsia="Calibri"/>
          <w:b/>
          <w:i/>
          <w:sz w:val="24"/>
          <w:szCs w:val="24"/>
        </w:rPr>
        <w:t>«</w:t>
      </w:r>
      <w:r>
        <w:rPr>
          <w:rFonts w:eastAsia="Calibri" w:cs="Calibri"/>
          <w:b/>
          <w:i/>
          <w:sz w:val="24"/>
          <w:szCs w:val="24"/>
        </w:rPr>
        <w:t xml:space="preserve">ОКПД2 42.91.20.190 </w:t>
      </w:r>
      <w:r>
        <w:rPr>
          <w:rFonts w:eastAsia="Calibri"/>
          <w:b/>
          <w:i/>
          <w:sz w:val="24"/>
          <w:szCs w:val="24"/>
        </w:rPr>
        <w:t>Механическое очищение от ракушки ж/б плит откосов деривационного канала Новотроицкой ГЭС Филиала ПАО «РусГидро» – «Каскад Кубанских ГЭС».</w:t>
      </w:r>
    </w:p>
    <w:tbl>
      <w:tblPr>
        <w:tblStyle w:val="af0"/>
        <w:tblW w:w="1527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27"/>
        <w:gridCol w:w="1592"/>
        <w:gridCol w:w="8157"/>
        <w:gridCol w:w="1420"/>
        <w:gridCol w:w="1984"/>
        <w:gridCol w:w="1396"/>
      </w:tblGrid>
      <w:tr>
        <w:trPr/>
        <w:tc>
          <w:tcPr>
            <w:tcW w:w="72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59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815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34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39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2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59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815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54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54"/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81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142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7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142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Соблюдение при оказании услуг норм и правил нормативно-технических документов</w:t>
            </w:r>
          </w:p>
        </w:tc>
        <w:tc>
          <w:tcPr>
            <w:tcW w:w="8157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Услуги оказываются в соответствии с  ППР, разработанным в соответствии с СТО РусГидро 02.01.62 – 2021 http://www.rushydro.ru/upload/iblock/514/STO-RusGidro-02.01.62-2021_TOiR.pdf.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Разработка и согласование с Заказчиком ППР должны быть завершены не менее чем за 3 рабочих дня до начала оказания услуг.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Услуги оказываются в соответствии с требованиями: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- СНиП 12-03-2001 «Безопасность труда в строительстве» ч.1,2 </w:t>
            </w:r>
            <w:hyperlink r:id="rId5">
              <w:r>
                <w:rPr>
                  <w:rFonts w:eastAsia="Calibri" w:cs="Times New Roman"/>
                  <w:kern w:val="0"/>
                  <w:sz w:val="24"/>
                  <w:szCs w:val="24"/>
                  <w:lang w:val="ru-RU" w:eastAsia="ru-RU" w:bidi="ar-SA"/>
                </w:rPr>
                <w:t>http://sniprf.ru/razdel-1/12-03-2001</w:t>
              </w:r>
            </w:hyperlink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Правила по охране труда при строительстве, реконструкции и ремонте от 11 декабря 2020 года N 883н https://normativ.kontur.ru/document?moduleId=1&amp;documentId=379887;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“Приказа Минтруда России от 27 ноября 2020 года N 835н</w:t>
              <w:br/>
              <w:t xml:space="preserve">"Об утверждении Правил по охране труда при работе с инструментом и приспособлениями" </w:t>
            </w:r>
            <w:hyperlink r:id="rId6">
              <w:r>
                <w:rPr>
                  <w:rFonts w:eastAsia="Calibri" w:cs="Times New Roman"/>
                  <w:kern w:val="0"/>
                  <w:sz w:val="24"/>
                  <w:szCs w:val="24"/>
                  <w:lang w:val="ru-RU" w:eastAsia="ru-RU" w:bidi="ar-SA"/>
                </w:rPr>
                <w:t>https://normativ.kontur.ru/document?moduleId=1&amp;documentId=378642</w:t>
              </w:r>
            </w:hyperlink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Правил по охране труда при погрузочно-разгрузочных работах и размещении грузов, утвержденных Приказом Минтруда России от 28.10.2020 года N 753н https://normativ.kontur.ru/document?moduleId=1&amp;documentId=386233;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постановление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Правительства Российской Федерации от 16 сентября 2020 года N 1479 «О противопожарном режиме в Российской Федерации» https://www.garant.ru/products/ipo/prime/doc/74580206/.</w:t>
            </w:r>
          </w:p>
        </w:tc>
        <w:tc>
          <w:tcPr>
            <w:tcW w:w="1420" w:type="dxa"/>
            <w:tcBorders/>
            <w:shd w:color="auto" w:fill="auto" w:val="clear"/>
          </w:tcPr>
          <w:p>
            <w:pPr>
              <w:pStyle w:val="BodyText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/>
              <w:t>Согласие с требованием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BodyText"/>
              <w:widowControl w:val="false"/>
              <w:numPr>
                <w:ilvl w:val="0"/>
              </w:numPr>
              <w:spacing w:before="0" w:after="120"/>
              <w:rPr>
                <w:rFonts w:eastAsia="Times New Roman"/>
                <w:lang w:val="ru-RU" w:eastAsia="ru-RU"/>
              </w:rPr>
            </w:pPr>
            <w:bookmarkStart w:id="55" w:name="__RefHeading___Toc50533_3850693634"/>
            <w:bookmarkEnd w:id="55"/>
            <w:r>
              <w:rPr/>
              <w:t>-</w:t>
            </w:r>
          </w:p>
        </w:tc>
        <w:tc>
          <w:tcPr>
            <w:tcW w:w="139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‍</w:t>
            </w:r>
          </w:p>
        </w:tc>
        <w:tc>
          <w:tcPr>
            <w:tcW w:w="974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 исполнитель должен иметь договор с полигонов на оказание услуг по размещению отходов 5 класса.</w:t>
            </w:r>
          </w:p>
        </w:tc>
        <w:tc>
          <w:tcPr>
            <w:tcW w:w="14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96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2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49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Места подключения временных коммуникаций определяет Заказчик;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своевременно предупреждает Заказчика о необходимости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оказания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дополнительных услуг;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Исполнитель представляет Заказчику, по его запросу, письменный отчёт о текущем исполнении своих обязательств;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разрабатывает и согласовывает с Заказчиком график </w:t>
            </w:r>
            <w:r>
              <w:rPr>
                <w:rFonts w:eastAsia="Times New Roman" w:cs="Calibri"/>
                <w:kern w:val="0"/>
                <w:sz w:val="24"/>
                <w:szCs w:val="24"/>
                <w:lang w:val="ru-RU" w:eastAsia="ru-RU" w:bidi="ar-SA"/>
              </w:rPr>
              <w:t>оказания услуг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выполняет подготовку объекта к сдаче-приемке по окончанию оказания услуг: вывоз с территории инструмента, строительного мусора, уборка объекта.</w:t>
            </w:r>
          </w:p>
        </w:tc>
        <w:tc>
          <w:tcPr>
            <w:tcW w:w="14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9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2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‍</w:t>
            </w:r>
          </w:p>
        </w:tc>
        <w:tc>
          <w:tcPr>
            <w:tcW w:w="1592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815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Исполнителя (соисполнителя) на объекты и территорию заказчика осуществляются в соответствии с Регламентом процесса «Допуск персонала подрядных организаций на объекты ПАО «РусГидро», приказ ПАО «РусГидро» от 28.04.2023 № 300 (Приложение №3), с обязательным оформлением необходимых нарядов-допусков, и Положением по пропускному и внутриобъектовому режиму Заказчика.</w:t>
            </w:r>
          </w:p>
        </w:tc>
        <w:tc>
          <w:tcPr>
            <w:tcW w:w="14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>
              <w:top w:val="nil"/>
            </w:tcBorders>
            <w:shd w:color="auto" w:fill="auto" w:val="clear"/>
          </w:tcPr>
          <w:p>
            <w:pPr>
              <w:pStyle w:val="BodyText"/>
              <w:widowControl w:val="false"/>
              <w:numPr>
                <w:ilvl w:val="0"/>
              </w:numPr>
              <w:spacing w:before="0" w:after="120"/>
              <w:rPr>
                <w:sz w:val="24"/>
                <w:szCs w:val="24"/>
              </w:rPr>
            </w:pPr>
            <w:bookmarkStart w:id="56" w:name="__RefHeading___Toc50535_3850693634"/>
            <w:bookmarkEnd w:id="56"/>
            <w:r>
              <w:rPr>
                <w:sz w:val="24"/>
                <w:szCs w:val="24"/>
              </w:rPr>
              <w:t>-</w:t>
            </w:r>
          </w:p>
        </w:tc>
        <w:tc>
          <w:tcPr>
            <w:tcW w:w="139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4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142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Квалификация персонала исполнителя, привлекаемого к оказанию услуг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815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ind w:firstLine="2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Наличие у Исполнителя собственного или привлеченного (по трудовым либо гражданско-правовым договорам) квалифицированного персонала: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ind w:firstLine="2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машинист экскаватора не менее 1-го чел;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ind w:firstLine="2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машинист бульдозера не менее 1-го чел;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ind w:firstLine="2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машинист крана не менее 1-го чел.;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ind w:firstLine="2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водитель категории С не менее 2-х чел;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ind w:firstLine="2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мастер строительного участка не менее 1чел;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en-US" w:eastAsia="ru-RU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Справка о кадровых ресурсах в произвольной форме </w:t>
            </w: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 указанием сведений  о квалификации персонала, разряде и группе по электробезопасности  с приложением копий  удостоверений на производство специальных видов работ (возможно совмещение специальностей)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bidi w:val="0"/>
              <w:spacing w:before="60" w:after="60"/>
              <w:ind w:left="794" w:right="0" w:hanging="68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Требования к технике исполнителя</w:t>
            </w:r>
          </w:p>
        </w:tc>
        <w:tc>
          <w:tcPr>
            <w:tcW w:w="142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2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36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9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Специальная техника исполнителя, привлекаемая к оказанию услуг</w:t>
            </w:r>
          </w:p>
        </w:tc>
        <w:tc>
          <w:tcPr>
            <w:tcW w:w="81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ind w:firstLine="209"/>
              <w:jc w:val="both"/>
              <w:rPr/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Исполнитель должен иметь в собственности или на ином законном основании следующие механизмы и специализированную технику: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ind w:firstLine="209"/>
              <w:jc w:val="both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 Экскаватор гусеничный с длинной стрелой (18м) HITACHI ZX330 (или эквивалент) количество: не менее 1 шт.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ind w:firstLine="209"/>
              <w:jc w:val="both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2. Гусеничный бульдозер HITACHI FD145 (или эквивалент): количество: не менее 1 шт.;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ind w:firstLine="209"/>
              <w:jc w:val="both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3. Автомобиль КАМАЗ: -количество: не менее 1 шт.; грузоподъемность: не менее 10 тонн</w:t>
            </w: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Calibri" w:cs="Times New Roman"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Справка о материально-технических ресурсах в произвольной  форме, включая следующие обязательные приложения к ней: 1.паспорт транспортного средства (ПТС)/ паспорт самоходной машины (ПСМ); 2. или копия договора аренды (в случае владения по договору аренды); 3.или копия договора лизинга (в случае владения по договору лизинга); 4.или копия иного документа, подтверждающего законное право владения (в случае владения на ином основании).</w:t>
            </w:r>
          </w:p>
        </w:tc>
        <w:tc>
          <w:tcPr>
            <w:tcW w:w="1396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2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49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1420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142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Результат 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услуг</w:t>
            </w:r>
          </w:p>
        </w:tc>
        <w:tc>
          <w:tcPr>
            <w:tcW w:w="815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По результатам оказанных услуг, ракушка с откоса деривационного канала гидротехнических должна быть удалена полностью.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Объем оказываемых услуг должен соответствовать Приложению № 2, настоящих ТТ.</w:t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</w:tcPr>
          <w:p>
            <w:pPr>
              <w:pStyle w:val="BodyText"/>
              <w:widowControl w:val="false"/>
              <w:numPr>
                <w:ilvl w:val="0"/>
              </w:numPr>
              <w:spacing w:before="0" w:after="120"/>
              <w:rPr>
                <w:rFonts w:eastAsia="Times New Roman"/>
                <w:b w:val="false"/>
                <w:lang w:val="en-US" w:eastAsia="ru-RU"/>
              </w:rPr>
            </w:pPr>
            <w:bookmarkStart w:id="57" w:name="__RefHeading___Toc50537_3850693634"/>
            <w:bookmarkEnd w:id="57"/>
            <w:r>
              <w:rPr/>
              <w:t>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работ и охране труда</w:t>
            </w:r>
          </w:p>
        </w:tc>
        <w:tc>
          <w:tcPr>
            <w:tcW w:w="142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Требования к безопасности оказываемых услуг</w:t>
            </w:r>
          </w:p>
        </w:tc>
        <w:tc>
          <w:tcPr>
            <w:tcW w:w="815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соблюдать требования действующего федерального законодательства Российской Федерации, нормативных правовых актов субъектов Российской Федерации (охране окружающей среды, промышленной и пожарной безопасности, охране труда указанных в п 1.1.1 Общие требования к оказанию услуг)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направлять на объекты заказчика работников, обученных правилам безопасного оказания услуг и имеющих все необходимые допуски к производству работ, а также представлять документы на русском языке, подтверждающие аттестацию работников на оказание соответствующих видов услуг.</w:t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</w:tcPr>
          <w:p>
            <w:pPr>
              <w:pStyle w:val="BodyText"/>
              <w:widowControl w:val="false"/>
              <w:spacing w:before="0" w:after="120"/>
              <w:rPr>
                <w:b/>
                <w:bCs/>
                <w:sz w:val="24"/>
                <w:szCs w:val="24"/>
                <w:lang w:val="en-US"/>
              </w:rPr>
            </w:pPr>
            <w:r>
              <w:rPr/>
              <w:t>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</w:p>
        </w:tc>
        <w:tc>
          <w:tcPr>
            <w:tcW w:w="142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приемке оказания услуг</w:t>
            </w:r>
          </w:p>
        </w:tc>
        <w:tc>
          <w:tcPr>
            <w:tcW w:w="815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По завершению оказания услуг Исполнитель совместно с Заказчиком при пониженном уровне воды производит визуальный осмотр канал</w:t>
            </w: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а. По результатам проведенного осмотра Заказчиком и Исполнителем будет подписан акт приемки оказанных услуг. </w:t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</w:tcPr>
          <w:p>
            <w:pPr>
              <w:pStyle w:val="BodyText"/>
              <w:widowControl w:val="false"/>
              <w:spacing w:before="0" w:after="120"/>
              <w:rPr>
                <w:b/>
                <w:sz w:val="24"/>
                <w:szCs w:val="24"/>
              </w:rPr>
            </w:pPr>
            <w:r>
              <w:rPr/>
              <w:t>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42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 результатам оказанных услуг</w:t>
            </w:r>
          </w:p>
        </w:tc>
        <w:tc>
          <w:tcPr>
            <w:tcW w:w="815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Исполнитель представляет Заказчику с актами оказания услуг, акт приемки-сдачи и исполнительную документацию (журналы ведения работ);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Отчётные документы (акты) представить на бумажном носителе в 2 экземплярах, на электронном носителе в 1 экземпляре в форматах *.dwg, *.vsd, *.dос, *.хls. или по электронному документо обороту.</w:t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</w:tcPr>
          <w:p>
            <w:pPr>
              <w:pStyle w:val="BodyText"/>
              <w:widowControl w:val="false"/>
              <w:numPr>
                <w:ilvl w:val="0"/>
              </w:numPr>
              <w:spacing w:before="0" w:after="120"/>
              <w:rPr>
                <w:lang w:val="en-US"/>
              </w:rPr>
            </w:pPr>
            <w:bookmarkStart w:id="58" w:name="__RefHeading___Toc50539_3850693634"/>
            <w:bookmarkEnd w:id="58"/>
            <w:r>
              <w:rPr/>
              <w:t>-</w:t>
            </w:r>
          </w:p>
        </w:tc>
        <w:tc>
          <w:tcPr>
            <w:tcW w:w="1396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42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37" w:hRule="atLeast"/>
        </w:trPr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BodyText"/>
              <w:widowControl w:val="false"/>
              <w:numPr>
                <w:ilvl w:val="0"/>
              </w:numPr>
              <w:spacing w:before="0" w:after="120"/>
              <w:rPr>
                <w:sz w:val="24"/>
                <w:szCs w:val="24"/>
              </w:rPr>
            </w:pPr>
            <w:bookmarkStart w:id="59" w:name="__RefHeading___Toc50541_3850693634"/>
            <w:bookmarkEnd w:id="59"/>
            <w:r>
              <w:rPr>
                <w:sz w:val="24"/>
                <w:szCs w:val="24"/>
              </w:rPr>
              <w:t>Гарантируемый показатель</w:t>
            </w:r>
          </w:p>
        </w:tc>
        <w:tc>
          <w:tcPr>
            <w:tcW w:w="815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Приведение к проектным отметкам откосов деривационного канала</w:t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</w:tcPr>
          <w:p>
            <w:pPr>
              <w:pStyle w:val="BodyText"/>
              <w:widowControl w:val="false"/>
              <w:numPr>
                <w:ilvl w:val="0"/>
              </w:numPr>
              <w:spacing w:before="0" w:after="120"/>
              <w:rPr>
                <w:lang w:val="en-US"/>
              </w:rPr>
            </w:pPr>
            <w:bookmarkStart w:id="60" w:name="__RefHeading___Toc50543_3850693634"/>
            <w:bookmarkEnd w:id="60"/>
            <w:r>
              <w:rPr/>
              <w:t>-</w:t>
            </w:r>
          </w:p>
        </w:tc>
        <w:tc>
          <w:tcPr>
            <w:tcW w:w="1396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142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на результат услуг</w:t>
            </w:r>
          </w:p>
        </w:tc>
        <w:tc>
          <w:tcPr>
            <w:tcW w:w="81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В случае повреждения имущества Заказчика в ходе оказания услуг, Исполнитель устраняет возникшие повреждения за свой счет в согласованные с Заказчиком сроки, но не позднее 15-ти календарных дней с даты подписания Сторонами Акта дефектации, подготовленного в произвольной форме;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Исполнитель компенсирует все потери от простоя имущества (оборудования) в ремонте по этим причинам.</w:t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</w:tcPr>
          <w:p>
            <w:pPr>
              <w:pStyle w:val="BodyText"/>
              <w:widowControl w:val="false"/>
              <w:spacing w:before="0" w:after="120"/>
              <w:rPr>
                <w:b/>
                <w:bCs/>
                <w:sz w:val="24"/>
                <w:szCs w:val="24"/>
                <w:lang w:val="en-US"/>
              </w:rPr>
            </w:pPr>
            <w:r>
              <w:rPr/>
              <w:t>-</w:t>
            </w:r>
          </w:p>
        </w:tc>
        <w:tc>
          <w:tcPr>
            <w:tcW w:w="1396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49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142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2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Требования к соисполнителям, привлекаемым к оказанию услуг</w:t>
            </w:r>
          </w:p>
        </w:tc>
        <w:tc>
          <w:tcPr>
            <w:tcW w:w="81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В случае привлечения к оказанию услуг соисполнителей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оказания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ими услуг</w:t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</w:tcPr>
          <w:p>
            <w:pPr>
              <w:pStyle w:val="BodyText"/>
              <w:widowControl w:val="false"/>
              <w:numPr>
                <w:ilvl w:val="0"/>
              </w:numPr>
              <w:spacing w:before="0" w:after="120"/>
              <w:rPr>
                <w:lang w:val="en-US"/>
              </w:rPr>
            </w:pPr>
            <w:bookmarkStart w:id="61" w:name="__RefHeading___Toc50545_3850693634"/>
            <w:bookmarkEnd w:id="61"/>
            <w:r>
              <w:rPr/>
              <w:t>-</w:t>
            </w:r>
          </w:p>
        </w:tc>
        <w:tc>
          <w:tcPr>
            <w:tcW w:w="1396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62" w:name="__RefHeading___Toc50547_3850693634"/>
      <w:bookmarkStart w:id="63" w:name="_Toc46743519"/>
      <w:bookmarkStart w:id="64" w:name="_Toc51339699"/>
      <w:bookmarkStart w:id="65" w:name="_Toc54643710"/>
      <w:bookmarkStart w:id="66" w:name="_Toc53395937"/>
      <w:bookmarkStart w:id="67" w:name="_Toc53393312"/>
      <w:bookmarkEnd w:id="62"/>
      <w:r>
        <w:rPr>
          <w:lang w:val="ru-RU"/>
        </w:rPr>
        <w:t>Требования к документации по ценообразованию</w:t>
      </w:r>
      <w:bookmarkEnd w:id="66"/>
      <w:bookmarkEnd w:id="67"/>
      <w:r>
        <w:rPr>
          <w:lang w:val="ru-RU"/>
        </w:rPr>
        <w:t xml:space="preserve"> на этапе закупки</w:t>
      </w:r>
      <w:bookmarkEnd w:id="65"/>
    </w:p>
    <w:p>
      <w:pPr>
        <w:pStyle w:val="BodyText"/>
        <w:jc w:val="both"/>
        <w:rPr>
          <w:sz w:val="24"/>
          <w:szCs w:val="24"/>
        </w:rPr>
      </w:pPr>
      <w:bookmarkStart w:id="68" w:name="__RefHeading___Toc50549_3850693634"/>
      <w:bookmarkEnd w:id="68"/>
      <w:r>
        <w:rPr>
          <w:b w:val="false"/>
          <w:sz w:val="24"/>
          <w:szCs w:val="24"/>
          <w:lang w:val="ru-RU"/>
        </w:rPr>
        <w:t xml:space="preserve">     </w:t>
      </w:r>
      <w:r>
        <w:rPr>
          <w:b w:val="false"/>
          <w:sz w:val="24"/>
          <w:szCs w:val="24"/>
          <w:lang w:val="ru-RU"/>
        </w:rPr>
        <w:t xml:space="preserve">3.1. </w:t>
      </w:r>
      <w:r>
        <w:rPr>
          <w:b w:val="false"/>
          <w:sz w:val="24"/>
          <w:szCs w:val="24"/>
        </w:rPr>
        <w:t xml:space="preserve">В обоснование стоимости заявки Участник должен представить Коммерческое предложение. Сметная документация в состав заявки участника не включается. 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rFonts w:eastAsia="Times New Roman"/>
          <w:sz w:val="24"/>
          <w:szCs w:val="24"/>
        </w:rPr>
      </w:pPr>
      <w:bookmarkStart w:id="69" w:name="__RefHeading___Toc50551_3850693634"/>
      <w:bookmarkEnd w:id="69"/>
      <w:r>
        <w:rPr/>
        <w:t xml:space="preserve">Требования к документации по </w:t>
      </w:r>
      <w:r>
        <w:rPr>
          <w:lang w:val="ru-RU"/>
        </w:rPr>
        <w:t>ценообразованию</w:t>
      </w:r>
      <w:r>
        <w:rPr/>
        <w:t xml:space="preserve"> на этапе заключения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Cs w:val="24"/>
        </w:rPr>
        <w:t>(исполнения) договора</w:t>
      </w:r>
    </w:p>
    <w:p>
      <w:pPr>
        <w:pStyle w:val="BodyText"/>
        <w:jc w:val="both"/>
        <w:rPr>
          <w:sz w:val="24"/>
          <w:szCs w:val="24"/>
        </w:rPr>
      </w:pPr>
      <w:bookmarkStart w:id="70" w:name="__RefHeading___Toc50553_3850693634"/>
      <w:bookmarkStart w:id="71" w:name="_Toc126226171"/>
      <w:bookmarkStart w:id="72" w:name="_Toc126226568"/>
      <w:bookmarkEnd w:id="70"/>
      <w:bookmarkEnd w:id="71"/>
      <w:bookmarkEnd w:id="72"/>
      <w:r>
        <w:rPr>
          <w:b w:val="false"/>
          <w:sz w:val="24"/>
          <w:szCs w:val="24"/>
          <w:lang w:val="ru-RU"/>
        </w:rPr>
        <w:t xml:space="preserve">4.1. </w:t>
      </w:r>
      <w:r>
        <w:rPr>
          <w:b w:val="false"/>
          <w:sz w:val="24"/>
          <w:szCs w:val="24"/>
        </w:rPr>
        <w:t xml:space="preserve">На этапе заключения договора предоставить </w:t>
      </w:r>
      <w:r>
        <w:rPr>
          <w:b w:val="false"/>
          <w:sz w:val="24"/>
          <w:szCs w:val="24"/>
          <w:lang w:val="ru-RU"/>
        </w:rPr>
        <w:t>сводный сметный расчет на предельную стоимость</w:t>
      </w:r>
      <w:r>
        <w:rPr>
          <w:b w:val="false"/>
          <w:sz w:val="24"/>
          <w:szCs w:val="24"/>
        </w:rPr>
        <w:t>.</w:t>
      </w:r>
    </w:p>
    <w:p>
      <w:pPr>
        <w:pStyle w:val="BodyText"/>
        <w:jc w:val="both"/>
        <w:rPr>
          <w:sz w:val="24"/>
          <w:szCs w:val="24"/>
        </w:rPr>
      </w:pPr>
      <w:bookmarkStart w:id="73" w:name="__RefHeading___Toc50555_3850693634"/>
      <w:bookmarkEnd w:id="73"/>
      <w:r>
        <w:rPr>
          <w:b w:val="false"/>
          <w:sz w:val="24"/>
          <w:szCs w:val="24"/>
          <w:lang w:val="ru-RU"/>
        </w:rPr>
        <w:t xml:space="preserve">4.2. </w:t>
      </w:r>
      <w:r>
        <w:rPr>
          <w:b w:val="false"/>
          <w:sz w:val="24"/>
          <w:szCs w:val="24"/>
        </w:rPr>
        <w:t xml:space="preserve">Разработка сметной документации осуществляется при заключении </w:t>
      </w:r>
      <w:r>
        <w:rPr>
          <w:b w:val="false"/>
          <w:sz w:val="24"/>
          <w:szCs w:val="24"/>
          <w:lang w:val="ru-RU"/>
        </w:rPr>
        <w:t>дополнительного соглашения</w:t>
      </w:r>
      <w:r>
        <w:rPr>
          <w:b w:val="false"/>
          <w:sz w:val="24"/>
          <w:szCs w:val="24"/>
        </w:rPr>
        <w:t xml:space="preserve"> в соответствии с договорными условиями и приложением №1 к настоящим Техническим требованиям «Требования к оформлению и составлению смет или расчетов на оказание услуг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</w:rPr>
        <w:t>по программе эксплуатации».</w:t>
      </w:r>
      <w:bookmarkEnd w:id="63"/>
      <w:bookmarkEnd w:id="64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</w:rPr>
      </w:pPr>
      <w:bookmarkStart w:id="74" w:name="__RefHeading___Toc50557_3850693634"/>
      <w:bookmarkEnd w:id="74"/>
      <w:r>
        <w:rPr>
          <w:iCs/>
          <w:lang w:val="ru-RU"/>
        </w:rPr>
        <w:t>Приложения</w:t>
      </w:r>
    </w:p>
    <w:p>
      <w:pPr>
        <w:pStyle w:val="BodyText"/>
        <w:spacing w:lineRule="auto" w:line="240" w:before="0" w:after="0"/>
        <w:jc w:val="both"/>
        <w:rPr/>
      </w:pPr>
      <w:bookmarkStart w:id="75" w:name="__RefHeading___Toc50559_3850693634"/>
      <w:bookmarkEnd w:id="75"/>
      <w:r>
        <w:rPr>
          <w:b w:val="false"/>
          <w:sz w:val="24"/>
          <w:szCs w:val="24"/>
        </w:rPr>
        <w:t>Приложение №1: Требования к оформлению и составлению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</w:rPr>
        <w:t>смет или расчетов на оказание услуг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</w:rPr>
        <w:t>по программе эксплуатации</w:t>
      </w:r>
      <w:r>
        <w:rPr>
          <w:b w:val="false"/>
          <w:sz w:val="24"/>
          <w:szCs w:val="24"/>
          <w:lang w:val="ru-RU"/>
        </w:rPr>
        <w:t>;</w:t>
      </w:r>
    </w:p>
    <w:p>
      <w:pPr>
        <w:pStyle w:val="BodyText"/>
        <w:spacing w:lineRule="auto" w:line="240" w:before="0" w:after="0"/>
        <w:jc w:val="both"/>
        <w:rPr/>
      </w:pPr>
      <w:bookmarkStart w:id="76" w:name="__RefHeading___Toc50561_3850693634"/>
      <w:bookmarkEnd w:id="76"/>
      <w:r>
        <w:rPr>
          <w:b w:val="false"/>
          <w:sz w:val="24"/>
          <w:szCs w:val="24"/>
        </w:rPr>
        <w:t>Приложение №2: Ведомость планируемых услуг</w:t>
      </w:r>
      <w:r>
        <w:rPr>
          <w:b w:val="false"/>
          <w:sz w:val="24"/>
          <w:szCs w:val="24"/>
          <w:lang w:val="ru-RU"/>
        </w:rPr>
        <w:t>;</w:t>
      </w:r>
    </w:p>
    <w:p>
      <w:pPr>
        <w:pStyle w:val="BodyText"/>
        <w:spacing w:lineRule="auto" w:line="240" w:before="0" w:after="0"/>
        <w:jc w:val="both"/>
        <w:rPr/>
      </w:pPr>
      <w:bookmarkStart w:id="77" w:name="__RefHeading___Toc50563_3850693634"/>
      <w:bookmarkEnd w:id="77"/>
      <w:r>
        <w:rPr>
          <w:b w:val="false"/>
          <w:sz w:val="24"/>
          <w:szCs w:val="24"/>
        </w:rPr>
        <w:t>Приложение №3: Регламент Допуск персонала подрядных организаций на объекты ПАО «РусГидро», приказ ПАО «РусГидро» от 28.04.2023 № 300</w:t>
      </w:r>
      <w:r>
        <w:rPr>
          <w:b w:val="false"/>
          <w:sz w:val="24"/>
          <w:szCs w:val="24"/>
          <w:lang w:val="ru-RU"/>
        </w:rPr>
        <w:t>;</w:t>
      </w:r>
      <w:r>
        <w:rPr>
          <w:b w:val="false"/>
          <w:sz w:val="24"/>
          <w:szCs w:val="24"/>
        </w:rPr>
        <w:t xml:space="preserve"> </w:t>
      </w:r>
    </w:p>
    <w:sectPr>
      <w:headerReference w:type="default" r:id="rId9"/>
      <w:headerReference w:type="first" r:id="rId10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0" w:firstLine="567"/>
      </w:pPr>
      <w:rPr/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0" w:firstLine="567"/>
      </w:pPr>
      <w:rPr/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567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567"/>
      </w:pPr>
      <w:rPr/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uiPriority w:val="99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character" w:styleId="LineNumber">
    <w:name w:val="Line Number"/>
    <w:rPr/>
  </w:style>
  <w:style w:type="character" w:styleId="FootnoteReference1">
    <w:name w:val="Footnote Reference1"/>
    <w:qFormat/>
    <w:rPr>
      <w:vertAlign w:val="superscript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9a037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ListNumber">
    <w:name w:val="List Number"/>
    <w:basedOn w:val="Normal"/>
    <w:qFormat/>
    <w:rsid w:val="00c94671"/>
    <w:pPr>
      <w:numPr>
        <w:ilvl w:val="0"/>
        <w:numId w:val="10"/>
      </w:numPr>
      <w:spacing w:lineRule="auto" w:line="288"/>
      <w:jc w:val="both"/>
    </w:pPr>
    <w:rPr>
      <w:szCs w:val="24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6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6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yperlink" Target="http://sniprf.ru/razdel-1/12-03-2001" TargetMode="External"/><Relationship Id="rId6" Type="http://schemas.openxmlformats.org/officeDocument/2006/relationships/hyperlink" Target="https://normativ.kontur.ru/document?moduleId=1&amp;documentId=378642" TargetMode="Externa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0527C-D27F-43D8-BC83-C6211C6C4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Application>AlterOffice/3.4.0.9$Linux_X86_64 LibreOffice_project/b8daf9e823b1a5463a2f48435ddc2e8696e7d4fc</Application>
  <AppVersion>15.0000</AppVersion>
  <Pages>12</Pages>
  <Words>1793</Words>
  <Characters>12164</Characters>
  <CharactersWithSpaces>13691</CharactersWithSpaces>
  <Paragraphs>285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2023-07-07T07:20:00Z</dcterms:created>
  <dc:creator>Быстров Олег Геннадьевич</dc:creator>
  <dc:description/>
  <dc:language>ru-RU</dc:language>
  <cp:lastModifiedBy>ushanbv@corp.gidroogk.com</cp:lastModifiedBy>
  <cp:lastPrinted>2006-07-26T14:04:00Z</cp:lastPrinted>
  <dcterms:modified xsi:type="dcterms:W3CDTF">2026-07-28T15:01:36Z</dcterms:modified>
  <cp:revision>37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