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szCs w:val="24"/>
        </w:rPr>
      </w:pPr>
      <w:r>
        <w:rPr>
          <w:rFonts w:cs="Times New Roman"/>
          <w:b/>
          <w:color w:val="000000"/>
          <w:szCs w:val="24"/>
        </w:rPr>
        <w:t>ТЕХНИЧЕСКИЕ ТРЕБОВАНИЯ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rFonts w:cs="Times New Roman"/>
          <w:b/>
          <w:color w:val="000000"/>
          <w:szCs w:val="24"/>
          <w:shd w:fill="FFFF00" w:val="clear"/>
        </w:rPr>
      </w:pPr>
      <w:r>
        <w:rPr>
          <w:rFonts w:cs="Times New Roman"/>
          <w:b/>
          <w:color w:val="000000"/>
          <w:szCs w:val="24"/>
          <w:shd w:fill="FFFF00" w:val="clear"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highlight w:val="none"/>
          <w:shd w:fill="auto" w:val="clear"/>
        </w:rPr>
      </w:pPr>
      <w:r>
        <w:rPr>
          <w:rFonts w:cs="Times New Roman" w:ascii="Times New Roman;Times;serif" w:hAnsi="Times New Roman;Times;serif"/>
          <w:color w:val="000000"/>
          <w:szCs w:val="24"/>
          <w:shd w:fill="auto" w:val="clear"/>
        </w:rPr>
        <w:t xml:space="preserve">ОКПД2: </w:t>
      </w:r>
      <w:r>
        <w:rPr>
          <w:rFonts w:cs="Times New Roman"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27.40.39.113 П</w:t>
      </w:r>
      <w:r>
        <w:rPr>
          <w:rFonts w:cs="Times New Roman" w:ascii="Times New Roman;Times;serif" w:hAnsi="Times New Roman;Times;serif"/>
          <w:color w:val="000000"/>
          <w:szCs w:val="24"/>
          <w:shd w:fill="auto" w:val="clear"/>
        </w:rPr>
        <w:t>оставка электротехнической продукции для выполнения работ на Новосибирской ГЭС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highlight w:val="none"/>
          <w:shd w:fill="auto" w:val="clear"/>
        </w:rPr>
      </w:pPr>
      <w:r>
        <w:rPr>
          <w:rFonts w:cs="Times New Roman"/>
          <w:color w:val="000000"/>
          <w:szCs w:val="24"/>
          <w:shd w:fill="auto" w:val="clear"/>
        </w:rPr>
        <w:t>(Лот №</w:t>
      </w:r>
      <w:r>
        <w:rPr>
          <w:rFonts w:eastAsia="Geneva" w:cs="Times New Roman"/>
          <w:color w:val="000000"/>
          <w:szCs w:val="24"/>
          <w:shd w:fill="auto" w:val="clear"/>
        </w:rPr>
        <w:t xml:space="preserve">  )</w:t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0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center"/>
        <w:outlineLvl w:val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keepNext w:val="true"/>
        <w:keepLines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</w:p>
    <w:p>
      <w:pPr>
        <w:pStyle w:val="Normal"/>
        <w:jc w:val="center"/>
        <w:rPr>
          <w:rFonts w:cs="Times New Roman"/>
          <w:b/>
          <w:i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</w:r>
      <w:r>
        <w:br w:type="page"/>
      </w:r>
    </w:p>
    <w:p>
      <w:pPr>
        <w:pStyle w:val="Heading4"/>
        <w:numPr>
          <w:ilvl w:val="0"/>
          <w:numId w:val="5"/>
        </w:numPr>
        <w:tabs>
          <w:tab w:val="clear" w:pos="709"/>
          <w:tab w:val="left" w:pos="0" w:leader="none"/>
        </w:tabs>
        <w:ind w:left="426" w:hanging="360"/>
        <w:jc w:val="center"/>
        <w:rPr/>
      </w:pPr>
      <w:r>
        <w:rPr>
          <w:color w:val="000000"/>
        </w:rPr>
        <w:t>Общие сведения</w:t>
      </w:r>
    </w:p>
    <w:p>
      <w:pPr>
        <w:pStyle w:val="Normal"/>
        <w:tabs>
          <w:tab w:val="clear" w:pos="720"/>
          <w:tab w:val="left" w:pos="0" w:leader="none"/>
        </w:tabs>
        <w:ind w:left="426" w:hanging="36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Heading4"/>
        <w:numPr>
          <w:ilvl w:val="1"/>
          <w:numId w:val="6"/>
        </w:numPr>
        <w:ind w:left="0" w:firstLine="709"/>
        <w:rPr/>
      </w:pPr>
      <w:bookmarkStart w:id="0" w:name="_Toc75446568"/>
      <w:bookmarkStart w:id="1" w:name="_Toc46743506"/>
      <w:bookmarkStart w:id="2" w:name="_Toc75446569"/>
      <w:bookmarkEnd w:id="2"/>
      <w:r>
        <w:rPr>
          <w:color w:val="000000"/>
        </w:rPr>
        <w:t>Наименование закупаемой продукции</w:t>
      </w:r>
      <w:bookmarkEnd w:id="0"/>
      <w:bookmarkEnd w:id="1"/>
    </w:p>
    <w:p>
      <w:pPr>
        <w:pStyle w:val="Normal"/>
        <w:numPr>
          <w:ilvl w:val="0"/>
          <w:numId w:val="0"/>
        </w:numPr>
        <w:tabs>
          <w:tab w:val="clear" w:pos="720"/>
          <w:tab w:val="left" w:pos="900" w:leader="none"/>
        </w:tabs>
        <w:spacing w:lineRule="auto" w:line="276"/>
        <w:ind w:left="0" w:hanging="0"/>
        <w:jc w:val="both"/>
        <w:outlineLvl w:val="0"/>
        <w:rPr>
          <w:szCs w:val="24"/>
        </w:rPr>
      </w:pPr>
      <w:r>
        <w:rPr>
          <w:rFonts w:cs="Times New Roman" w:ascii="Times New Roman;Times;serif" w:hAnsi="Times New Roman;Times;serif"/>
          <w:color w:val="000000"/>
          <w:szCs w:val="24"/>
          <w:lang w:val="x-none"/>
        </w:rPr>
        <w:tab/>
      </w:r>
      <w:r>
        <w:rPr>
          <w:rFonts w:cs="Times New Roman" w:ascii="Times New Roman;Times;serif" w:hAnsi="Times New Roman;Times;serif"/>
          <w:color w:val="000000"/>
          <w:szCs w:val="24"/>
          <w:shd w:fill="auto" w:val="clear"/>
          <w:lang w:val="x-none"/>
        </w:rPr>
        <w:t xml:space="preserve">ОКПД2: </w:t>
      </w:r>
      <w:r>
        <w:rPr>
          <w:rFonts w:cs="Times New Roman"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x-none"/>
        </w:rPr>
        <w:t>27.40.39.113 П</w:t>
      </w:r>
      <w:r>
        <w:rPr>
          <w:rFonts w:cs="Times New Roman" w:ascii="Times New Roman;Times;serif" w:hAnsi="Times New Roman;Times;serif"/>
          <w:color w:val="000000"/>
          <w:szCs w:val="24"/>
          <w:shd w:fill="auto" w:val="clear"/>
          <w:lang w:val="x-none"/>
        </w:rPr>
        <w:t>оставка электротехнической продукции для выполнения работ на Новосибирской ГЭС</w:t>
      </w:r>
      <w:r>
        <w:rPr>
          <w:color w:val="000000"/>
          <w:szCs w:val="24"/>
        </w:rPr>
        <w:t xml:space="preserve"> (далее – продукция).</w:t>
      </w:r>
    </w:p>
    <w:p>
      <w:pPr>
        <w:pStyle w:val="Normal"/>
        <w:ind w:firstLine="419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Heading4"/>
        <w:numPr>
          <w:ilvl w:val="1"/>
          <w:numId w:val="6"/>
        </w:numPr>
        <w:ind w:left="0" w:firstLine="709"/>
        <w:rPr/>
      </w:pPr>
      <w:bookmarkStart w:id="3" w:name="_Toc46743507"/>
      <w:bookmarkStart w:id="4" w:name="_Toc75446569_Копия_1"/>
      <w:bookmarkEnd w:id="4"/>
      <w:r>
        <w:rPr>
          <w:color w:val="000000"/>
        </w:rPr>
        <w:t xml:space="preserve">Цель </w:t>
      </w:r>
      <w:bookmarkEnd w:id="3"/>
      <w:r>
        <w:rPr>
          <w:color w:val="000000"/>
        </w:rPr>
        <w:t xml:space="preserve">использования закупаемой продукции </w:t>
      </w:r>
    </w:p>
    <w:p>
      <w:pPr>
        <w:pStyle w:val="Heading4"/>
        <w:rPr/>
      </w:pPr>
      <w:r>
        <w:rPr>
          <w:rStyle w:val="Style"/>
          <w:b/>
          <w:i w:val="false"/>
          <w:color w:val="000000"/>
          <w:shd w:fill="FFFFFF" w:val="clear"/>
        </w:rPr>
        <w:t>Исполнение договора:</w:t>
      </w:r>
    </w:p>
    <w:p>
      <w:pPr>
        <w:pStyle w:val="Normal"/>
        <w:ind w:firstLine="454"/>
        <w:jc w:val="both"/>
        <w:rPr/>
      </w:pPr>
      <w:r>
        <w:rPr>
          <w:rStyle w:val="Style"/>
          <w:b w:val="false"/>
          <w:bCs w:val="false"/>
          <w:i w:val="false"/>
          <w:color w:val="000000"/>
          <w:szCs w:val="24"/>
          <w:shd w:fill="FFFFFF" w:val="clear"/>
        </w:rPr>
        <w:t xml:space="preserve">Исполнение обязательств по Договору подряда </w:t>
      </w:r>
      <w:r>
        <w:rPr>
          <w:color w:val="000000"/>
        </w:rPr>
        <w:t>№ 8-ТПиР-2025 от 29.07.2025 «Монтаж и наладка оборудования системы маслохозяйства Новосибирской ГЭС в рамках инвестиционного проекта I_T-1260-022»,</w:t>
      </w:r>
      <w:r>
        <w:rPr>
          <w:rStyle w:val="Style"/>
          <w:b w:val="false"/>
          <w:i w:val="false"/>
          <w:color w:val="000000"/>
          <w:szCs w:val="24"/>
          <w:shd w:fill="auto" w:val="clear"/>
        </w:rPr>
        <w:t xml:space="preserve"> заключенный между ф</w:t>
      </w:r>
      <w:r>
        <w:rPr/>
        <w:t>илиалом ПАО «РусГидро»-«Новосибирская ГЭС» и АО «Гидроремонт-ВКК».</w:t>
      </w:r>
    </w:p>
    <w:p>
      <w:pPr>
        <w:pStyle w:val="Normal"/>
        <w:ind w:firstLine="454"/>
        <w:rPr>
          <w:rFonts w:cs="Times New Roman"/>
          <w:bCs/>
          <w:color w:val="000000"/>
          <w:sz w:val="16"/>
          <w:szCs w:val="16"/>
          <w:shd w:fill="FFFFFF" w:val="clear"/>
        </w:rPr>
      </w:pPr>
      <w:r>
        <w:rPr>
          <w:rFonts w:cs="Times New Roman"/>
          <w:bCs/>
          <w:color w:val="000000"/>
          <w:sz w:val="16"/>
          <w:szCs w:val="16"/>
          <w:shd w:fill="FFFFFF" w:val="clear"/>
        </w:rPr>
      </w:r>
    </w:p>
    <w:p>
      <w:pPr>
        <w:pStyle w:val="Heading1"/>
        <w:numPr>
          <w:ilvl w:val="0"/>
          <w:numId w:val="5"/>
        </w:numPr>
        <w:tabs>
          <w:tab w:val="clear" w:pos="0"/>
          <w:tab w:val="clear" w:pos="709"/>
        </w:tabs>
        <w:ind w:left="426" w:hanging="360"/>
        <w:jc w:val="center"/>
        <w:rPr>
          <w:sz w:val="24"/>
          <w:szCs w:val="24"/>
        </w:rPr>
      </w:pPr>
      <w:bookmarkStart w:id="5" w:name="_Toc51339693"/>
      <w:bookmarkStart w:id="6" w:name="_Toc75446573"/>
      <w:r>
        <w:rPr>
          <w:color w:val="000000"/>
          <w:sz w:val="24"/>
          <w:szCs w:val="24"/>
        </w:rPr>
        <w:t>Требования к продукции</w:t>
      </w:r>
      <w:bookmarkEnd w:id="5"/>
      <w:bookmarkEnd w:id="6"/>
    </w:p>
    <w:p>
      <w:pPr>
        <w:pStyle w:val="Normal"/>
        <w:rPr>
          <w:rFonts w:cs="Times New Roman"/>
          <w:color w:val="000000"/>
          <w:sz w:val="16"/>
          <w:szCs w:val="16"/>
          <w:lang w:eastAsia="x-none"/>
        </w:rPr>
      </w:pPr>
      <w:r>
        <w:rPr>
          <w:rFonts w:cs="Times New Roman"/>
          <w:color w:val="000000"/>
          <w:sz w:val="16"/>
          <w:szCs w:val="16"/>
          <w:lang w:eastAsia="x-none"/>
        </w:rPr>
      </w:r>
    </w:p>
    <w:p>
      <w:pPr>
        <w:pStyle w:val="Heading4"/>
        <w:numPr>
          <w:ilvl w:val="1"/>
          <w:numId w:val="5"/>
        </w:numPr>
        <w:tabs>
          <w:tab w:val="clear" w:pos="0"/>
          <w:tab w:val="left" w:pos="709" w:leader="none"/>
        </w:tabs>
        <w:ind w:left="1134" w:hanging="360"/>
        <w:rPr/>
      </w:pPr>
      <w:bookmarkStart w:id="7" w:name="_Toc75446574"/>
      <w:r>
        <w:rPr>
          <w:color w:val="000000"/>
        </w:rPr>
        <w:t xml:space="preserve">Требования к объемам и срокам </w:t>
      </w:r>
      <w:r>
        <w:rPr>
          <w:color w:val="000000"/>
          <w:lang w:val="ru-RU"/>
        </w:rPr>
        <w:t>поставки</w:t>
      </w:r>
      <w:bookmarkEnd w:id="7"/>
    </w:p>
    <w:p>
      <w:pPr>
        <w:pStyle w:val="Heading3"/>
        <w:numPr>
          <w:ilvl w:val="2"/>
          <w:numId w:val="5"/>
        </w:numPr>
        <w:tabs>
          <w:tab w:val="clear" w:pos="0"/>
          <w:tab w:val="left" w:pos="709" w:leader="none"/>
        </w:tabs>
        <w:ind w:left="0" w:firstLine="709"/>
        <w:rPr/>
      </w:pPr>
      <w:bookmarkStart w:id="8" w:name="_Toc75446575"/>
      <w:r>
        <w:rPr>
          <w:color w:val="000000"/>
        </w:rPr>
        <w:t>Перечень и объем закупаемой продукции</w:t>
      </w:r>
      <w:bookmarkEnd w:id="8"/>
    </w:p>
    <w:p>
      <w:pPr>
        <w:pStyle w:val="Normal"/>
        <w:rPr>
          <w:rFonts w:cs="Times New Roman"/>
          <w:color w:val="000000"/>
          <w:sz w:val="16"/>
          <w:szCs w:val="16"/>
          <w:lang w:val="x-none" w:eastAsia="x-none"/>
        </w:rPr>
      </w:pPr>
      <w:r>
        <w:rPr>
          <w:rFonts w:cs="Times New Roman"/>
          <w:color w:val="000000"/>
          <w:sz w:val="16"/>
          <w:szCs w:val="16"/>
          <w:lang w:val="x-none" w:eastAsia="x-none"/>
        </w:rPr>
      </w:r>
    </w:p>
    <w:p>
      <w:pPr>
        <w:pStyle w:val="Normal"/>
        <w:jc w:val="both"/>
        <w:rPr>
          <w:szCs w:val="24"/>
        </w:rPr>
      </w:pPr>
      <w:bookmarkStart w:id="9" w:name="_Toc75446576"/>
      <w:bookmarkStart w:id="10" w:name="_Toc51339695"/>
      <w:r>
        <w:rPr>
          <w:rFonts w:cs="Times New Roman"/>
          <w:color w:val="000000"/>
          <w:szCs w:val="24"/>
        </w:rPr>
        <w:t xml:space="preserve">Таблица 2.1 Перечень </w:t>
      </w:r>
      <w:bookmarkEnd w:id="10"/>
      <w:r>
        <w:rPr>
          <w:rFonts w:cs="Times New Roman"/>
          <w:color w:val="000000"/>
          <w:szCs w:val="24"/>
        </w:rPr>
        <w:t>и объем закупаемой продукци</w:t>
      </w:r>
      <w:bookmarkEnd w:id="9"/>
      <w:r>
        <w:rPr>
          <w:rFonts w:cs="Times New Roman"/>
          <w:color w:val="000000"/>
          <w:szCs w:val="24"/>
        </w:rPr>
        <w:t>и</w:t>
      </w:r>
    </w:p>
    <w:tbl>
      <w:tblPr>
        <w:tblW w:w="964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03"/>
        <w:gridCol w:w="7092"/>
        <w:gridCol w:w="992"/>
        <w:gridCol w:w="955"/>
      </w:tblGrid>
      <w:tr>
        <w:trPr>
          <w:trHeight w:val="691" w:hRule="atLeast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п/п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</w:rPr>
              <w:t>Ед</w:t>
            </w:r>
            <w:r>
              <w:rPr>
                <w:rFonts w:cs="Times New Roman"/>
                <w:color w:val="000000"/>
                <w:szCs w:val="24"/>
                <w:lang w:val="en-US"/>
              </w:rPr>
              <w:t>.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  <w:lang w:val="en-US"/>
              </w:rPr>
              <w:t>и</w:t>
            </w:r>
            <w:r>
              <w:rPr>
                <w:rFonts w:cs="Times New Roman"/>
                <w:color w:val="000000"/>
                <w:szCs w:val="24"/>
              </w:rPr>
              <w:t>зм</w:t>
            </w:r>
            <w:r>
              <w:rPr>
                <w:rFonts w:cs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Кол</w:t>
            </w:r>
            <w:r>
              <w:rPr>
                <w:rFonts w:cs="Times New Roman"/>
                <w:color w:val="000000"/>
                <w:szCs w:val="24"/>
                <w:lang w:val="en-US"/>
              </w:rPr>
              <w:t>-</w:t>
            </w:r>
            <w:r>
              <w:rPr>
                <w:rFonts w:cs="Times New Roman"/>
                <w:color w:val="000000"/>
                <w:szCs w:val="24"/>
              </w:rPr>
              <w:t>во</w:t>
            </w:r>
          </w:p>
        </w:tc>
      </w:tr>
      <w:tr>
        <w:trPr/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4</w:t>
            </w:r>
          </w:p>
        </w:tc>
      </w:tr>
      <w:tr>
        <w:trPr/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overflowPunct w:val="true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Светодиодный взрывозащищенный светильник, 30Вт, IP65, 220В, с защитой 1Ex mb IIС T6 Gc X и Ex tb IIIC, с концевой клеммной коробкой, с креплением скоба, с кабельным вводом под металлорукав с Ду 20 мм, ПСС 30 1Ех, ООО ТД "ФОКУС"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</w:rPr>
              <w:t>шт</w:t>
            </w:r>
            <w:r>
              <w:rPr>
                <w:color w:val="000000"/>
                <w:sz w:val="22"/>
                <w:lang w:val="en-US"/>
              </w:rPr>
              <w:t>.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36</w:t>
            </w:r>
          </w:p>
        </w:tc>
      </w:tr>
      <w:tr>
        <w:trPr/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0" w:hanging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7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Светодиодный светильник, накладной, с матовым рессеивателем, 13Вт, 1530лм, IP50, 220В, СПО-12, ООО ТД "ФОКУС"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</w:rPr>
              <w:t>шт</w:t>
            </w:r>
            <w:r>
              <w:rPr>
                <w:color w:val="000000"/>
                <w:sz w:val="22"/>
                <w:lang w:val="en-US"/>
              </w:rPr>
              <w:t>.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</w:t>
            </w:r>
          </w:p>
        </w:tc>
      </w:tr>
    </w:tbl>
    <w:p>
      <w:pPr>
        <w:pStyle w:val="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Heading3"/>
        <w:numPr>
          <w:ilvl w:val="2"/>
          <w:numId w:val="5"/>
        </w:numPr>
        <w:tabs>
          <w:tab w:val="clear" w:pos="0"/>
          <w:tab w:val="left" w:pos="709" w:leader="none"/>
        </w:tabs>
        <w:ind w:left="0" w:firstLine="709"/>
        <w:rPr/>
      </w:pPr>
      <w:bookmarkStart w:id="11" w:name="_Toc75446578"/>
      <w:bookmarkStart w:id="12" w:name="_Toc51339696"/>
      <w:r>
        <w:rPr>
          <w:color w:val="000000"/>
        </w:rPr>
        <w:t xml:space="preserve">Требования </w:t>
      </w:r>
      <w:bookmarkEnd w:id="12"/>
      <w:r>
        <w:rPr>
          <w:color w:val="000000"/>
        </w:rPr>
        <w:t xml:space="preserve">к срокам поставки продукции </w:t>
      </w:r>
      <w:bookmarkEnd w:id="11"/>
    </w:p>
    <w:p>
      <w:pPr>
        <w:pStyle w:val="Normal"/>
        <w:rPr>
          <w:szCs w:val="24"/>
        </w:rPr>
      </w:pPr>
      <w:bookmarkStart w:id="13" w:name="_Toc75446579"/>
      <w:bookmarkStart w:id="14" w:name="_Toc51339697"/>
      <w:bookmarkStart w:id="15" w:name="_Toc50125127"/>
      <w:r>
        <w:rPr>
          <w:rFonts w:cs="Times New Roman"/>
          <w:color w:val="000000"/>
          <w:szCs w:val="24"/>
          <w:lang w:eastAsia="x-none"/>
        </w:rPr>
        <w:t xml:space="preserve">Таблица 2.2 </w:t>
      </w:r>
      <w:bookmarkStart w:id="16" w:name="_Hlk50465284"/>
      <w:r>
        <w:rPr>
          <w:rFonts w:cs="Times New Roman"/>
          <w:color w:val="000000"/>
          <w:szCs w:val="24"/>
          <w:lang w:eastAsia="x-none"/>
        </w:rPr>
        <w:t xml:space="preserve">Требования по срокам </w:t>
      </w:r>
      <w:bookmarkEnd w:id="14"/>
      <w:bookmarkEnd w:id="15"/>
      <w:bookmarkEnd w:id="16"/>
      <w:r>
        <w:rPr>
          <w:rFonts w:cs="Times New Roman"/>
          <w:color w:val="000000"/>
          <w:szCs w:val="24"/>
          <w:lang w:eastAsia="x-none"/>
        </w:rPr>
        <w:t>поставки продукции</w:t>
      </w:r>
      <w:bookmarkEnd w:id="13"/>
      <w:r>
        <w:rPr>
          <w:rFonts w:cs="Times New Roman"/>
          <w:color w:val="000000"/>
          <w:szCs w:val="24"/>
          <w:lang w:eastAsia="x-none"/>
        </w:rPr>
        <w:t xml:space="preserve"> </w:t>
      </w:r>
    </w:p>
    <w:tbl>
      <w:tblPr>
        <w:tblW w:w="9944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98"/>
        <w:gridCol w:w="4793"/>
        <w:gridCol w:w="1771"/>
        <w:gridCol w:w="2481"/>
      </w:tblGrid>
      <w:tr>
        <w:trPr/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№ </w:t>
            </w:r>
            <w:r>
              <w:rPr>
                <w:rFonts w:cs="Times New Roman"/>
                <w:color w:val="000000"/>
                <w:szCs w:val="24"/>
              </w:rPr>
              <w:t>п/п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 / партии продукции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4</w:t>
            </w:r>
          </w:p>
        </w:tc>
      </w:tr>
      <w:tr>
        <w:trPr>
          <w:trHeight w:val="925" w:hRule="atLeast"/>
        </w:trPr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70" w:hanging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1.</w:t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00" w:leader="none"/>
              </w:tabs>
              <w:spacing w:lineRule="auto" w:line="276"/>
              <w:ind w:left="0" w:hanging="0"/>
              <w:jc w:val="center"/>
              <w:outlineLvl w:val="0"/>
              <w:rPr>
                <w:szCs w:val="24"/>
              </w:rPr>
            </w:pPr>
            <w:r>
              <w:rPr>
                <w:rFonts w:cs="Times New Roman" w:ascii="Times New Roman;Times;serif" w:hAnsi="Times New Roman;Times;serif"/>
                <w:color w:val="000000"/>
                <w:szCs w:val="24"/>
                <w:shd w:fill="auto" w:val="clear"/>
                <w:lang w:val="x-none"/>
              </w:rPr>
              <w:t xml:space="preserve">ОКПД2: </w:t>
            </w:r>
            <w:r>
              <w:rPr>
                <w:rFonts w:cs="Times New Roman" w:ascii="Times New Roman;Times;serif" w:hAnsi="Times New Roman;Times;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x-none"/>
              </w:rPr>
              <w:t>27.40.39.113 П</w:t>
            </w:r>
            <w:r>
              <w:rPr>
                <w:rFonts w:cs="Times New Roman" w:ascii="Times New Roman;Times;serif" w:hAnsi="Times New Roman;Times;serif"/>
                <w:color w:val="000000"/>
                <w:szCs w:val="24"/>
                <w:shd w:fill="auto" w:val="clear"/>
                <w:lang w:val="x-none"/>
              </w:rPr>
              <w:t>оставка электротехнической продукции для выполнения работ на Новосибирской ГЭС</w:t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С даты подписания договора</w:t>
            </w:r>
          </w:p>
        </w:tc>
        <w:tc>
          <w:tcPr>
            <w:tcW w:w="2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В течение </w:t>
            </w:r>
            <w:r>
              <w:rPr>
                <w:rFonts w:cs="Times New Roman"/>
                <w:color w:val="000000"/>
                <w:szCs w:val="24"/>
                <w:shd w:fill="auto" w:val="clear"/>
              </w:rPr>
              <w:t>30</w:t>
            </w:r>
            <w:r>
              <w:rPr>
                <w:rFonts w:cs="Times New Roman"/>
                <w:color w:val="000000"/>
                <w:szCs w:val="24"/>
              </w:rPr>
              <w:t xml:space="preserve"> календарных дней с даты подписания Договора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418" w:right="707" w:gutter="0" w:header="0" w:top="567" w:footer="78" w:bottom="567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ListParagraph"/>
        <w:numPr>
          <w:ilvl w:val="1"/>
          <w:numId w:val="5"/>
        </w:numPr>
        <w:spacing w:before="0" w:after="0"/>
        <w:ind w:left="1077" w:hanging="340"/>
        <w:contextualSpacing/>
        <w:rPr>
          <w:szCs w:val="24"/>
        </w:rPr>
      </w:pPr>
      <w:r>
        <w:rPr>
          <w:rFonts w:cs="Times New Roman"/>
          <w:b/>
          <w:bCs/>
          <w:color w:val="000000"/>
          <w:szCs w:val="24"/>
          <w:lang w:eastAsia="x-none"/>
        </w:rPr>
        <w:t xml:space="preserve">Требования к качеству продукции </w:t>
      </w:r>
    </w:p>
    <w:p>
      <w:pPr>
        <w:pStyle w:val="Normal"/>
        <w:rPr>
          <w:rFonts w:cs="Times New Roman"/>
          <w:color w:val="000000"/>
          <w:sz w:val="16"/>
          <w:szCs w:val="16"/>
          <w:lang w:eastAsia="x-none"/>
        </w:rPr>
      </w:pPr>
      <w:r>
        <w:rPr>
          <w:rFonts w:cs="Times New Roman"/>
          <w:color w:val="000000"/>
          <w:sz w:val="16"/>
          <w:szCs w:val="16"/>
          <w:lang w:eastAsia="x-none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ind w:left="283" w:right="340" w:hanging="0"/>
        <w:jc w:val="left"/>
        <w:rPr>
          <w:szCs w:val="24"/>
        </w:rPr>
      </w:pPr>
      <w:r>
        <w:rPr>
          <w:rFonts w:cs="Times New Roman"/>
          <w:color w:val="000000"/>
          <w:szCs w:val="24"/>
          <w:lang w:eastAsia="x-none"/>
        </w:rPr>
        <w:tab/>
      </w:r>
      <w:bookmarkStart w:id="17" w:name="_Toc75446582"/>
      <w:r>
        <w:rPr>
          <w:rFonts w:cs="Times New Roman"/>
          <w:color w:val="000000"/>
          <w:szCs w:val="24"/>
          <w:lang w:eastAsia="x-none"/>
        </w:rPr>
        <w:t xml:space="preserve">Таблица 2.3. </w:t>
      </w:r>
      <w:bookmarkEnd w:id="17"/>
      <w:r>
        <w:rPr>
          <w:rFonts w:cs="Times New Roman"/>
          <w:color w:val="000000"/>
          <w:sz w:val="24"/>
          <w:szCs w:val="24"/>
          <w:lang w:eastAsia="x-none"/>
        </w:rPr>
        <w:t xml:space="preserve">Наименование продукции (Таблицы 2.1): </w:t>
      </w:r>
      <w:r>
        <w:rPr>
          <w:rFonts w:cs="Times New Roman" w:ascii="Times New Roman;Times;serif" w:hAnsi="Times New Roman;Times;serif"/>
          <w:color w:val="000000"/>
          <w:sz w:val="24"/>
          <w:szCs w:val="24"/>
          <w:shd w:fill="auto" w:val="clear"/>
          <w:lang w:val="x-none" w:eastAsia="x-none"/>
        </w:rPr>
        <w:t xml:space="preserve">ОКПД2: </w:t>
      </w:r>
      <w:r>
        <w:rPr>
          <w:rFonts w:cs="Times New Roman"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x-none" w:eastAsia="x-none"/>
        </w:rPr>
        <w:t>27.40.39.113 П</w:t>
      </w:r>
      <w:r>
        <w:rPr>
          <w:rFonts w:cs="Times New Roman" w:ascii="Times New Roman;Times;serif" w:hAnsi="Times New Roman;Times;serif"/>
          <w:color w:val="000000"/>
          <w:sz w:val="24"/>
          <w:szCs w:val="24"/>
          <w:shd w:fill="auto" w:val="clear"/>
          <w:lang w:val="x-none" w:eastAsia="x-none"/>
        </w:rPr>
        <w:t>оставка электротехнической продукции для выполнения работ на Новосибирской ГЭС</w:t>
      </w:r>
    </w:p>
    <w:tbl>
      <w:tblPr>
        <w:tblW w:w="1453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2743"/>
        <w:gridCol w:w="2566"/>
        <w:gridCol w:w="2634"/>
        <w:gridCol w:w="3036"/>
        <w:gridCol w:w="2853"/>
      </w:tblGrid>
      <w:tr>
        <w:trPr>
          <w:trHeight w:val="1241" w:hRule="atLeast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2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5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30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3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DotumChe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</w:tr>
      <w:tr>
        <w:trPr>
          <w:trHeight w:val="23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</w:t>
            </w:r>
          </w:p>
        </w:tc>
      </w:tr>
      <w:tr>
        <w:trPr>
          <w:trHeight w:val="215" w:hRule="atLeast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27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overflowPunct w:val="true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Светодиодный взрывозащищенный светильник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Производитель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ТД "ФОКУС"</w:t>
            </w:r>
          </w:p>
        </w:tc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Серия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ПСС 30 1Ех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Мощность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Вт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Напряжение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Степень защиты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IP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Маркировка взрывозащиты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1Ex mb II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T6 Gc X 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Ex tb IIIC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/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Концевая клеммная коробка</w:t>
            </w:r>
          </w:p>
        </w:tc>
        <w:tc>
          <w:tcPr>
            <w:tcW w:w="30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/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Крепление скоба</w:t>
            </w:r>
          </w:p>
        </w:tc>
        <w:tc>
          <w:tcPr>
            <w:tcW w:w="30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/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Кабельный ввод под металлорукав с Ду 20 мм.</w:t>
            </w:r>
          </w:p>
        </w:tc>
        <w:tc>
          <w:tcPr>
            <w:tcW w:w="30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/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1.2</w:t>
            </w:r>
          </w:p>
        </w:tc>
        <w:tc>
          <w:tcPr>
            <w:tcW w:w="27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Светодиодный светильник, накладной, с матовым рессеивателем</w:t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Производитель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ООО ТД "ФОКУС"</w:t>
            </w:r>
          </w:p>
        </w:tc>
        <w:tc>
          <w:tcPr>
            <w:tcW w:w="303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Название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СПО-12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lang w:val="en-US"/>
              </w:rPr>
              <w:t>Напряжение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220</w:t>
            </w:r>
            <w:r>
              <w:rPr>
                <w:color w:val="000000"/>
                <w:sz w:val="22"/>
                <w:lang w:val="en-US"/>
              </w:rPr>
              <w:t xml:space="preserve"> </w:t>
            </w:r>
            <w:r>
              <w:rPr>
                <w:color w:val="000000"/>
                <w:sz w:val="22"/>
              </w:rPr>
              <w:t>В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lang w:val="en-US"/>
              </w:rPr>
              <w:t>Мощность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</w:t>
            </w:r>
            <w:r>
              <w:rPr>
                <w:color w:val="000000"/>
                <w:sz w:val="22"/>
                <w:lang w:val="en-US"/>
              </w:rPr>
              <w:t xml:space="preserve"> </w:t>
            </w:r>
            <w:r>
              <w:rPr>
                <w:color w:val="000000"/>
                <w:sz w:val="22"/>
              </w:rPr>
              <w:t>Вт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Световой поток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1530</w:t>
            </w:r>
            <w:r>
              <w:rPr>
                <w:color w:val="000000"/>
                <w:sz w:val="22"/>
                <w:lang w:val="en-US"/>
              </w:rPr>
              <w:t xml:space="preserve"> </w:t>
            </w:r>
            <w:r>
              <w:rPr>
                <w:color w:val="000000"/>
                <w:sz w:val="22"/>
              </w:rPr>
              <w:t>лм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23" w:hRule="atLeast"/>
        </w:trPr>
        <w:tc>
          <w:tcPr>
            <w:tcW w:w="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lang w:val="en-US"/>
              </w:rPr>
              <w:t>Степень защиты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IP</w:t>
            </w:r>
            <w:r>
              <w:rPr>
                <w:color w:val="000000"/>
                <w:sz w:val="22"/>
                <w:lang w:val="en-US"/>
              </w:rPr>
              <w:t xml:space="preserve"> </w:t>
            </w:r>
            <w:r>
              <w:rPr>
                <w:color w:val="000000"/>
                <w:sz w:val="22"/>
              </w:rPr>
              <w:t>50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>Место поставки</w:t>
            </w:r>
          </w:p>
        </w:tc>
        <w:tc>
          <w:tcPr>
            <w:tcW w:w="5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color w:val="000000"/>
                <w:sz w:val="24"/>
                <w:szCs w:val="24"/>
              </w:rPr>
              <w:t>Производственный участок АО «Гидроремонт-ВКК» в г. Новосибирск, 630056, Новосибирская обл., г. Новосибирск, ул. Новоморская, д. 4 (территория Новосибирской ГЭС).</w:t>
            </w:r>
          </w:p>
        </w:tc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>Приемка продукции</w:t>
            </w:r>
          </w:p>
        </w:tc>
        <w:tc>
          <w:tcPr>
            <w:tcW w:w="5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color w:val="000000"/>
                <w:sz w:val="24"/>
                <w:szCs w:val="24"/>
              </w:rPr>
              <w:t>Приемка продукции осуществляется только в рабочие дни с 9-00 до 11-00 и с 13-00 до 16-00.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b/>
                <w:i w:val="false"/>
                <w:i w:val="false"/>
                <w:iCs w:val="false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1137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3.1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>Сроки гарантии</w:t>
            </w:r>
          </w:p>
        </w:tc>
        <w:tc>
          <w:tcPr>
            <w:tcW w:w="5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134" w:leader="none"/>
                <w:tab w:val="left" w:pos="1276" w:leader="none"/>
              </w:tabs>
              <w:suppressAutoHyphens w:val="true"/>
              <w:overflowPunct w:val="true"/>
              <w:bidi w:val="0"/>
              <w:spacing w:before="0" w:after="120"/>
              <w:ind w:left="0" w:right="0" w:hanging="0"/>
              <w:jc w:val="both"/>
              <w:rPr/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 xml:space="preserve">На продукцию устанавливается гарантийный срок не менее </w:t>
            </w: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auto" w:val="clear"/>
                <w:lang w:eastAsia="x-none"/>
              </w:rPr>
              <w:t>12 (</w:t>
            </w: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>двенадцати)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13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b/>
                <w:i w:val="false"/>
                <w:i w:val="false"/>
                <w:iCs w:val="false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4.1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5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 на русском языке; инструкции по эксплуатации на русском языке; сертификаты о происхождении продукции; иные документы в зависимости от поставляемой продукции; товарную накладную (форма ТОРГ-12) или универсальный передаточный документ (УПД) на продукцию в 2-х экз. Перечень продукции и наименование документа, подтверждающего качество, дополнительно должны быть оформлены в электронном виде в редактируемом формате docx, doc, odt.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113" w:right="0" w:hanging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13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b/>
                <w:i w:val="false"/>
                <w:i w:val="false"/>
                <w:iCs w:val="false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sz w:val="24"/>
                <w:szCs w:val="24"/>
                <w:lang w:eastAsia="ru-RU"/>
              </w:rPr>
              <w:t>Прочие (дополнительные) требования к продукции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7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cs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color w:val="000000"/>
                <w:sz w:val="24"/>
                <w:szCs w:val="24"/>
              </w:rPr>
              <w:t>Продукция должна быть новой, ранее не использовавшейся.</w:t>
            </w:r>
          </w:p>
          <w:p>
            <w:pPr>
              <w:pStyle w:val="ListParagraph"/>
              <w:widowControl w:val="false"/>
              <w:ind w:left="0" w:right="0" w:hanging="0"/>
              <w:rPr>
                <w:rFonts w:cs="Times New Roman"/>
                <w:bCs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i w:val="false"/>
                <w:iCs w:val="false"/>
                <w:color w:val="000000"/>
                <w:sz w:val="24"/>
                <w:szCs w:val="24"/>
              </w:rPr>
              <w:t>Способ укладки и транспортировки продукции должен предотвратить его повреждение или порчу во время перевозки и погрузке/разгрузке, а также воздействие осадков во время перевозки и при открытом хранении.</w:t>
            </w:r>
          </w:p>
        </w:tc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  <w:tr>
        <w:trPr>
          <w:trHeight w:val="151" w:hRule="atLeast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113" w:right="0" w:hanging="0"/>
              <w:jc w:val="center"/>
              <w:rPr>
                <w:rFonts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5.2</w:t>
            </w:r>
          </w:p>
        </w:tc>
        <w:tc>
          <w:tcPr>
            <w:tcW w:w="794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rPr>
                <w:rFonts w:cs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color w:val="000000"/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left="0" w:right="0" w:hanging="0"/>
              <w:jc w:val="center"/>
              <w:rPr>
                <w:rFonts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/>
                <w:sz w:val="24"/>
                <w:szCs w:val="24"/>
                <w:shd w:fill="auto" w:val="clear"/>
              </w:rPr>
              <w:t>-//-</w:t>
            </w:r>
          </w:p>
        </w:tc>
      </w:tr>
    </w:tbl>
    <w:p>
      <w:pPr>
        <w:pStyle w:val="Heading1"/>
        <w:ind w:left="1080" w:hanging="0"/>
        <w:rPr>
          <w:b w:val="false"/>
        </w:rPr>
      </w:pPr>
      <w:r>
        <w:rPr/>
        <w:t>3.</w:t>
        <w:tab/>
        <w:t>Требования к документации по ценообразованию на этапе закупки</w:t>
      </w:r>
    </w:p>
    <w:p>
      <w:pPr>
        <w:pStyle w:val="Normal"/>
        <w:ind w:left="1080" w:hanging="0"/>
        <w:rPr/>
      </w:pPr>
      <w:r>
        <w:rPr/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ind w:left="1080" w:hanging="0"/>
        <w:rPr/>
      </w:pPr>
      <w:r>
        <w:rPr/>
        <w:t>3.2. Дополнительные документы по ценообразованию в состав заявки не включаются.</w:t>
      </w:r>
    </w:p>
    <w:sectPr>
      <w:footerReference w:type="default" r:id="rId3"/>
      <w:footerReference w:type="first" r:id="rId4"/>
      <w:type w:val="nextPage"/>
      <w:pgSz w:orient="landscape" w:w="16838" w:h="11906"/>
      <w:pgMar w:left="1134" w:right="566" w:gutter="0" w:header="0" w:top="567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altName w:val="Times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2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5</w:t>
    </w:r>
    <w:r>
      <w:rPr>
        <w:sz w:val="24"/>
        <w:b/>
        <w:szCs w:val="24"/>
        <w:bCs/>
      </w:rPr>
      <w:fldChar w:fldCharType="end"/>
    </w:r>
  </w:p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5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5</w:t>
    </w:r>
    <w:r>
      <w:rPr>
        <w:sz w:val="24"/>
        <w:b/>
        <w:szCs w:val="24"/>
        <w:bCs/>
      </w:rPr>
      <w:fldChar w:fldCharType="end"/>
    </w:r>
  </w:p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436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tabs>
        <w:tab w:val="clear" w:pos="720"/>
        <w:tab w:val="left" w:pos="0" w:leader="none"/>
        <w:tab w:val="left" w:pos="709" w:leader="none"/>
      </w:tabs>
      <w:ind w:firstLine="709"/>
      <w:outlineLvl w:val="2"/>
    </w:pPr>
    <w:rPr>
      <w:rFonts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qFormat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qFormat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qFormat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qFormat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qFormat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 w:customStyle="1">
    <w:name w:val="Strong1"/>
    <w:qFormat/>
    <w:rPr>
      <w:b/>
      <w:bCs/>
    </w:rPr>
  </w:style>
  <w:style w:type="character" w:styleId="Style10" w:customStyle="1">
    <w:name w:val="Название Знак"/>
    <w:link w:val="15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3" w:customStyle="1">
    <w:name w:val="Цитата 2 Знак"/>
    <w:basedOn w:val="DefaultParagraphFont"/>
    <w:link w:val="Quote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qFormat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6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Pr/>
  </w:style>
  <w:style w:type="character" w:styleId="Style14" w:customStyle="1">
    <w:name w:val="Абзац списка Знак"/>
    <w:link w:val="ListParagraph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3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4" w:customStyle="1">
    <w:name w:val="Пункт2 Знак"/>
    <w:link w:val="26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9"/>
    <w:qFormat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FontStyle16" w:customStyle="1">
    <w:name w:val="Font Style16"/>
    <w:qFormat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Pr/>
  </w:style>
  <w:style w:type="character" w:styleId="Value" w:customStyle="1">
    <w:name w:val="value"/>
    <w:qFormat/>
    <w:rPr/>
  </w:style>
  <w:style w:type="character" w:styleId="C-gruppedpropsprop-value" w:customStyle="1">
    <w:name w:val="c-gruppedprops__prop-value"/>
    <w:basedOn w:val="DefaultParagraphFont"/>
    <w:qFormat/>
    <w:rPr/>
  </w:style>
  <w:style w:type="character" w:styleId="Label" w:customStyle="1">
    <w:name w:val="label"/>
    <w:basedOn w:val="DefaultParagraphFont"/>
    <w:qFormat/>
    <w:rPr/>
  </w:style>
  <w:style w:type="character" w:styleId="Strong2" w:customStyle="1">
    <w:name w:val="Strong2"/>
    <w:qFormat/>
    <w:rPr>
      <w:b/>
      <w:bCs/>
    </w:rPr>
  </w:style>
  <w:style w:type="character" w:styleId="Strong">
    <w:name w:val="Strong"/>
    <w:uiPriority w:val="22"/>
    <w:qFormat/>
    <w:rPr>
      <w:b/>
      <w:bCs/>
    </w:rPr>
  </w:style>
  <w:style w:type="character" w:styleId="Style18" w:customStyle="1">
    <w:name w:val="Маркеры"/>
    <w:qFormat/>
    <w:rPr>
      <w:rFonts w:ascii="OpenSymbol" w:hAnsi="OpenSymbol" w:eastAsia="OpenSymbol" w:cs="OpenSymbol"/>
    </w:rPr>
  </w:style>
  <w:style w:type="character" w:styleId="Extrafieldsname" w:customStyle="1">
    <w:name w:val="extra_fields_name"/>
    <w:basedOn w:val="DefaultParagraphFont"/>
    <w:qFormat/>
    <w:rsid w:val="00c163dc"/>
    <w:rPr/>
  </w:style>
  <w:style w:type="character" w:styleId="Extrafieldsvalue" w:customStyle="1">
    <w:name w:val="extra_fields_value"/>
    <w:basedOn w:val="DefaultParagraphFont"/>
    <w:qFormat/>
    <w:rsid w:val="00c163dc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11111" w:customStyle="1">
    <w:name w:val="index heading111111111"/>
    <w:basedOn w:val="Title"/>
    <w:qFormat/>
    <w:pPr/>
    <w:rPr/>
  </w:style>
  <w:style w:type="paragraph" w:styleId="Caption1111111111" w:customStyle="1">
    <w:name w:val="caption1111111111"/>
    <w:basedOn w:val="Normal"/>
    <w:next w:val="Normal"/>
    <w:qFormat/>
    <w:pPr/>
    <w:rPr>
      <w:rFonts w:cs="Times New Roman"/>
      <w:b/>
      <w:bCs/>
      <w:color w:val="4F81BD"/>
      <w:sz w:val="18"/>
      <w:szCs w:val="18"/>
      <w:lang w:eastAsia="ru-RU"/>
    </w:rPr>
  </w:style>
  <w:style w:type="paragraph" w:styleId="Indexheading1111111111" w:customStyle="1">
    <w:name w:val="index heading1111111111"/>
    <w:basedOn w:val="Title"/>
    <w:qFormat/>
    <w:pPr/>
    <w:rPr/>
  </w:style>
  <w:style w:type="paragraph" w:styleId="Style21" w:customStyle="1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2" w:customStyle="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3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4" w:customStyle="1">
    <w:name w:val="Название раздела инструкции"/>
    <w:basedOn w:val="Normal"/>
    <w:autoRedefine/>
    <w:qFormat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pPr/>
    <w:rPr>
      <w:rFonts w:eastAsia="Times New Roman" w:cs="Times New Roman"/>
      <w:sz w:val="20"/>
      <w:szCs w:val="20"/>
      <w:lang w:eastAsia="ru-RU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5" w:customStyle="1">
    <w:name w:val="Название1"/>
    <w:basedOn w:val="Normal"/>
    <w:link w:val="Style10"/>
    <w:qFormat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pPr>
      <w:tabs>
        <w:tab w:val="clear" w:pos="720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pPr>
      <w:tabs>
        <w:tab w:val="clear" w:pos="720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6" w:customStyle="1">
    <w:name w:val="Подпункт"/>
    <w:basedOn w:val="Normal"/>
    <w:link w:val="11"/>
    <w:qFormat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eastAsia="Times New Roman" w:cs="Calibri"/>
      <w:sz w:val="20"/>
      <w:szCs w:val="20"/>
      <w:lang w:eastAsia="ru-RU"/>
    </w:rPr>
  </w:style>
  <w:style w:type="paragraph" w:styleId="Style27" w:customStyle="1">
    <w:name w:val="Раздел регламента"/>
    <w:basedOn w:val="Normal"/>
    <w:qFormat/>
    <w:pPr/>
    <w:rPr>
      <w:rFonts w:eastAsia="Times New Roman" w:cs="Times New Roman"/>
      <w:sz w:val="28"/>
      <w:szCs w:val="28"/>
      <w:lang w:eastAsia="ru-RU"/>
    </w:rPr>
  </w:style>
  <w:style w:type="paragraph" w:styleId="Style28" w:customStyle="1">
    <w:name w:val="Приложение к регламенту"/>
    <w:basedOn w:val="Normal"/>
    <w:qFormat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pPr>
      <w:spacing w:before="240" w:after="0"/>
    </w:pPr>
    <w:rPr>
      <w:rFonts w:eastAsia="Times New Roman" w:cs="Calibr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qFormat/>
    <w:pPr/>
    <w:rPr>
      <w:rFonts w:ascii="Tahoma" w:hAnsi="Tahoma" w:eastAsia="Times New Roman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eastAsia="Times New Roman" w:cs="Calibr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9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NoSpacing">
    <w:name w:val="No Spacing"/>
    <w:basedOn w:val="Normal"/>
    <w:qFormat/>
    <w:pPr>
      <w:spacing w:lineRule="auto" w:line="360"/>
    </w:pPr>
    <w:rPr>
      <w:rFonts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qFormat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qFormat/>
    <w:pPr>
      <w:ind w:left="708" w:hanging="0"/>
    </w:pPr>
    <w:rPr/>
  </w:style>
  <w:style w:type="paragraph" w:styleId="Quote">
    <w:name w:val="Quote"/>
    <w:basedOn w:val="Normal"/>
    <w:next w:val="Normal"/>
    <w:link w:val="23"/>
    <w:qFormat/>
    <w:pPr/>
    <w:rPr>
      <w:rFonts w:ascii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qFormat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qFormat/>
    <w:pPr/>
    <w:rPr>
      <w:rFonts w:cs="Times New Roman"/>
      <w:szCs w:val="24"/>
      <w:lang w:val="x-none" w:eastAsia="x-none"/>
    </w:rPr>
  </w:style>
  <w:style w:type="paragraph" w:styleId="Style30" w:customStyle="1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1" w:customStyle="1">
    <w:name w:val="Пункт"/>
    <w:basedOn w:val="Normal"/>
    <w:qFormat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2" w:customStyle="1">
    <w:name w:val="Таблица"/>
    <w:basedOn w:val="Normal"/>
    <w:qFormat/>
    <w:pPr>
      <w:keepNext w:val="true"/>
      <w:spacing w:before="60" w:after="60"/>
      <w:jc w:val="center"/>
    </w:pPr>
    <w:rPr>
      <w:rFonts w:cs="Times New Roman"/>
      <w:b/>
      <w:szCs w:val="24"/>
      <w:lang w:val="x-none" w:eastAsia="x-none"/>
    </w:rPr>
  </w:style>
  <w:style w:type="paragraph" w:styleId="Style33" w:customStyle="1">
    <w:name w:val="Подподпункт"/>
    <w:basedOn w:val="Style26"/>
    <w:link w:val="Style15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4" w:customStyle="1">
    <w:name w:val="УРОВЕНЬ_(а)"/>
    <w:basedOn w:val="ListParagraph"/>
    <w:qFormat/>
    <w:pPr>
      <w:numPr>
        <w:ilvl w:val="3"/>
        <w:numId w:val="3"/>
      </w:numPr>
      <w:spacing w:lineRule="exact" w:line="360" w:before="120" w:after="0"/>
      <w:ind w:left="1728" w:hanging="648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pPr>
      <w:numPr>
        <w:ilvl w:val="4"/>
        <w:numId w:val="3"/>
      </w:numPr>
      <w:spacing w:lineRule="exact" w:line="360" w:before="120" w:after="0"/>
      <w:ind w:left="2232" w:hanging="792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pPr>
      <w:numPr>
        <w:ilvl w:val="6"/>
        <w:numId w:val="3"/>
      </w:numPr>
      <w:spacing w:lineRule="exact" w:line="360" w:before="120" w:after="0"/>
      <w:ind w:left="3240" w:hanging="1080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3"/>
    <w:qFormat/>
    <w:pPr>
      <w:numPr>
        <w:ilvl w:val="7"/>
        <w:numId w:val="3"/>
      </w:numPr>
      <w:spacing w:lineRule="exact" w:line="360" w:before="120" w:after="0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pPr>
      <w:keepNext w:val="true"/>
      <w:numPr>
        <w:ilvl w:val="5"/>
        <w:numId w:val="3"/>
      </w:numPr>
      <w:spacing w:lineRule="exact" w:line="360" w:before="120" w:after="120"/>
      <w:ind w:left="2736" w:hanging="936"/>
      <w:jc w:val="right"/>
      <w:outlineLvl w:val="3"/>
    </w:pPr>
    <w:rPr>
      <w:sz w:val="26"/>
      <w:szCs w:val="28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pPr>
      <w:keepNext w:val="true"/>
      <w:numPr>
        <w:ilvl w:val="0"/>
        <w:numId w:val="4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6" w:customStyle="1">
    <w:name w:val="Таблица текст"/>
    <w:basedOn w:val="Normal"/>
    <w:qFormat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tyle37" w:customStyle="1">
    <w:name w:val="Знак Знак Знак Знак"/>
    <w:basedOn w:val="Normal"/>
    <w:qFormat/>
    <w:pPr>
      <w:suppressAutoHyphens w:val="false"/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pPr>
      <w:keepNext w:val="true"/>
      <w:keepLines/>
      <w:tabs>
        <w:tab w:val="clear" w:pos="720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pPr>
      <w:tabs>
        <w:tab w:val="clear" w:pos="720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0" w:customStyle="1">
    <w:name w:val="Обычный1"/>
    <w:qFormat/>
    <w:pPr>
      <w:widowControl w:val="false"/>
      <w:suppressAutoHyphens w:val="true"/>
      <w:overflowPunct w:val="fals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8" w:customStyle="1">
    <w:name w:val="Пункт договора"/>
    <w:basedOn w:val="Normal"/>
    <w:qFormat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9" w:customStyle="1">
    <w:name w:val="Подпункт договора"/>
    <w:basedOn w:val="Normal"/>
    <w:qFormat/>
    <w:pPr>
      <w:tabs>
        <w:tab w:val="clear" w:pos="720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0" w:customStyle="1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111" w:customStyle="1">
    <w:name w:val="Знак Знак Знак Знак1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211" w:customStyle="1">
    <w:name w:val="Обычный2"/>
    <w:qFormat/>
    <w:pPr>
      <w:widowControl w:val="false"/>
      <w:suppressAutoHyphens w:val="true"/>
      <w:overflowPunct w:val="fals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Jss308" w:customStyle="1">
    <w:name w:val="jss308"/>
    <w:basedOn w:val="Normal"/>
    <w:qFormat/>
    <w:pPr>
      <w:suppressAutoHyphens w:val="false"/>
      <w:spacing w:before="280" w:after="280"/>
    </w:pPr>
    <w:rPr>
      <w:rFonts w:eastAsia="Times New Roman" w:cs="Times New Roman"/>
      <w:szCs w:val="24"/>
      <w:lang w:eastAsia="ru-RU"/>
    </w:rPr>
  </w:style>
  <w:style w:type="paragraph" w:styleId="Style4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2" w:customStyle="1">
    <w:name w:val="Заголовок таблицы"/>
    <w:basedOn w:val="Style41"/>
    <w:qFormat/>
    <w:pPr>
      <w:jc w:val="center"/>
    </w:pPr>
    <w:rPr>
      <w:b/>
      <w:bCs/>
    </w:rPr>
  </w:style>
  <w:style w:type="paragraph" w:styleId="Style43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qFormat/>
  </w:style>
  <w:style w:type="numbering" w:styleId="212" w:customStyle="1">
    <w:name w:val="Стиль2"/>
    <w:qFormat/>
  </w:style>
  <w:style w:type="numbering" w:styleId="113" w:customStyle="1">
    <w:name w:val="Нет списка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CD565-2056-4A57-AF56-3AD279D6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15065</TotalTime>
  <Application>AlterOffice/3.4.0.9$Linux_X86_64 LibreOffice_project/b8daf9e823b1a5463a2f48435ddc2e8696e7d4fc</Application>
  <AppVersion>15.0000</AppVersion>
  <Pages>5</Pages>
  <Words>821</Words>
  <Characters>5527</Characters>
  <CharactersWithSpaces>6198</CharactersWithSpaces>
  <Paragraphs>152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2023-12-07T06:27:00Z</dcterms:created>
  <dc:creator>Вашкевич Ольга Владимировна</dc:creator>
  <dc:description/>
  <dc:language>ru-RU</dc:language>
  <cp:lastModifiedBy/>
  <cp:lastPrinted>2024-07-22T18:15:00Z</cp:lastPrinted>
  <dcterms:modified xsi:type="dcterms:W3CDTF">2026-07-31T08:22:51Z</dcterms:modified>
  <cp:revision>1980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