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styles.xml" ContentType="application/vnd.openxmlformats-officedocument.wordprocessingml.styles+xml"/>
  <Override PartName="/word/footer6.xml" ContentType="application/vnd.openxmlformats-officedocument.wordprocessingml.footer+xml"/>
  <Override PartName="/word/footer1.xml" ContentType="application/vnd.openxmlformats-officedocument.wordprocessingml.foot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5.xml" ContentType="application/vnd.openxmlformats-officedocument.wordprocessingml.footer+xml"/>
  <Override PartName="/word/footer2.xml" ContentType="application/vnd.openxmlformats-officedocument.wordprocessingml.footer+xml"/>
  <Override PartName="/word/header7.xml" ContentType="application/vnd.openxmlformats-officedocument.wordprocessingml.head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5954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Cs w:val="26"/>
        </w:rPr>
      </w:pPr>
      <w:r>
        <w:rPr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Cs w:val="26"/>
        </w:rPr>
      </w:pPr>
      <w:r>
        <w:rPr>
          <w:rFonts w:eastAsia="Calibri"/>
          <w:b/>
          <w:szCs w:val="26"/>
        </w:rPr>
        <w:t xml:space="preserve">Технические требования </w:t>
      </w:r>
    </w:p>
    <w:p>
      <w:pPr>
        <w:pStyle w:val="Normal"/>
        <w:keepNext w:val="true"/>
        <w:keepLines/>
        <w:jc w:val="center"/>
        <w:rPr>
          <w:rFonts w:eastAsia="Calibri"/>
          <w:b/>
          <w:szCs w:val="26"/>
        </w:rPr>
      </w:pPr>
      <w:r>
        <w:rPr>
          <w:rFonts w:eastAsia="Calibri"/>
          <w:b/>
          <w:szCs w:val="26"/>
        </w:rPr>
      </w:r>
    </w:p>
    <w:p>
      <w:pPr>
        <w:pStyle w:val="Normal"/>
        <w:keepNext w:val="true"/>
        <w:keepLines/>
        <w:jc w:val="center"/>
        <w:rPr/>
      </w:pPr>
      <w:r>
        <w:rPr>
          <w:rFonts w:eastAsia="Calibri"/>
          <w:b w:val="false"/>
          <w:bCs w:val="false"/>
          <w:szCs w:val="26"/>
        </w:rPr>
        <w:t xml:space="preserve"> </w:t>
      </w:r>
      <w:r>
        <w:rPr>
          <w:rFonts w:eastAsia="Calibri"/>
          <w:b w:val="false"/>
          <w:bCs w:val="false"/>
          <w:sz w:val="24"/>
          <w:szCs w:val="24"/>
        </w:rPr>
        <w:t>ОКПД2 43.13.10 В</w:t>
      </w:r>
      <w:r>
        <w:rPr>
          <w:rFonts w:eastAsia="Calibri"/>
          <w:b w:val="false"/>
          <w:bCs w:val="false"/>
          <w:sz w:val="24"/>
          <w:szCs w:val="24"/>
        </w:rPr>
        <w:t xml:space="preserve">ыполнение </w:t>
      </w:r>
      <w:r>
        <w:rPr>
          <w:rFonts w:eastAsia="Calibri"/>
          <w:b w:val="false"/>
          <w:bCs w:val="false"/>
          <w:sz w:val="24"/>
          <w:szCs w:val="24"/>
        </w:rPr>
        <w:t xml:space="preserve">буровых </w:t>
      </w:r>
      <w:r>
        <w:rPr>
          <w:rFonts w:eastAsia="Calibri"/>
          <w:b w:val="false"/>
          <w:bCs w:val="false"/>
          <w:sz w:val="24"/>
          <w:szCs w:val="24"/>
        </w:rPr>
        <w:t xml:space="preserve">работ по устройству инженерно-технических средств защиты  </w:t>
      </w:r>
      <w:r>
        <w:rPr>
          <w:rStyle w:val="Style8"/>
          <w:rFonts w:eastAsia="Calibri"/>
          <w:b w:val="false"/>
          <w:bCs w:val="false"/>
          <w:i w:val="false"/>
          <w:sz w:val="24"/>
          <w:szCs w:val="24"/>
          <w:shd w:fill="auto" w:val="clear"/>
        </w:rPr>
        <w:t>береговой насосной станции Владивостокской ТЭЦ-2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sz w:val="26"/>
          <w:szCs w:val="26"/>
        </w:rPr>
        <w:t>Лот №</w:t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Heading1"/>
        <w:numPr>
          <w:ilvl w:val="0"/>
          <w:numId w:val="3"/>
        </w:numPr>
        <w:ind w:left="426" w:hanging="425"/>
        <w:rPr>
          <w:caps/>
        </w:rPr>
      </w:pPr>
      <w:bookmarkStart w:id="0" w:name="_Toc51339692"/>
      <w:bookmarkStart w:id="1" w:name="_Toc54646395"/>
      <w:r>
        <w:rPr/>
        <w:t>Общие сведения</w:t>
      </w:r>
      <w:bookmarkEnd w:id="0"/>
      <w:bookmarkEnd w:id="1"/>
    </w:p>
    <w:p>
      <w:pPr>
        <w:pStyle w:val="Heading4"/>
        <w:numPr>
          <w:ilvl w:val="1"/>
          <w:numId w:val="3"/>
        </w:numPr>
        <w:ind w:left="426" w:hanging="425"/>
        <w:rPr/>
      </w:pPr>
      <w:bookmarkStart w:id="2" w:name="_Toc46743505"/>
      <w:bookmarkStart w:id="3" w:name="_Toc54646396"/>
      <w:r>
        <w:rPr/>
        <w:t>Обозначения и сокращения</w:t>
      </w:r>
      <w:bookmarkEnd w:id="2"/>
      <w:bookmarkEnd w:id="3"/>
    </w:p>
    <w:p>
      <w:pPr>
        <w:pStyle w:val="Normal"/>
        <w:rPr>
          <w:rStyle w:val="Style8"/>
          <w:b w:val="false"/>
          <w:bCs/>
          <w:iCs/>
          <w:sz w:val="26"/>
          <w:szCs w:val="26"/>
        </w:rPr>
      </w:pPr>
      <w:r>
        <w:rPr>
          <w:b w:val="false"/>
          <w:bCs/>
          <w:iCs/>
          <w:sz w:val="26"/>
          <w:szCs w:val="26"/>
        </w:rPr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РД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Рабочая документация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Технические требования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ТЭЦ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pacing w:before="120" w:after="120"/>
              <w:jc w:val="both"/>
              <w:rPr/>
            </w:pPr>
            <w:r>
              <w:rPr>
                <w:rStyle w:val="Strong"/>
                <w:b w:val="false"/>
                <w:bCs w:val="false"/>
                <w:sz w:val="24"/>
                <w:szCs w:val="24"/>
              </w:rPr>
              <w:t>Теплоэлектроцентраль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ИТСЗ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Инженерно-технические средства защиты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4"/>
        <w:numPr>
          <w:ilvl w:val="1"/>
          <w:numId w:val="3"/>
        </w:numPr>
        <w:ind w:left="426" w:hanging="425"/>
        <w:rPr/>
      </w:pPr>
      <w:bookmarkStart w:id="4" w:name="_Toc54646397"/>
      <w:bookmarkStart w:id="5" w:name="_Toc46743506"/>
      <w:r>
        <w:rPr/>
        <w:t>Наименование закупаемой продукции</w:t>
      </w:r>
      <w:bookmarkEnd w:id="4"/>
      <w:bookmarkEnd w:id="5"/>
    </w:p>
    <w:p>
      <w:pPr>
        <w:pStyle w:val="Normal"/>
        <w:keepNext w:val="true"/>
        <w:keepLines/>
        <w:jc w:val="both"/>
        <w:rPr/>
      </w:pPr>
      <w:r>
        <w:rPr>
          <w:rStyle w:val="Style8"/>
          <w:rFonts w:eastAsia="Calibri" w:ascii="Times New Roman;serif" w:hAnsi="Times New Roman;serif"/>
          <w:b w:val="false"/>
          <w:bCs w:val="false"/>
          <w:i w:val="false"/>
          <w:color w:val="2C2D2E"/>
          <w:szCs w:val="26"/>
          <w:shd w:fill="auto" w:val="clear"/>
          <w:lang w:eastAsia="en-US"/>
        </w:rPr>
        <w:t xml:space="preserve"> </w:t>
      </w:r>
      <w:r>
        <w:rPr>
          <w:rStyle w:val="Style8"/>
          <w:rFonts w:eastAsia="Calibri" w:ascii="Times New Roman;serif" w:hAnsi="Times New Roman;serif"/>
          <w:b w:val="false"/>
          <w:bCs w:val="false"/>
          <w:i w:val="false"/>
          <w:color w:val="2C2D2E"/>
          <w:sz w:val="24"/>
          <w:szCs w:val="24"/>
          <w:shd w:fill="auto" w:val="clear"/>
          <w:lang w:eastAsia="en-US"/>
        </w:rPr>
        <w:t>ОКПД2 43.13.10 В</w:t>
      </w:r>
      <w:r>
        <w:rPr>
          <w:rStyle w:val="Style8"/>
          <w:rFonts w:eastAsia="Calibri" w:ascii="Times New Roman;serif" w:hAnsi="Times New Roman;serif"/>
          <w:b w:val="false"/>
          <w:bCs w:val="false"/>
          <w:i w:val="false"/>
          <w:color w:val="2C2D2E"/>
          <w:sz w:val="24"/>
          <w:szCs w:val="24"/>
          <w:shd w:fill="auto" w:val="clear"/>
          <w:lang w:eastAsia="en-US"/>
        </w:rPr>
        <w:t xml:space="preserve">ыполнение </w:t>
      </w:r>
      <w:r>
        <w:rPr>
          <w:rStyle w:val="Style8"/>
          <w:rFonts w:eastAsia="Calibri" w:ascii="Times New Roman;serif" w:hAnsi="Times New Roman;serif"/>
          <w:b w:val="false"/>
          <w:bCs w:val="false"/>
          <w:i w:val="false"/>
          <w:color w:val="2C2D2E"/>
          <w:sz w:val="24"/>
          <w:szCs w:val="24"/>
          <w:shd w:fill="auto" w:val="clear"/>
          <w:lang w:eastAsia="en-US"/>
        </w:rPr>
        <w:t xml:space="preserve">буровых </w:t>
      </w:r>
      <w:r>
        <w:rPr>
          <w:rStyle w:val="Style8"/>
          <w:rFonts w:eastAsia="Calibri" w:ascii="Times New Roman;serif" w:hAnsi="Times New Roman;serif"/>
          <w:b w:val="false"/>
          <w:bCs w:val="false"/>
          <w:i w:val="false"/>
          <w:color w:val="2C2D2E"/>
          <w:sz w:val="24"/>
          <w:szCs w:val="24"/>
          <w:shd w:fill="auto" w:val="clear"/>
          <w:lang w:eastAsia="en-US"/>
        </w:rPr>
        <w:t xml:space="preserve">работ по устройству инженерно-технических средств защиты  </w:t>
      </w:r>
      <w:r>
        <w:rPr>
          <w:rStyle w:val="Style8"/>
          <w:rFonts w:eastAsia="Calibri" w:ascii="Times New Roman;serif" w:hAnsi="Times New Roman;serif"/>
          <w:b w:val="false"/>
          <w:bCs w:val="false"/>
          <w:i w:val="false"/>
          <w:color w:val="2C2D2E"/>
          <w:sz w:val="24"/>
          <w:szCs w:val="24"/>
          <w:shd w:fill="auto" w:val="clear"/>
          <w:lang w:eastAsia="en-US"/>
        </w:rPr>
        <w:t xml:space="preserve">береговой насосной станции Владивостокской ТЭЦ-2 </w:t>
      </w:r>
      <w:r>
        <w:rPr>
          <w:rStyle w:val="Style8"/>
          <w:rFonts w:eastAsia="Calibri" w:ascii="Times New Roman;serif" w:hAnsi="Times New Roman;serif"/>
          <w:b w:val="false"/>
          <w:bCs w:val="false"/>
          <w:i w:val="false"/>
          <w:color w:val="2C2D2E"/>
          <w:sz w:val="24"/>
          <w:szCs w:val="24"/>
          <w:shd w:fill="auto" w:val="clear"/>
          <w:lang w:eastAsia="en-US"/>
        </w:rPr>
        <w:t>(далее — работы).</w:t>
      </w:r>
      <w:bookmarkStart w:id="6" w:name="_Toc54646398"/>
      <w:bookmarkStart w:id="7" w:name="_Toc46743507"/>
    </w:p>
    <w:p>
      <w:pPr>
        <w:pStyle w:val="Normal"/>
        <w:widowControl w:val="false"/>
        <w:tabs>
          <w:tab w:val="clear" w:pos="709"/>
          <w:tab w:val="left" w:pos="426" w:leader="none"/>
        </w:tabs>
        <w:spacing w:before="120" w:after="1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Цель </w:t>
      </w:r>
      <w:bookmarkEnd w:id="7"/>
      <w:r>
        <w:rPr>
          <w:sz w:val="26"/>
          <w:szCs w:val="26"/>
        </w:rPr>
        <w:t xml:space="preserve">выполнения работ: </w:t>
      </w:r>
      <w:bookmarkEnd w:id="6"/>
    </w:p>
    <w:p>
      <w:pPr>
        <w:pStyle w:val="BodyText21"/>
        <w:rPr>
          <w:bCs/>
          <w:szCs w:val="24"/>
          <w:shd w:fill="FFFF99" w:val="clear"/>
        </w:rPr>
      </w:pPr>
      <w:r>
        <w:rPr>
          <w:rStyle w:val="Style8"/>
          <w:rFonts w:eastAsia="Calibri" w:ascii="Times New Roman;serif" w:hAnsi="Times New Roman;serif"/>
          <w:b w:val="false"/>
          <w:bCs/>
          <w:i w:val="false"/>
          <w:color w:val="2C2D2E"/>
          <w:sz w:val="24"/>
          <w:szCs w:val="24"/>
          <w:shd w:fill="auto" w:val="clear"/>
          <w:lang w:eastAsia="en-US"/>
        </w:rPr>
        <w:t>В рамках «сделки с взаимозависимым лицом» пункт 6.7 протокола №24прс от 15.04.2026 «Поставка, монтаж оборудования комплекса физической защиты береговой насосной станции Владивостокской ТЭЦ-2».</w:t>
      </w:r>
    </w:p>
    <w:p>
      <w:pPr>
        <w:pStyle w:val="Heading4"/>
        <w:numPr>
          <w:ilvl w:val="1"/>
          <w:numId w:val="3"/>
        </w:numPr>
        <w:ind w:left="426" w:hanging="425"/>
        <w:rPr>
          <w:rStyle w:val="Style8"/>
        </w:rPr>
      </w:pPr>
      <w:bookmarkStart w:id="8" w:name="_Toc54646399"/>
      <w:bookmarkStart w:id="9" w:name="_Toc46743508"/>
      <w:r>
        <w:rPr/>
        <w:t>Существующее положение</w:t>
      </w:r>
      <w:bookmarkEnd w:id="9"/>
      <w:r>
        <w:rPr>
          <w:lang w:val="ru-RU"/>
        </w:rPr>
        <w:t xml:space="preserve"> </w:t>
      </w:r>
      <w:bookmarkEnd w:id="8"/>
    </w:p>
    <w:p>
      <w:pPr>
        <w:pStyle w:val="Heading1"/>
        <w:numPr>
          <w:ilvl w:val="0"/>
          <w:numId w:val="0"/>
        </w:numPr>
        <w:ind w:left="0" w:hanging="0"/>
        <w:rPr>
          <w:sz w:val="26"/>
          <w:szCs w:val="26"/>
        </w:rPr>
      </w:pPr>
      <w:bookmarkStart w:id="10" w:name="_Toc54646400"/>
      <w:r>
        <w:rPr>
          <w:sz w:val="26"/>
          <w:szCs w:val="26"/>
        </w:rPr>
        <w:t>Таблица 1. Перечень объектов заказчика</w:t>
      </w:r>
      <w:bookmarkEnd w:id="10"/>
    </w:p>
    <w:tbl>
      <w:tblPr>
        <w:tblW w:w="991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704"/>
        <w:gridCol w:w="2439"/>
        <w:gridCol w:w="1982"/>
        <w:gridCol w:w="1958"/>
        <w:gridCol w:w="2835"/>
      </w:tblGrid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iCs/>
                <w:sz w:val="24"/>
                <w:szCs w:val="24"/>
              </w:rPr>
              <w:t>(место производства работ)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  <w:br/>
              <w:t>(в отношении которого выполняются работы)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>
          <w:trHeight w:val="881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21"/>
              <w:widowControl w:val="false"/>
              <w:ind w:hanging="0"/>
              <w:rPr>
                <w:bCs/>
                <w:szCs w:val="24"/>
                <w:shd w:fill="FFFF99" w:val="clear"/>
              </w:rPr>
            </w:pPr>
            <w:r>
              <w:rPr>
                <w:rStyle w:val="Style8"/>
                <w:rFonts w:eastAsia="Calibri" w:ascii="Times New Roman;serif" w:hAnsi="Times New Roman;serif"/>
                <w:b w:val="false"/>
                <w:bCs/>
                <w:i w:val="false"/>
                <w:color w:val="2C2D2E"/>
                <w:sz w:val="24"/>
                <w:szCs w:val="24"/>
                <w:shd w:fill="auto" w:val="clear"/>
                <w:lang w:eastAsia="en-US"/>
              </w:rPr>
              <w:t>Береговая насосная станция Владивостокской ТЭЦ-2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8"/>
                <w:rFonts w:eastAsia="Calibri" w:ascii="Times New Roman;serif" w:hAnsi="Times New Roman;serif"/>
                <w:b w:val="false"/>
                <w:bCs/>
                <w:i w:val="false"/>
                <w:color w:val="2C2D2E"/>
                <w:sz w:val="24"/>
                <w:szCs w:val="24"/>
                <w:shd w:fill="auto" w:val="clear"/>
                <w:lang w:eastAsia="en-US"/>
              </w:rPr>
              <w:t>690034, Российская Федерация, Приморский край, г. Владивосток, ул. Космонавтов, д.13 ст.2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Ремонт основного средства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Условия производства работ:</w:t>
            </w:r>
          </w:p>
          <w:p>
            <w:pPr>
              <w:pStyle w:val="ListParagraph"/>
              <w:widowControl w:val="false"/>
              <w:numPr>
                <w:ilvl w:val="0"/>
                <w:numId w:val="15"/>
              </w:numPr>
              <w:ind w:left="171" w:firstLine="142"/>
              <w:rPr>
                <w:i/>
                <w:i/>
              </w:rPr>
            </w:pPr>
            <w:r>
              <w:rPr>
                <w:lang w:eastAsia="en-US"/>
              </w:rPr>
              <w:t>Производство работ осуществляется на территории действующего предприятия с наличием в зоне производства работ одного или нескольких из перечисленных ниже факторов: разветвленной сети транспортных и инженерных коммуникаций; стесненных условий для складирования материалов; действующего технологического оборудования, К=1,15.</w:t>
            </w:r>
          </w:p>
        </w:tc>
      </w:tr>
    </w:tbl>
    <w:p>
      <w:pPr>
        <w:pStyle w:val="Heading4"/>
        <w:numPr>
          <w:ilvl w:val="0"/>
        </w:numPr>
        <w:tabs>
          <w:tab w:val="clear" w:pos="0"/>
        </w:tabs>
        <w:ind w:left="432" w:hanging="0"/>
        <w:rPr/>
      </w:pPr>
      <w:r>
        <w:rPr/>
      </w:r>
    </w:p>
    <w:p>
      <w:pPr>
        <w:pStyle w:val="Heading4"/>
        <w:numPr>
          <w:ilvl w:val="1"/>
          <w:numId w:val="3"/>
        </w:numPr>
        <w:ind w:left="426" w:hanging="425"/>
        <w:rPr/>
      </w:pPr>
      <w:r>
        <w:rPr/>
        <w:t xml:space="preserve">Информация в отношении исполнения договора, </w:t>
      </w:r>
      <w:bookmarkStart w:id="11" w:name="_Hlk46492347"/>
      <w:r>
        <w:rPr/>
        <w:t xml:space="preserve">которая должна быть учтена при подготовке заявки </w:t>
      </w:r>
      <w:bookmarkEnd w:id="11"/>
      <w:r>
        <w:rPr/>
        <w:t xml:space="preserve">(в том числе перечень ресурсов, услуг и документов, предоставляемых </w:t>
      </w:r>
      <w:r>
        <w:rPr>
          <w:lang w:val="ru-RU"/>
        </w:rPr>
        <w:t>Подрядчиком</w:t>
      </w:r>
      <w:r>
        <w:rPr/>
        <w:t xml:space="preserve"> на этапе исполнения договора)</w:t>
      </w:r>
      <w:r>
        <w:rPr>
          <w:lang w:val="ru-RU"/>
        </w:rPr>
        <w:t xml:space="preserve"> </w:t>
      </w:r>
    </w:p>
    <w:p>
      <w:pPr>
        <w:pStyle w:val="Heading3"/>
        <w:numPr>
          <w:ilvl w:val="2"/>
          <w:numId w:val="3"/>
        </w:numPr>
        <w:ind w:left="426" w:hanging="425"/>
        <w:rPr>
          <w:b/>
        </w:rPr>
      </w:pPr>
      <w:r>
        <w:rPr/>
        <w:t>Субподрядчик обязан соблюдать технологическую, производственную и трудовую дисциплину.</w:t>
      </w:r>
    </w:p>
    <w:p>
      <w:pPr>
        <w:pStyle w:val="Heading3"/>
        <w:numPr>
          <w:ilvl w:val="2"/>
          <w:numId w:val="3"/>
        </w:numPr>
        <w:ind w:left="426" w:hanging="425"/>
        <w:rPr>
          <w:b/>
        </w:rPr>
      </w:pPr>
      <w:r>
        <w:rPr/>
        <w:t xml:space="preserve">Должна производиться своевременная (ежедневная) уборка рабочих мест.  </w:t>
      </w:r>
    </w:p>
    <w:p>
      <w:pPr>
        <w:pStyle w:val="Heading1"/>
        <w:numPr>
          <w:ilvl w:val="0"/>
          <w:numId w:val="3"/>
        </w:numPr>
        <w:ind w:left="0" w:firstLine="709"/>
        <w:jc w:val="left"/>
        <w:rPr>
          <w:caps/>
          <w:sz w:val="26"/>
          <w:szCs w:val="26"/>
          <w:lang w:val="ru-RU"/>
        </w:rPr>
      </w:pPr>
      <w:bookmarkStart w:id="12" w:name="_Toc51339693"/>
      <w:bookmarkStart w:id="13" w:name="_Toc54646403"/>
      <w:bookmarkStart w:id="14" w:name="_Hlk48209761"/>
      <w:bookmarkEnd w:id="14"/>
      <w:r>
        <w:rPr>
          <w:sz w:val="26"/>
          <w:szCs w:val="26"/>
        </w:rPr>
        <w:t>Требования к продукции</w:t>
      </w:r>
      <w:bookmarkEnd w:id="12"/>
      <w:bookmarkEnd w:id="13"/>
    </w:p>
    <w:p>
      <w:pPr>
        <w:pStyle w:val="Heading4"/>
        <w:numPr>
          <w:ilvl w:val="1"/>
          <w:numId w:val="3"/>
        </w:numPr>
        <w:ind w:left="426" w:hanging="425"/>
        <w:rPr/>
      </w:pPr>
      <w:bookmarkStart w:id="15" w:name="_Toc54646404"/>
      <w:r>
        <w:rPr/>
        <w:t xml:space="preserve">Требования к объемам и срокам </w:t>
      </w:r>
      <w:r>
        <w:rPr>
          <w:lang w:val="ru-RU"/>
        </w:rPr>
        <w:t>выполнения работ</w:t>
      </w:r>
      <w:bookmarkEnd w:id="15"/>
    </w:p>
    <w:p>
      <w:pPr>
        <w:pStyle w:val="Heading3"/>
        <w:numPr>
          <w:ilvl w:val="2"/>
          <w:numId w:val="3"/>
        </w:numPr>
        <w:ind w:left="426" w:hanging="425"/>
        <w:rPr/>
      </w:pPr>
      <w:bookmarkStart w:id="16" w:name="_Toc54646405"/>
      <w:r>
        <w:rPr/>
        <w:t>Требования к видам и объемам работ</w:t>
      </w:r>
      <w:bookmarkEnd w:id="16"/>
    </w:p>
    <w:p>
      <w:pPr>
        <w:pStyle w:val="Heading1"/>
        <w:numPr>
          <w:ilvl w:val="0"/>
          <w:numId w:val="0"/>
        </w:numPr>
        <w:ind w:left="0" w:hanging="0"/>
        <w:rPr>
          <w:sz w:val="24"/>
          <w:szCs w:val="24"/>
        </w:rPr>
      </w:pPr>
      <w:bookmarkStart w:id="17" w:name="_Toc54646406"/>
      <w:bookmarkStart w:id="18" w:name="_Toc51339695"/>
      <w:r>
        <w:rPr>
          <w:sz w:val="24"/>
          <w:szCs w:val="24"/>
        </w:rPr>
        <w:t xml:space="preserve">Таблица 2. Перечень </w:t>
      </w:r>
      <w:bookmarkEnd w:id="18"/>
      <w:r>
        <w:rPr>
          <w:sz w:val="24"/>
          <w:szCs w:val="24"/>
        </w:rPr>
        <w:t>и объем выполняемых работ</w:t>
      </w:r>
      <w:bookmarkEnd w:id="17"/>
    </w:p>
    <w:tbl>
      <w:tblPr>
        <w:tblW w:w="9498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963"/>
        <w:gridCol w:w="4848"/>
        <w:gridCol w:w="1985"/>
        <w:gridCol w:w="1701"/>
      </w:tblGrid>
      <w:tr>
        <w:trPr/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работ / этапа работ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 xml:space="preserve">Бурение скважин с установкой обсадной трубы  </w:t>
            </w:r>
            <w:r>
              <w:rPr>
                <w:rFonts w:eastAsia="Calibri"/>
                <w:sz w:val="24"/>
                <w:szCs w:val="24"/>
              </w:rPr>
              <w:t>для устройства</w:t>
            </w:r>
            <w:r>
              <w:rPr>
                <w:sz w:val="24"/>
                <w:szCs w:val="24"/>
              </w:rPr>
              <w:t xml:space="preserve"> основного ограждения инженерно-технических средств охраны на объекте </w:t>
            </w:r>
            <w:r>
              <w:rPr>
                <w:rStyle w:val="Style8"/>
                <w:rFonts w:eastAsia="Calibri" w:ascii="Times New Roman;serif" w:hAnsi="Times New Roman;serif"/>
                <w:b w:val="false"/>
                <w:bCs/>
                <w:i w:val="false"/>
                <w:color w:val="2C2D2E"/>
                <w:sz w:val="24"/>
                <w:szCs w:val="24"/>
                <w:shd w:fill="auto" w:val="clear"/>
                <w:lang w:eastAsia="en-US"/>
              </w:rPr>
              <w:t>береговая насосная станция Владивостокской ТЭЦ-2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50</w:t>
            </w:r>
          </w:p>
        </w:tc>
      </w:tr>
      <w:tr>
        <w:trPr/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8"/>
              </w:numPr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 xml:space="preserve">Бурение скважин Ø140мм </w:t>
            </w:r>
            <w:r>
              <w:rPr>
                <w:sz w:val="24"/>
                <w:szCs w:val="24"/>
                <w:lang w:val="en-US" w:eastAsia="x-none"/>
              </w:rPr>
              <w:t>L</w:t>
            </w:r>
            <w:r>
              <w:rPr>
                <w:sz w:val="24"/>
                <w:szCs w:val="24"/>
                <w:lang w:eastAsia="x-none"/>
              </w:rPr>
              <w:t xml:space="preserve">=1600мм, установка обсадной трубы ПК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50</w:t>
            </w:r>
          </w:p>
        </w:tc>
      </w:tr>
    </w:tbl>
    <w:p>
      <w:pPr>
        <w:pStyle w:val="Heading3"/>
        <w:numPr>
          <w:ilvl w:val="2"/>
          <w:numId w:val="3"/>
        </w:numPr>
        <w:ind w:left="426" w:hanging="425"/>
        <w:rPr/>
      </w:pPr>
      <w:bookmarkStart w:id="19" w:name="_Toc54646407"/>
      <w:bookmarkStart w:id="20" w:name="_Toc51339696"/>
      <w:r>
        <w:rPr/>
        <w:t xml:space="preserve">Требования </w:t>
      </w:r>
      <w:bookmarkEnd w:id="20"/>
      <w:r>
        <w:rPr/>
        <w:t>к срокам выполнения работ</w:t>
      </w:r>
      <w:bookmarkEnd w:id="19"/>
    </w:p>
    <w:p>
      <w:pPr>
        <w:pStyle w:val="Heading1"/>
        <w:numPr>
          <w:ilvl w:val="0"/>
          <w:numId w:val="0"/>
        </w:numPr>
        <w:ind w:left="0" w:hanging="0"/>
        <w:rPr>
          <w:b/>
          <w:sz w:val="26"/>
          <w:szCs w:val="26"/>
        </w:rPr>
      </w:pPr>
      <w:bookmarkStart w:id="21" w:name="_Toc54646408"/>
      <w:bookmarkStart w:id="22" w:name="_Toc50125127"/>
      <w:bookmarkStart w:id="23" w:name="_Toc51339697"/>
      <w:bookmarkStart w:id="24" w:name="_Toc50125126"/>
      <w:bookmarkEnd w:id="24"/>
      <w:r>
        <w:rPr>
          <w:sz w:val="26"/>
          <w:szCs w:val="26"/>
        </w:rPr>
        <w:t xml:space="preserve">Работы выполняются </w:t>
      </w:r>
      <w:r>
        <w:rPr>
          <w:sz w:val="26"/>
          <w:szCs w:val="26"/>
          <w:lang w:val="ru-RU"/>
        </w:rPr>
        <w:t>в 6 этапов,</w:t>
      </w:r>
      <w:r>
        <w:rPr>
          <w:sz w:val="26"/>
          <w:szCs w:val="26"/>
        </w:rPr>
        <w:t xml:space="preserve"> согласно Таблице 3 настоящих ТТ.</w:t>
      </w:r>
    </w:p>
    <w:p>
      <w:pPr>
        <w:pStyle w:val="Heading1"/>
        <w:numPr>
          <w:ilvl w:val="0"/>
          <w:numId w:val="0"/>
        </w:numPr>
        <w:ind w:left="0" w:hanging="0"/>
        <w:rPr>
          <w:sz w:val="26"/>
          <w:szCs w:val="26"/>
          <w:lang w:val="ru-RU"/>
        </w:rPr>
      </w:pPr>
      <w:r>
        <w:rPr>
          <w:sz w:val="26"/>
          <w:szCs w:val="26"/>
        </w:rPr>
        <w:t xml:space="preserve">Таблица </w:t>
      </w:r>
      <w:r>
        <w:rPr>
          <w:sz w:val="26"/>
          <w:szCs w:val="26"/>
          <w:lang w:val="ru-RU"/>
        </w:rPr>
        <w:t>3</w:t>
      </w:r>
      <w:r>
        <w:rPr>
          <w:sz w:val="26"/>
          <w:szCs w:val="26"/>
        </w:rPr>
        <w:t xml:space="preserve">. </w:t>
      </w:r>
      <w:bookmarkStart w:id="25" w:name="_Hlk50465284"/>
      <w:r>
        <w:rPr>
          <w:sz w:val="26"/>
          <w:szCs w:val="26"/>
        </w:rPr>
        <w:t xml:space="preserve">Требования по </w:t>
      </w:r>
      <w:r>
        <w:rPr>
          <w:sz w:val="26"/>
          <w:szCs w:val="26"/>
          <w:lang w:val="ru-RU"/>
        </w:rPr>
        <w:t xml:space="preserve">объемам и </w:t>
      </w:r>
      <w:r>
        <w:rPr>
          <w:sz w:val="26"/>
          <w:szCs w:val="26"/>
        </w:rPr>
        <w:t xml:space="preserve">срокам </w:t>
      </w:r>
      <w:bookmarkEnd w:id="22"/>
      <w:bookmarkEnd w:id="23"/>
      <w:bookmarkEnd w:id="25"/>
      <w:r>
        <w:rPr>
          <w:sz w:val="26"/>
          <w:szCs w:val="26"/>
          <w:lang w:val="ru-RU"/>
        </w:rPr>
        <w:t>выполнения работ</w:t>
      </w:r>
      <w:bookmarkEnd w:id="21"/>
    </w:p>
    <w:tbl>
      <w:tblPr>
        <w:tblpPr w:bottomFromText="0" w:horzAnchor="margin" w:leftFromText="180" w:rightFromText="180" w:tblpX="-151" w:tblpY="310" w:topFromText="0" w:vertAnchor="text"/>
        <w:tblW w:w="10060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847"/>
        <w:gridCol w:w="4109"/>
        <w:gridCol w:w="2551"/>
        <w:gridCol w:w="2552"/>
      </w:tblGrid>
      <w:tr>
        <w:trPr/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этапа работ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выполнения этапа работ*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выполнения этапа работ*</w:t>
            </w:r>
          </w:p>
        </w:tc>
      </w:tr>
      <w:tr>
        <w:trPr/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ind w:left="176" w:right="315" w:hanging="0"/>
              <w:rPr/>
            </w:pPr>
            <w:r>
              <w:rPr/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keepLines/>
              <w:jc w:val="both"/>
              <w:rPr/>
            </w:pPr>
            <w:bookmarkStart w:id="26" w:name="_GoBack"/>
            <w:bookmarkEnd w:id="26"/>
            <w:r>
              <w:rPr>
                <w:rStyle w:val="Style8"/>
                <w:rFonts w:eastAsia="Calibri" w:ascii="Times New Roman;serif" w:hAnsi="Times New Roman;serif"/>
                <w:b w:val="false"/>
                <w:bCs w:val="false"/>
                <w:i w:val="false"/>
                <w:color w:val="2C2D2E"/>
                <w:sz w:val="24"/>
                <w:szCs w:val="24"/>
                <w:shd w:fill="auto" w:val="clear"/>
                <w:lang w:eastAsia="en-US"/>
              </w:rPr>
              <w:t>ОКПД2 43.13.10 В</w:t>
            </w:r>
            <w:r>
              <w:rPr>
                <w:rStyle w:val="Style8"/>
                <w:rFonts w:eastAsia="Calibri" w:ascii="Times New Roman;serif" w:hAnsi="Times New Roman;serif"/>
                <w:b w:val="false"/>
                <w:bCs w:val="false"/>
                <w:i w:val="false"/>
                <w:color w:val="2C2D2E"/>
                <w:sz w:val="24"/>
                <w:szCs w:val="24"/>
                <w:shd w:fill="auto" w:val="clear"/>
                <w:lang w:eastAsia="en-US"/>
              </w:rPr>
              <w:t xml:space="preserve">ыполнение </w:t>
            </w:r>
            <w:r>
              <w:rPr>
                <w:rStyle w:val="Style8"/>
                <w:rFonts w:eastAsia="Calibri" w:ascii="Times New Roman;serif" w:hAnsi="Times New Roman;serif"/>
                <w:b w:val="false"/>
                <w:bCs w:val="false"/>
                <w:i w:val="false"/>
                <w:color w:val="2C2D2E"/>
                <w:sz w:val="24"/>
                <w:szCs w:val="24"/>
                <w:shd w:fill="auto" w:val="clear"/>
                <w:lang w:eastAsia="en-US"/>
              </w:rPr>
              <w:t xml:space="preserve">буровых </w:t>
            </w:r>
            <w:r>
              <w:rPr>
                <w:rStyle w:val="Style8"/>
                <w:rFonts w:eastAsia="Calibri" w:ascii="Times New Roman;serif" w:hAnsi="Times New Roman;serif"/>
                <w:b w:val="false"/>
                <w:bCs w:val="false"/>
                <w:i w:val="false"/>
                <w:color w:val="2C2D2E"/>
                <w:sz w:val="24"/>
                <w:szCs w:val="24"/>
                <w:shd w:fill="auto" w:val="clear"/>
                <w:lang w:eastAsia="en-US"/>
              </w:rPr>
              <w:t xml:space="preserve">работ по устройству инженерно-технических средств защиты  </w:t>
            </w:r>
            <w:r>
              <w:rPr>
                <w:rStyle w:val="Style8"/>
                <w:rFonts w:eastAsia="Calibri" w:ascii="Times New Roman;serif" w:hAnsi="Times New Roman;serif"/>
                <w:b w:val="false"/>
                <w:bCs w:val="false"/>
                <w:i w:val="false"/>
                <w:color w:val="2C2D2E"/>
                <w:sz w:val="24"/>
                <w:szCs w:val="24"/>
                <w:shd w:fill="auto" w:val="clear"/>
                <w:lang w:eastAsia="en-US"/>
              </w:rPr>
              <w:t xml:space="preserve">береговой насосной станции Владивостокской ТЭЦ-2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30.09.2026 г.</w:t>
            </w:r>
          </w:p>
        </w:tc>
      </w:tr>
    </w:tbl>
    <w:p>
      <w:pPr>
        <w:pStyle w:val="ListParagraph"/>
        <w:widowControl w:val="false"/>
        <w:tabs>
          <w:tab w:val="clear" w:pos="709"/>
          <w:tab w:val="left" w:pos="0" w:leader="none"/>
        </w:tabs>
        <w:spacing w:before="120" w:after="120"/>
        <w:ind w:left="0" w:hanging="0"/>
        <w:contextualSpacing/>
        <w:jc w:val="both"/>
        <w:rPr/>
      </w:pPr>
      <w:r>
        <w:rPr/>
      </w:r>
    </w:p>
    <w:p>
      <w:pPr>
        <w:sectPr>
          <w:headerReference w:type="even" r:id="rId2"/>
          <w:headerReference w:type="default" r:id="rId3"/>
          <w:headerReference w:type="first" r:id="rId4"/>
          <w:footerReference w:type="default" r:id="rId5"/>
          <w:footerReference w:type="first" r:id="rId6"/>
          <w:type w:val="nextPage"/>
          <w:pgSz w:w="11906" w:h="16838"/>
          <w:pgMar w:left="1134" w:right="851" w:gutter="0" w:header="680" w:top="1134" w:footer="737" w:bottom="992"/>
          <w:pgNumType w:fmt="decimal"/>
          <w:formProt w:val="false"/>
          <w:titlePg/>
          <w:textDirection w:val="lrTb"/>
          <w:docGrid w:type="default" w:linePitch="360" w:charSpace="0"/>
        </w:sectPr>
        <w:pStyle w:val="ListParagraph"/>
        <w:widowControl w:val="false"/>
        <w:tabs>
          <w:tab w:val="clear" w:pos="709"/>
          <w:tab w:val="left" w:pos="0" w:leader="none"/>
        </w:tabs>
        <w:spacing w:before="120" w:after="120"/>
        <w:ind w:left="0" w:hanging="0"/>
        <w:contextualSpacing/>
        <w:jc w:val="both"/>
        <w:rPr>
          <w:rStyle w:val="Style8"/>
          <w:bCs/>
          <w:sz w:val="22"/>
        </w:rPr>
      </w:pPr>
      <w:bookmarkStart w:id="27" w:name="_Toc46743510"/>
      <w:r>
        <w:rPr/>
        <w:t>*Подрядчик по согласованию с Субподрядчиком может изменить сроки выполнения отдельных видов работ и их очередность без изменения конечного срока выполнения Работ. По письменному согласованию Сторон допускается досрочное выполнение Работ</w:t>
      </w:r>
      <w:bookmarkEnd w:id="27"/>
      <w:r>
        <w:rPr/>
        <w:t>.</w:t>
      </w:r>
    </w:p>
    <w:p>
      <w:pPr>
        <w:pStyle w:val="Heading4"/>
        <w:numPr>
          <w:ilvl w:val="1"/>
          <w:numId w:val="3"/>
        </w:numPr>
        <w:ind w:left="426" w:hanging="425"/>
        <w:rPr/>
      </w:pPr>
      <w:bookmarkStart w:id="28" w:name="_Toc54646410"/>
      <w:bookmarkStart w:id="29" w:name="_Toc51339698"/>
      <w:bookmarkStart w:id="30" w:name="_Toc50125131"/>
      <w:r>
        <w:rPr/>
        <w:t xml:space="preserve">Требования к </w:t>
      </w:r>
      <w:r>
        <w:rPr>
          <w:lang w:val="ru-RU"/>
        </w:rPr>
        <w:t>качеству работ</w:t>
      </w:r>
    </w:p>
    <w:p>
      <w:pPr>
        <w:pStyle w:val="Heading1"/>
        <w:numPr>
          <w:ilvl w:val="0"/>
          <w:numId w:val="0"/>
        </w:numPr>
        <w:ind w:left="0" w:hanging="0"/>
        <w:rPr>
          <w:sz w:val="24"/>
          <w:szCs w:val="24"/>
        </w:rPr>
      </w:pPr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Требования к </w:t>
      </w:r>
      <w:bookmarkEnd w:id="29"/>
      <w:bookmarkEnd w:id="30"/>
      <w:r>
        <w:rPr>
          <w:sz w:val="24"/>
          <w:szCs w:val="24"/>
          <w:lang w:val="ru-RU"/>
        </w:rPr>
        <w:t>качеству работ</w:t>
      </w:r>
      <w:bookmarkEnd w:id="28"/>
      <w:r>
        <w:rPr>
          <w:sz w:val="24"/>
          <w:szCs w:val="24"/>
        </w:rPr>
        <w:t xml:space="preserve"> </w:t>
      </w:r>
    </w:p>
    <w:p>
      <w:pPr>
        <w:pStyle w:val="Normal"/>
        <w:snapToGrid w:val="false"/>
        <w:spacing w:before="0" w:after="120"/>
        <w:rPr>
          <w:rStyle w:val="Style8"/>
          <w:iCs/>
          <w:sz w:val="24"/>
          <w:szCs w:val="24"/>
        </w:rPr>
      </w:pPr>
      <w:r>
        <w:rPr>
          <w:b/>
          <w:bCs/>
          <w:sz w:val="24"/>
          <w:szCs w:val="24"/>
        </w:rPr>
        <w:t>Наименование работ/этапа работ (позиция №1 Таблицы 2):</w:t>
      </w:r>
      <w:r>
        <w:rPr/>
        <w:t xml:space="preserve"> </w:t>
      </w:r>
      <w:r>
        <w:rPr>
          <w:rStyle w:val="Style8"/>
          <w:rFonts w:eastAsia="Calibri" w:ascii="Times New Roman;serif" w:hAnsi="Times New Roman;serif"/>
          <w:b w:val="false"/>
          <w:bCs w:val="false"/>
          <w:i w:val="false"/>
          <w:iCs/>
          <w:color w:val="2C2D2E"/>
          <w:sz w:val="24"/>
          <w:szCs w:val="24"/>
          <w:shd w:fill="auto" w:val="clear"/>
          <w:lang w:eastAsia="en-US"/>
        </w:rPr>
        <w:t>ОКПД2 43.13.10 В</w:t>
      </w:r>
      <w:r>
        <w:rPr>
          <w:rStyle w:val="Style8"/>
          <w:rFonts w:eastAsia="Calibri" w:ascii="Times New Roman;serif" w:hAnsi="Times New Roman;serif"/>
          <w:b w:val="false"/>
          <w:bCs w:val="false"/>
          <w:i w:val="false"/>
          <w:iCs/>
          <w:color w:val="2C2D2E"/>
          <w:sz w:val="24"/>
          <w:szCs w:val="24"/>
          <w:shd w:fill="auto" w:val="clear"/>
          <w:lang w:eastAsia="en-US"/>
        </w:rPr>
        <w:t xml:space="preserve">ыполнение </w:t>
      </w:r>
      <w:r>
        <w:rPr>
          <w:rStyle w:val="Style8"/>
          <w:rFonts w:eastAsia="Calibri" w:ascii="Times New Roman;serif" w:hAnsi="Times New Roman;serif"/>
          <w:b w:val="false"/>
          <w:bCs w:val="false"/>
          <w:i w:val="false"/>
          <w:iCs/>
          <w:color w:val="2C2D2E"/>
          <w:sz w:val="24"/>
          <w:szCs w:val="24"/>
          <w:shd w:fill="auto" w:val="clear"/>
          <w:lang w:eastAsia="en-US"/>
        </w:rPr>
        <w:t xml:space="preserve">буровых </w:t>
      </w:r>
      <w:r>
        <w:rPr>
          <w:rStyle w:val="Style8"/>
          <w:rFonts w:eastAsia="Calibri" w:ascii="Times New Roman;serif" w:hAnsi="Times New Roman;serif"/>
          <w:b w:val="false"/>
          <w:bCs w:val="false"/>
          <w:i w:val="false"/>
          <w:iCs/>
          <w:color w:val="2C2D2E"/>
          <w:sz w:val="24"/>
          <w:szCs w:val="24"/>
          <w:shd w:fill="auto" w:val="clear"/>
          <w:lang w:eastAsia="en-US"/>
        </w:rPr>
        <w:t xml:space="preserve">работ по устройству инженерно-технических средств защиты  </w:t>
      </w:r>
      <w:r>
        <w:rPr>
          <w:rStyle w:val="Style8"/>
          <w:rFonts w:eastAsia="Calibri" w:ascii="Times New Roman;serif" w:hAnsi="Times New Roman;serif"/>
          <w:b w:val="false"/>
          <w:bCs w:val="false"/>
          <w:i w:val="false"/>
          <w:iCs/>
          <w:color w:val="2C2D2E"/>
          <w:sz w:val="24"/>
          <w:szCs w:val="24"/>
          <w:shd w:fill="auto" w:val="clear"/>
          <w:lang w:eastAsia="en-US"/>
        </w:rPr>
        <w:t xml:space="preserve">береговой насосной станции Владивостокской ТЭЦ-2 </w:t>
      </w:r>
    </w:p>
    <w:tbl>
      <w:tblPr>
        <w:tblStyle w:val="affff5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071"/>
        <w:gridCol w:w="2517"/>
        <w:gridCol w:w="11691"/>
      </w:tblGrid>
      <w:tr>
        <w:trPr/>
        <w:tc>
          <w:tcPr>
            <w:tcW w:w="107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51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1169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</w:tr>
      <w:tr>
        <w:trPr/>
        <w:tc>
          <w:tcPr>
            <w:tcW w:w="107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251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1169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1071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4208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Требования к выполнению работ </w:t>
            </w:r>
          </w:p>
        </w:tc>
      </w:tr>
      <w:tr>
        <w:trPr/>
        <w:tc>
          <w:tcPr>
            <w:tcW w:w="1071" w:type="dxa"/>
            <w:tcBorders/>
            <w:vAlign w:val="center"/>
          </w:tcPr>
          <w:p>
            <w:pPr>
              <w:pStyle w:val="ListParagraph"/>
              <w:widowControl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b/>
                <w:bCs/>
              </w:rPr>
            </w:pPr>
            <w:r>
              <w:rPr>
                <w:rFonts w:cs="Times New Roman"/>
                <w:b/>
                <w:bCs/>
                <w:kern w:val="0"/>
                <w:lang w:val="ru-RU" w:eastAsia="ru-RU" w:bidi="ar-SA"/>
              </w:rPr>
            </w:r>
          </w:p>
        </w:tc>
        <w:tc>
          <w:tcPr>
            <w:tcW w:w="14208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Общие требования к выполнению работ</w:t>
            </w:r>
          </w:p>
        </w:tc>
      </w:tr>
      <w:tr>
        <w:trPr/>
        <w:tc>
          <w:tcPr>
            <w:tcW w:w="1071" w:type="dxa"/>
            <w:tcBorders/>
            <w:vAlign w:val="center"/>
          </w:tcPr>
          <w:p>
            <w:pPr>
              <w:pStyle w:val="ListParagraph"/>
              <w:widowControl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517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Соблюдение при выполнении работ норм и правил нормативно-технических документов</w:t>
            </w:r>
          </w:p>
        </w:tc>
        <w:tc>
          <w:tcPr>
            <w:tcW w:w="11691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kern w:val="0"/>
                <w:sz w:val="24"/>
                <w:lang w:val="ru-RU" w:eastAsia="ru-RU" w:bidi="ar-SA"/>
              </w:rPr>
              <w:t>Работы выполняются в соответствии со следующими документами, но не ограничиваясь ими:</w:t>
            </w:r>
          </w:p>
          <w:p>
            <w:pPr>
              <w:pStyle w:val="Normal"/>
              <w:widowControl/>
              <w:numPr>
                <w:ilvl w:val="0"/>
                <w:numId w:val="10"/>
              </w:numPr>
              <w:suppressAutoHyphens w:val="true"/>
              <w:spacing w:before="0" w:after="0"/>
              <w:ind w:left="292" w:hanging="36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Правила по охране труда при эксплуатации электроустановок, утвержденные приказом Минтруда и соц. Защиты РФ от 15.12.2020 г. №903н;</w:t>
            </w:r>
          </w:p>
          <w:p>
            <w:pPr>
              <w:pStyle w:val="Normal"/>
              <w:widowControl/>
              <w:numPr>
                <w:ilvl w:val="0"/>
                <w:numId w:val="10"/>
              </w:numPr>
              <w:suppressAutoHyphens w:val="true"/>
              <w:spacing w:before="0" w:after="0"/>
              <w:ind w:left="292" w:hanging="36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 xml:space="preserve">Правила по охране труда при работе на высоте, утвержденные Приказом </w:t>
            </w:r>
            <w:r>
              <w:rPr>
                <w:rFonts w:eastAsia="Times New Roman" w:cs="Times New Roman"/>
                <w:kern w:val="0"/>
                <w:sz w:val="24"/>
                <w:lang w:val="ru-RU" w:eastAsia="ru-RU" w:bidi="ar-SA"/>
              </w:rPr>
              <w:t>Минтруда и соц. Защиты РФ от 16.11.2020 г. №782н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;</w:t>
            </w:r>
          </w:p>
          <w:p>
            <w:pPr>
              <w:pStyle w:val="Normal"/>
              <w:widowControl/>
              <w:numPr>
                <w:ilvl w:val="0"/>
                <w:numId w:val="10"/>
              </w:numPr>
              <w:suppressAutoHyphens w:val="true"/>
              <w:spacing w:before="0" w:after="0"/>
              <w:ind w:left="269" w:hanging="360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Правила технической эксплуатации электрических станций и сетей Российской Федерации, утвержденные Приказом Минэнерго России от 4 октября 2022 г. N 1070;</w:t>
            </w:r>
          </w:p>
          <w:p>
            <w:pPr>
              <w:pStyle w:val="Normal"/>
              <w:widowControl/>
              <w:numPr>
                <w:ilvl w:val="0"/>
                <w:numId w:val="10"/>
              </w:numPr>
              <w:suppressAutoHyphens w:val="true"/>
              <w:spacing w:before="0" w:after="0"/>
              <w:ind w:left="292" w:hanging="36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 xml:space="preserve">Приказ Минтруда </w:t>
            </w:r>
            <w:r>
              <w:rPr>
                <w:rFonts w:eastAsia="Times New Roman" w:cs="Times New Roman"/>
                <w:kern w:val="0"/>
                <w:sz w:val="24"/>
                <w:lang w:val="ru-RU" w:eastAsia="ru-RU" w:bidi="ar-SA"/>
              </w:rPr>
              <w:t>и соц. Защиты РФ от 28.10.2020 г. №753н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 xml:space="preserve"> «Об утверждении Правил по охране труда при погрузочно-разгрузочных работах и размещении грузов»;</w:t>
            </w:r>
          </w:p>
          <w:p>
            <w:pPr>
              <w:pStyle w:val="Normal"/>
              <w:widowControl/>
              <w:numPr>
                <w:ilvl w:val="0"/>
                <w:numId w:val="10"/>
              </w:numPr>
              <w:suppressAutoHyphens w:val="true"/>
              <w:spacing w:before="0" w:after="0"/>
              <w:ind w:left="292" w:hanging="36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 xml:space="preserve">Правила безопасности при работе с инструментом и приспособлениями, утвержденные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приказом Минтруда и соц. Защиты РФ от 27.11.2020 г. №835н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 xml:space="preserve">; </w:t>
            </w:r>
          </w:p>
          <w:p>
            <w:pPr>
              <w:pStyle w:val="Normal"/>
              <w:widowControl/>
              <w:numPr>
                <w:ilvl w:val="0"/>
                <w:numId w:val="10"/>
              </w:numPr>
              <w:suppressAutoHyphens w:val="true"/>
              <w:spacing w:before="0" w:after="0"/>
              <w:ind w:left="292" w:hanging="36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“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Правила противопожарного режима в Российской Федерации” утверждены постановлением Правительства РФ от 16.09.2020 №1479 (с изм. от 21.05.2021)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;</w:t>
            </w:r>
          </w:p>
          <w:p>
            <w:pPr>
              <w:pStyle w:val="Normal"/>
              <w:widowControl/>
              <w:numPr>
                <w:ilvl w:val="0"/>
                <w:numId w:val="10"/>
              </w:numPr>
              <w:suppressAutoHyphens w:val="true"/>
              <w:spacing w:before="0" w:after="0"/>
              <w:ind w:left="292" w:hanging="36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Положение о Технической политике ПАО «РусГидро»;</w:t>
            </w:r>
          </w:p>
          <w:p>
            <w:pPr>
              <w:pStyle w:val="Normal"/>
              <w:widowControl/>
              <w:numPr>
                <w:ilvl w:val="0"/>
                <w:numId w:val="10"/>
              </w:numPr>
              <w:suppressAutoHyphens w:val="true"/>
              <w:spacing w:before="0" w:after="0"/>
              <w:ind w:left="292" w:hanging="36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рабочие чертежи на устройство ограждения (ИТСЗ) будет предоставлена субподрядчику в рамках выполнения работ по договору;</w:t>
            </w:r>
          </w:p>
          <w:p>
            <w:pPr>
              <w:pStyle w:val="Normal"/>
              <w:widowControl/>
              <w:numPr>
                <w:ilvl w:val="0"/>
                <w:numId w:val="10"/>
              </w:numPr>
              <w:suppressAutoHyphens w:val="true"/>
              <w:spacing w:before="0" w:after="0"/>
              <w:ind w:left="292" w:hanging="36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Федеральный закон № 89-ФЗ от 24.06.1998 «Об отходах производства и потребления»;</w:t>
            </w:r>
          </w:p>
          <w:p>
            <w:pPr>
              <w:pStyle w:val="Normal"/>
              <w:widowControl/>
              <w:numPr>
                <w:ilvl w:val="0"/>
                <w:numId w:val="10"/>
              </w:numPr>
              <w:suppressAutoHyphens w:val="true"/>
              <w:spacing w:before="0" w:after="0"/>
              <w:ind w:left="292" w:hanging="36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Федеральный закон N 7-ФЗ от 10.01.2002 "Об охране окружающей среды";</w:t>
            </w:r>
          </w:p>
          <w:p>
            <w:pPr>
              <w:pStyle w:val="ListParagraph"/>
              <w:widowControl/>
              <w:numPr>
                <w:ilvl w:val="0"/>
                <w:numId w:val="10"/>
              </w:numPr>
              <w:suppressAutoHyphens w:val="true"/>
              <w:spacing w:before="0" w:after="0"/>
              <w:ind w:left="292" w:hanging="36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Порядок проведения паспортизации отходов I - IV классов опасности, утвержденный приказом Минприроды России от 08.12.2020 г. №1026;</w:t>
            </w:r>
          </w:p>
          <w:p>
            <w:pPr>
              <w:pStyle w:val="Normal"/>
              <w:widowControl/>
              <w:numPr>
                <w:ilvl w:val="0"/>
                <w:numId w:val="10"/>
              </w:numPr>
              <w:suppressAutoHyphens w:val="true"/>
              <w:spacing w:before="0" w:after="0"/>
              <w:ind w:left="292" w:hanging="36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Заводскими инструкциями и руководством по использованию применяемых материалов, оборудования.</w:t>
            </w:r>
          </w:p>
        </w:tc>
      </w:tr>
      <w:tr>
        <w:trPr/>
        <w:tc>
          <w:tcPr>
            <w:tcW w:w="1071" w:type="dxa"/>
            <w:tcBorders/>
            <w:vAlign w:val="center"/>
          </w:tcPr>
          <w:p>
            <w:pPr>
              <w:pStyle w:val="ListParagraph"/>
              <w:widowControl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4208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организации работ</w:t>
            </w:r>
          </w:p>
        </w:tc>
      </w:tr>
      <w:tr>
        <w:trPr/>
        <w:tc>
          <w:tcPr>
            <w:tcW w:w="1071" w:type="dxa"/>
            <w:tcBorders/>
            <w:vAlign w:val="center"/>
          </w:tcPr>
          <w:p>
            <w:pPr>
              <w:pStyle w:val="ListParagraph"/>
              <w:widowControl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517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Организационно-технические мероприятия по допуску персонала Субподрядчика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1691" w:type="dxa"/>
            <w:tcBorders/>
          </w:tcPr>
          <w:p>
            <w:pPr>
              <w:pStyle w:val="Heading3"/>
              <w:widowControl/>
              <w:numPr>
                <w:ilvl w:val="0"/>
                <w:numId w:val="0"/>
              </w:numPr>
              <w:suppressAutoHyphens w:val="true"/>
              <w:spacing w:before="120" w:after="60"/>
              <w:ind w:left="0" w:hanging="0"/>
              <w:rPr>
                <w:b/>
              </w:rPr>
            </w:pPr>
            <w:r>
              <w:rPr>
                <w:rFonts w:cs="Times New Roman"/>
                <w:kern w:val="0"/>
                <w:lang w:bidi="ar-SA"/>
              </w:rPr>
              <w:t xml:space="preserve">Допуск персонала Субподрядчика для выполнения работ осуществляется по разработанному и согласованному с Заказчиком и </w:t>
            </w:r>
            <w:r>
              <w:rPr>
                <w:rFonts w:cs="Times New Roman"/>
                <w:kern w:val="0"/>
                <w:lang w:val="ru-RU" w:bidi="ar-SA"/>
              </w:rPr>
              <w:t>П</w:t>
            </w:r>
            <w:r>
              <w:rPr>
                <w:rFonts w:cs="Times New Roman"/>
                <w:kern w:val="0"/>
                <w:lang w:bidi="ar-SA"/>
              </w:rPr>
              <w:t>одрядчиком проекту производств работ и в соответствии с « Регламент</w:t>
            </w:r>
            <w:r>
              <w:rPr>
                <w:rFonts w:cs="Times New Roman"/>
                <w:kern w:val="0"/>
                <w:lang w:val="ru-RU" w:bidi="ar-SA"/>
              </w:rPr>
              <w:t>ом</w:t>
            </w:r>
            <w:r>
              <w:rPr>
                <w:rFonts w:cs="Times New Roman"/>
                <w:kern w:val="0"/>
                <w:lang w:bidi="ar-SA"/>
              </w:rPr>
              <w:t xml:space="preserve"> процесса "Допуск персонала подрядных организаций к выполнению работ на объектах ПАО "РусГидро». (Приложение №</w:t>
            </w:r>
            <w:r>
              <w:rPr>
                <w:rFonts w:cs="Times New Roman"/>
                <w:kern w:val="0"/>
                <w:lang w:val="ru-RU" w:bidi="ar-SA"/>
              </w:rPr>
              <w:t>2</w:t>
            </w:r>
            <w:r>
              <w:rPr>
                <w:rFonts w:cs="Times New Roman"/>
                <w:kern w:val="0"/>
                <w:lang w:bidi="ar-SA"/>
              </w:rPr>
              <w:t xml:space="preserve"> к настоящим ТТ)</w:t>
            </w:r>
          </w:p>
        </w:tc>
      </w:tr>
      <w:tr>
        <w:trPr/>
        <w:tc>
          <w:tcPr>
            <w:tcW w:w="1071" w:type="dxa"/>
            <w:tcBorders/>
            <w:vAlign w:val="center"/>
          </w:tcPr>
          <w:p>
            <w:pPr>
              <w:pStyle w:val="ListParagraph"/>
              <w:widowControl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517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Требования к разработке и согласованию проекта производства работ</w:t>
            </w:r>
          </w:p>
        </w:tc>
        <w:tc>
          <w:tcPr>
            <w:tcW w:w="11691" w:type="dxa"/>
            <w:tcBorders/>
          </w:tcPr>
          <w:p>
            <w:pPr>
              <w:pStyle w:val="Heading3"/>
              <w:widowControl/>
              <w:numPr>
                <w:ilvl w:val="0"/>
                <w:numId w:val="0"/>
              </w:numPr>
              <w:suppressAutoHyphens w:val="true"/>
              <w:spacing w:before="120" w:after="60"/>
              <w:ind w:left="0" w:hanging="0"/>
              <w:rPr>
                <w:b/>
              </w:rPr>
            </w:pPr>
            <w:r>
              <w:rPr>
                <w:rFonts w:cs="Times New Roman"/>
                <w:kern w:val="0"/>
                <w:lang w:bidi="ar-SA"/>
              </w:rPr>
              <w:t>Субподрядчик собственными силами разрабатывает ППР на Работы, утверждает его и согласовывает с Заказчиком. Субподрядчик предоставляет на согласование Заказчику ППР и в формате pdf официальным письмом. Заказчик в течение 3 рабочих дней рассматривает предоставленный ППР, и официальным письмом уведомляет Субподрядчика о согласовании или направляет замечания. Субподрядчик, получив замечания, в течение 3 рабочих дней устраняет замечания и направляет официальным письмом на согласование. ППР на выполнение Работ разрабатывается в соответствии с МДС 12-81.2007 «Методические рекомендации по разработке и оформлению проекта организации строительства и проекта производства работ» и МДС 12-29.2006 «Методические рекомендации по разработке и оформлению технологической карты»</w:t>
            </w:r>
          </w:p>
        </w:tc>
      </w:tr>
      <w:tr>
        <w:trPr/>
        <w:tc>
          <w:tcPr>
            <w:tcW w:w="1071" w:type="dxa"/>
            <w:tcBorders/>
            <w:vAlign w:val="center"/>
          </w:tcPr>
          <w:p>
            <w:pPr>
              <w:pStyle w:val="ListParagraph"/>
              <w:widowControl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517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Требования к организации работ</w:t>
            </w:r>
          </w:p>
        </w:tc>
        <w:tc>
          <w:tcPr>
            <w:tcW w:w="11691" w:type="dxa"/>
            <w:tcBorders/>
          </w:tcPr>
          <w:p>
            <w:pPr>
              <w:pStyle w:val="Heading3"/>
              <w:widowControl/>
              <w:numPr>
                <w:ilvl w:val="0"/>
                <w:numId w:val="0"/>
              </w:numPr>
              <w:suppressAutoHyphens w:val="true"/>
              <w:spacing w:before="120" w:after="60"/>
              <w:ind w:left="0" w:hanging="0"/>
              <w:rPr>
                <w:b/>
              </w:rPr>
            </w:pPr>
            <w:r>
              <w:rPr>
                <w:rFonts w:cs="Times New Roman"/>
                <w:kern w:val="0"/>
                <w:lang w:bidi="ar-SA"/>
              </w:rPr>
              <w:t>Работы выполняются в соответствии утвержденным проектом производства работ (ППР) или технологической картой (ТК</w:t>
            </w:r>
            <w:r>
              <w:rPr>
                <w:rFonts w:cs="Times New Roman"/>
                <w:kern w:val="0"/>
                <w:lang w:val="ru-RU" w:bidi="ar-SA"/>
              </w:rPr>
              <w:t>)</w:t>
            </w:r>
            <w:r>
              <w:rPr>
                <w:rFonts w:cs="Times New Roman"/>
                <w:kern w:val="0"/>
                <w:lang w:bidi="ar-SA"/>
              </w:rPr>
              <w:t>.</w:t>
            </w:r>
          </w:p>
          <w:p>
            <w:pPr>
              <w:pStyle w:val="Heading3"/>
              <w:widowControl/>
              <w:numPr>
                <w:ilvl w:val="0"/>
                <w:numId w:val="0"/>
              </w:numPr>
              <w:suppressAutoHyphens w:val="true"/>
              <w:ind w:left="0" w:hanging="0"/>
              <w:rPr>
                <w:b/>
              </w:rPr>
            </w:pPr>
            <w:r>
              <w:rPr>
                <w:rFonts w:cs="Times New Roman"/>
                <w:kern w:val="0"/>
                <w:lang w:bidi="ar-SA"/>
              </w:rPr>
              <w:t>Обеспечение техники безопасности при проведении работ – технические и организационные возможности, комплектность персонала, безопасность производства работ должны соответствовать характеру выполняемых работ.</w:t>
            </w:r>
          </w:p>
          <w:p>
            <w:pPr>
              <w:pStyle w:val="Heading3"/>
              <w:widowControl/>
              <w:numPr>
                <w:ilvl w:val="0"/>
                <w:numId w:val="0"/>
              </w:numPr>
              <w:suppressAutoHyphens w:val="true"/>
              <w:ind w:left="0" w:hanging="0"/>
              <w:rPr>
                <w:b/>
              </w:rPr>
            </w:pPr>
            <w:r>
              <w:rPr>
                <w:rFonts w:cs="Times New Roman"/>
                <w:kern w:val="0"/>
                <w:lang w:bidi="ar-SA"/>
              </w:rPr>
              <w:t>Согласование с Заказчиком мест подключения временных коммуникаций (технические условия на подключения выдаются после получения от Субподрядчика официального запроса с указанием потребных ресурсов в количественных и качественных показателях).</w:t>
            </w:r>
          </w:p>
          <w:p>
            <w:pPr>
              <w:pStyle w:val="Heading3"/>
              <w:widowControl/>
              <w:numPr>
                <w:ilvl w:val="0"/>
                <w:numId w:val="0"/>
              </w:numPr>
              <w:suppressAutoHyphens w:val="true"/>
              <w:spacing w:before="120" w:after="60"/>
              <w:ind w:left="0" w:hanging="0"/>
              <w:rPr>
                <w:b/>
                <w:lang w:val="ru-RU"/>
              </w:rPr>
            </w:pPr>
            <w:r>
              <w:rPr>
                <w:rFonts w:cs="Times New Roman"/>
                <w:kern w:val="0"/>
                <w:lang w:bidi="ar-SA"/>
              </w:rPr>
              <w:t>Инженерная подготовка и оборудование рабочей площадки, монтаж ограждений, переходов, лестниц и т.д..</w:t>
            </w:r>
          </w:p>
        </w:tc>
      </w:tr>
      <w:tr>
        <w:trPr/>
        <w:tc>
          <w:tcPr>
            <w:tcW w:w="1071" w:type="dxa"/>
            <w:tcBorders/>
            <w:vAlign w:val="center"/>
          </w:tcPr>
          <w:p>
            <w:pPr>
              <w:pStyle w:val="ListParagraph"/>
              <w:widowControl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4208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применяемым при выполнении работ оборудованию, материалам, технологиям, программно-аппаратным средствам</w:t>
            </w:r>
          </w:p>
        </w:tc>
      </w:tr>
      <w:tr>
        <w:trPr/>
        <w:tc>
          <w:tcPr>
            <w:tcW w:w="1071" w:type="dxa"/>
            <w:tcBorders/>
            <w:vAlign w:val="center"/>
          </w:tcPr>
          <w:p>
            <w:pPr>
              <w:pStyle w:val="ListParagraph"/>
              <w:widowControl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517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Требования к используемым запасным частям и материалам</w:t>
            </w:r>
          </w:p>
        </w:tc>
        <w:tc>
          <w:tcPr>
            <w:tcW w:w="1169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4"/>
              </w:rPr>
            </w:pPr>
            <w:r>
              <w:rPr>
                <w:rFonts w:eastAsia="Times New Roman" w:cs="Times New Roman"/>
                <w:kern w:val="0"/>
                <w:sz w:val="24"/>
                <w:lang w:val="ru-RU" w:eastAsia="ru-RU" w:bidi="ar-SA"/>
              </w:rPr>
              <w:t xml:space="preserve">Оборудование и материалы, необходимые для выполнения работ, поставляются силами Субподрядчика, кроме Давальческих материалов поставка Заказчика: </w:t>
            </w:r>
          </w:p>
          <w:p>
            <w:pPr>
              <w:pStyle w:val="ListParagraph"/>
              <w:widowControl/>
              <w:numPr>
                <w:ilvl w:val="0"/>
                <w:numId w:val="16"/>
              </w:numPr>
              <w:suppressAutoHyphens w:val="true"/>
              <w:spacing w:before="0" w:after="0"/>
              <w:contextualSpacing/>
              <w:jc w:val="both"/>
              <w:rPr>
                <w:rFonts w:ascii="Times New Roman" w:hAnsi="Times New Roman" w:cs="Times New Roman"/>
                <w:kern w:val="0"/>
                <w:lang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 xml:space="preserve">труба стальная электросварная (Ст3сп 127х5 ГОСТ 10704-91) Ø127х5мм, </w:t>
            </w:r>
            <w:r>
              <w:rPr>
                <w:rFonts w:cs="Times New Roman"/>
                <w:kern w:val="0"/>
                <w:lang w:val="en-US" w:eastAsia="ru-RU" w:bidi="ar-SA"/>
              </w:rPr>
              <w:t>L</w:t>
            </w:r>
            <w:r>
              <w:rPr>
                <w:rFonts w:cs="Times New Roman"/>
                <w:kern w:val="0"/>
                <w:lang w:val="ru-RU" w:eastAsia="ru-RU" w:bidi="ar-SA"/>
              </w:rPr>
              <w:t>=1600мм;</w:t>
            </w:r>
          </w:p>
          <w:p>
            <w:pPr>
              <w:pStyle w:val="ListParagraph"/>
              <w:widowControl/>
              <w:numPr>
                <w:ilvl w:val="0"/>
                <w:numId w:val="16"/>
              </w:numPr>
              <w:suppressAutoHyphens w:val="true"/>
              <w:spacing w:before="0" w:after="0"/>
              <w:ind w:left="0" w:firstLine="273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 xml:space="preserve"> </w:t>
            </w:r>
            <w:r>
              <w:rPr>
                <w:rFonts w:cs="Times New Roman"/>
                <w:kern w:val="0"/>
                <w:lang w:val="ru-RU" w:eastAsia="ru-RU" w:bidi="ar-SA"/>
              </w:rPr>
              <w:t xml:space="preserve">втулка удлинительная для долот РД, СД, ТД Ст20 DIN 127 стартовая. </w:t>
            </w:r>
          </w:p>
          <w:p>
            <w:pPr>
              <w:pStyle w:val="ListParagraph"/>
              <w:widowControl/>
              <w:suppressAutoHyphens w:val="true"/>
              <w:spacing w:before="0" w:after="0"/>
              <w:ind w:left="273" w:hanging="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 xml:space="preserve">Указанные давальческие материалы передаются Заказчиком субподрядчиком по Акту в монтаж.  </w:t>
            </w:r>
          </w:p>
        </w:tc>
      </w:tr>
      <w:tr>
        <w:trPr/>
        <w:tc>
          <w:tcPr>
            <w:tcW w:w="1071" w:type="dxa"/>
            <w:tcBorders/>
            <w:vAlign w:val="center"/>
          </w:tcPr>
          <w:p>
            <w:pPr>
              <w:pStyle w:val="ListParagraph"/>
              <w:widowControl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420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контролю качества работ и материалов</w:t>
            </w:r>
          </w:p>
        </w:tc>
      </w:tr>
      <w:tr>
        <w:trPr/>
        <w:tc>
          <w:tcPr>
            <w:tcW w:w="1071" w:type="dxa"/>
            <w:tcBorders/>
            <w:vAlign w:val="center"/>
          </w:tcPr>
          <w:p>
            <w:pPr>
              <w:pStyle w:val="ListParagraph"/>
              <w:widowControl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517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Контроль качества используемых запасных частей и материалов</w:t>
            </w:r>
          </w:p>
        </w:tc>
        <w:tc>
          <w:tcPr>
            <w:tcW w:w="11691" w:type="dxa"/>
            <w:tcBorders/>
          </w:tcPr>
          <w:p>
            <w:pPr>
              <w:pStyle w:val="Normal"/>
              <w:widowControl/>
              <w:suppressAutoHyphens w:val="true"/>
              <w:spacing w:before="0" w:after="6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lang w:val="ru-RU" w:eastAsia="ru-RU" w:bidi="ar-SA"/>
              </w:rPr>
              <w:t>При выполнении Работ должны применяться основные материалы поставки Заказчика, указанные в п.1.3.1 табл.4</w:t>
            </w:r>
          </w:p>
        </w:tc>
      </w:tr>
      <w:tr>
        <w:trPr/>
        <w:tc>
          <w:tcPr>
            <w:tcW w:w="1071" w:type="dxa"/>
            <w:tcBorders/>
            <w:vAlign w:val="center"/>
          </w:tcPr>
          <w:p>
            <w:pPr>
              <w:pStyle w:val="ListParagraph"/>
              <w:widowControl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517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контролю работ</w:t>
            </w:r>
          </w:p>
        </w:tc>
        <w:tc>
          <w:tcPr>
            <w:tcW w:w="1169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Субподрядчик обязан применять виды и объемы контроля своих работ, указанные в нормативной документации, которые гарантировали бы выявление недопустимых дефектов, их высокое качество и надежность в эксплуатации в соответствии с положениями законов, актов и других официальных требований России и российских государственных органов.</w:t>
            </w:r>
          </w:p>
          <w:p>
            <w:pPr>
              <w:pStyle w:val="Normal"/>
              <w:widowControl/>
              <w:suppressAutoHyphens w:val="true"/>
              <w:spacing w:before="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Геодезическую разбивку под бурение и установку фундаментов (обсадных труб) Субподрядчик выполняет собственными  силами в соответствии с рабочей документацией.</w:t>
            </w:r>
          </w:p>
        </w:tc>
      </w:tr>
      <w:tr>
        <w:trPr/>
        <w:tc>
          <w:tcPr>
            <w:tcW w:w="1071" w:type="dxa"/>
            <w:tcBorders/>
            <w:vAlign w:val="center"/>
          </w:tcPr>
          <w:p>
            <w:pPr>
              <w:pStyle w:val="ListParagraph"/>
              <w:widowControl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4208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персоналу подрядчика</w:t>
            </w:r>
          </w:p>
        </w:tc>
      </w:tr>
      <w:tr>
        <w:trPr/>
        <w:tc>
          <w:tcPr>
            <w:tcW w:w="1071" w:type="dxa"/>
            <w:tcBorders/>
            <w:vAlign w:val="center"/>
          </w:tcPr>
          <w:p>
            <w:pPr>
              <w:pStyle w:val="ListParagraph"/>
              <w:widowControl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517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Квалификация персонала подрядчика, привлекаемого к выполнению работ</w:t>
            </w:r>
          </w:p>
        </w:tc>
        <w:tc>
          <w:tcPr>
            <w:tcW w:w="11691" w:type="dxa"/>
            <w:tcBorders/>
          </w:tcPr>
          <w:p>
            <w:pPr>
              <w:pStyle w:val="Normal"/>
              <w:widowControl/>
              <w:tabs>
                <w:tab w:val="clear" w:pos="709"/>
                <w:tab w:val="left" w:pos="1134" w:leader="none"/>
              </w:tabs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Не менее чем за 10 дней до начала производства работ Субподрядчик предоставляет Подрядчику:</w:t>
            </w:r>
          </w:p>
          <w:p>
            <w:pPr>
              <w:pStyle w:val="ListParagraph"/>
              <w:widowControl/>
              <w:numPr>
                <w:ilvl w:val="0"/>
                <w:numId w:val="13"/>
              </w:numPr>
              <w:tabs>
                <w:tab w:val="clear" w:pos="709"/>
                <w:tab w:val="left" w:pos="993" w:leader="none"/>
              </w:tabs>
              <w:suppressAutoHyphens w:val="true"/>
              <w:spacing w:before="0" w:after="0"/>
              <w:ind w:left="298" w:hanging="36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список (утвержденный распорядительным документом Субподрядчика) инженерно-технических специалистов, прошедших поверку знаний в соответствии с требованиями регламентирующих документов, имеющих удостоверения установленной формы и обеспечивающих в процессе выполнения работ:</w:t>
            </w:r>
          </w:p>
          <w:p>
            <w:pPr>
              <w:pStyle w:val="ListParagraph"/>
              <w:widowControl/>
              <w:numPr>
                <w:ilvl w:val="0"/>
                <w:numId w:val="12"/>
              </w:numPr>
              <w:suppressAutoHyphens w:val="true"/>
              <w:spacing w:before="0" w:after="0"/>
              <w:ind w:left="349" w:hanging="36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Проверку соответствия выполненных работ требованиям проектной документации, соблюдения технологии, качества производства работ, соблюдения правил пожаро - и взрывобезопасности;</w:t>
            </w:r>
          </w:p>
          <w:p>
            <w:pPr>
              <w:pStyle w:val="ListParagraph"/>
              <w:widowControl/>
              <w:numPr>
                <w:ilvl w:val="0"/>
                <w:numId w:val="12"/>
              </w:numPr>
              <w:suppressAutoHyphens w:val="true"/>
              <w:spacing w:before="0" w:after="0"/>
              <w:ind w:left="349" w:hanging="36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Своевременное решение возникающих в процессе работ вопросов между Подрядчиком и Субподрядчиком.</w:t>
            </w:r>
          </w:p>
          <w:p>
            <w:pPr>
              <w:pStyle w:val="ListParagraph"/>
              <w:widowControl/>
              <w:numPr>
                <w:ilvl w:val="0"/>
                <w:numId w:val="11"/>
              </w:numPr>
              <w:tabs>
                <w:tab w:val="clear" w:pos="709"/>
                <w:tab w:val="left" w:pos="993" w:leader="none"/>
              </w:tabs>
              <w:suppressAutoHyphens w:val="true"/>
              <w:spacing w:before="0" w:after="0"/>
              <w:ind w:left="298" w:hanging="36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копию Приказа о назначении ответственного за соблюдение требований природоохранного законодательства Российской Федерации;</w:t>
            </w:r>
          </w:p>
          <w:p>
            <w:pPr>
              <w:pStyle w:val="ListParagraph"/>
              <w:widowControl/>
              <w:numPr>
                <w:ilvl w:val="0"/>
                <w:numId w:val="11"/>
              </w:numPr>
              <w:tabs>
                <w:tab w:val="clear" w:pos="709"/>
                <w:tab w:val="left" w:pos="993" w:leader="none"/>
              </w:tabs>
              <w:suppressAutoHyphens w:val="true"/>
              <w:spacing w:before="0" w:after="0"/>
              <w:ind w:left="298" w:hanging="360"/>
              <w:contextualSpacing/>
              <w:jc w:val="both"/>
              <w:rPr>
                <w:b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список (утвержденный распорядительным документом Субподрядчика) ответственных лиц при работах по наряду-допуску и распоряжению, при выполнении специальных работ (по шаблону Заказчика).</w:t>
            </w:r>
          </w:p>
        </w:tc>
      </w:tr>
      <w:tr>
        <w:trPr/>
        <w:tc>
          <w:tcPr>
            <w:tcW w:w="1071" w:type="dxa"/>
            <w:tcBorders/>
            <w:vAlign w:val="center"/>
          </w:tcPr>
          <w:p>
            <w:pPr>
              <w:pStyle w:val="ListParagraph"/>
              <w:widowControl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4208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безопасности работ и охране труда</w:t>
            </w:r>
          </w:p>
        </w:tc>
      </w:tr>
      <w:tr>
        <w:trPr/>
        <w:tc>
          <w:tcPr>
            <w:tcW w:w="1071" w:type="dxa"/>
            <w:tcBorders/>
            <w:vAlign w:val="center"/>
          </w:tcPr>
          <w:p>
            <w:pPr>
              <w:pStyle w:val="ListParagraph"/>
              <w:widowControl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517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Требования к безопасности выполняемых работ</w:t>
            </w:r>
          </w:p>
        </w:tc>
        <w:tc>
          <w:tcPr>
            <w:tcW w:w="11691" w:type="dxa"/>
            <w:tcBorders/>
          </w:tcPr>
          <w:p>
            <w:pPr>
              <w:pStyle w:val="Normal"/>
              <w:widowControl/>
              <w:tabs>
                <w:tab w:val="clear" w:pos="709"/>
                <w:tab w:val="left" w:pos="1134" w:leader="none"/>
              </w:tabs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Установленный противопожарный и внутриобъектовый режим на предприятии Заказчика является обязательным для персонала Субподрядчика и должен строго выполняться.</w:t>
            </w:r>
          </w:p>
          <w:p>
            <w:pPr>
              <w:pStyle w:val="Normal"/>
              <w:widowControl/>
              <w:tabs>
                <w:tab w:val="clear" w:pos="709"/>
                <w:tab w:val="left" w:pos="1134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При выполнении работ необходимо обеспечить безопасность зданий, сооружений, оборудования Партизанской ГРЭС и других подрядных организаций, находящихся в зоне производства работ.</w:t>
            </w:r>
          </w:p>
        </w:tc>
      </w:tr>
      <w:tr>
        <w:trPr/>
        <w:tc>
          <w:tcPr>
            <w:tcW w:w="1071" w:type="dxa"/>
            <w:tcBorders/>
            <w:vAlign w:val="center"/>
          </w:tcPr>
          <w:p>
            <w:pPr>
              <w:pStyle w:val="ListParagraph"/>
              <w:widowControl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517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промышленной и экологической безопасности</w:t>
            </w:r>
          </w:p>
        </w:tc>
        <w:tc>
          <w:tcPr>
            <w:tcW w:w="11691" w:type="dxa"/>
            <w:tcBorders/>
          </w:tcPr>
          <w:p>
            <w:pPr>
              <w:pStyle w:val="Normal"/>
              <w:widowControl/>
              <w:tabs>
                <w:tab w:val="clear" w:pos="709"/>
                <w:tab w:val="left" w:pos="1134" w:leader="none"/>
              </w:tabs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работ на объекте должен выполнять требования законодательства в области охраны окружающей среды.</w:t>
            </w:r>
          </w:p>
          <w:p>
            <w:pPr>
              <w:pStyle w:val="Normal"/>
              <w:widowControl/>
              <w:tabs>
                <w:tab w:val="clear" w:pos="709"/>
                <w:tab w:val="left" w:pos="1134" w:leader="none"/>
              </w:tabs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Отходы, образующиеся при деятельности Субподрядчиков из сырья, продуктов, изделий, объектов и механизмов, принадлежащих Заказчику, являются собственностью Заказчика. Силами Субподрядчика отходы должны быть отсортированы, доставлены до места временного хранения отходов, соответственно виду отхода, и переданы ответственному лицу с обязательным составлением акта передачи отходов.</w:t>
            </w:r>
          </w:p>
          <w:p>
            <w:pPr>
              <w:pStyle w:val="Normal"/>
              <w:widowControl/>
              <w:tabs>
                <w:tab w:val="clear" w:pos="709"/>
                <w:tab w:val="left" w:pos="1134" w:leader="none"/>
              </w:tabs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Отходы, образующиеся при деятельности Субподрядчика из сырья, продуктов, изделий, объектов и механизмов, принадлежащих Субподрядчику, являются собственностью Субподрядчика. Субподрядчик обеспечивает выполнение всех работ по сбору, сортировке, транспортировке, хранению и утилизации (захоронению) отходов.</w:t>
            </w:r>
          </w:p>
          <w:p>
            <w:pPr>
              <w:pStyle w:val="Normal"/>
              <w:widowControl/>
              <w:tabs>
                <w:tab w:val="clear" w:pos="709"/>
                <w:tab w:val="left" w:pos="1134" w:leader="none"/>
              </w:tabs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1071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4208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результатам работ</w:t>
            </w:r>
          </w:p>
        </w:tc>
      </w:tr>
      <w:tr>
        <w:trPr/>
        <w:tc>
          <w:tcPr>
            <w:tcW w:w="1071" w:type="dxa"/>
            <w:tcBorders/>
            <w:vAlign w:val="center"/>
          </w:tcPr>
          <w:p>
            <w:pPr>
              <w:pStyle w:val="ListParagraph"/>
              <w:widowControl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4208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Общие требования к результатам работ</w:t>
            </w:r>
          </w:p>
        </w:tc>
      </w:tr>
      <w:tr>
        <w:trPr/>
        <w:tc>
          <w:tcPr>
            <w:tcW w:w="1071" w:type="dxa"/>
            <w:tcBorders/>
            <w:vAlign w:val="center"/>
          </w:tcPr>
          <w:p>
            <w:pPr>
              <w:pStyle w:val="ListParagraph"/>
              <w:widowControl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517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Результат работ</w:t>
            </w:r>
          </w:p>
        </w:tc>
        <w:tc>
          <w:tcPr>
            <w:tcW w:w="11691" w:type="dxa"/>
            <w:tcBorders/>
          </w:tcPr>
          <w:p>
            <w:pPr>
              <w:pStyle w:val="Normal"/>
              <w:widowControl/>
              <w:tabs>
                <w:tab w:val="clear" w:pos="709"/>
                <w:tab w:val="left" w:pos="1134" w:leader="none"/>
              </w:tabs>
              <w:suppressAutoHyphens w:val="true"/>
              <w:spacing w:before="0" w:after="0"/>
              <w:ind w:right="130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Результат работ должен соответствовать объемам работ, указанных в  таблице 2 технических требований.</w:t>
            </w:r>
          </w:p>
        </w:tc>
      </w:tr>
      <w:tr>
        <w:trPr/>
        <w:tc>
          <w:tcPr>
            <w:tcW w:w="1071" w:type="dxa"/>
            <w:tcBorders/>
            <w:vAlign w:val="center"/>
          </w:tcPr>
          <w:p>
            <w:pPr>
              <w:pStyle w:val="ListParagraph"/>
              <w:widowControl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4208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оформлению документации</w:t>
            </w:r>
          </w:p>
        </w:tc>
      </w:tr>
      <w:tr>
        <w:trPr/>
        <w:tc>
          <w:tcPr>
            <w:tcW w:w="1071" w:type="dxa"/>
            <w:tcBorders/>
            <w:vAlign w:val="center"/>
          </w:tcPr>
          <w:p>
            <w:pPr>
              <w:pStyle w:val="ListParagraph"/>
              <w:widowControl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51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отчётной документации</w:t>
            </w:r>
          </w:p>
        </w:tc>
        <w:tc>
          <w:tcPr>
            <w:tcW w:w="1169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Субподрядчик предоставляет Подрядчику исполнительную документацию</w:t>
            </w:r>
            <w:r>
              <w:rPr>
                <w:rFonts w:eastAsia="Times New Roman" w:cs="Times New Roman"/>
                <w:color w:val="FF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</w:t>
            </w:r>
            <w:r>
              <w:rPr>
                <w:rFonts w:eastAsia="Times New Roman" w:cs="Times New Roman"/>
                <w:color w:val="FF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количестве двух экземпляров на бумажном носителе информации, содержащую оригинальные подписи и печати, и один экземпляр на электронном носителе информации (цветная скан-копия бумажного экземпляра). </w:t>
            </w:r>
          </w:p>
          <w:p>
            <w:pPr>
              <w:pStyle w:val="Normal"/>
              <w:widowControl/>
              <w:tabs>
                <w:tab w:val="clear" w:pos="709"/>
                <w:tab w:val="left" w:pos="1134" w:leader="none"/>
              </w:tabs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Перечень Актов, исполнительных схем и протоколов, Субподрядчик предварительно уточняет у Заказчика за 10 дней до начала работ.</w:t>
            </w:r>
          </w:p>
          <w:p>
            <w:pPr>
              <w:pStyle w:val="Normal"/>
              <w:widowControl/>
              <w:tabs>
                <w:tab w:val="clear" w:pos="709"/>
                <w:tab w:val="left" w:pos="1134" w:leader="none"/>
              </w:tabs>
              <w:suppressAutoHyphens w:val="true"/>
              <w:spacing w:before="0" w:after="0"/>
              <w:jc w:val="both"/>
              <w:rPr>
                <w:b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Оформление отчётной документации по выполненным работам в соответствии с требованиями регламентирующих документов: СП 68.13330.2017 «Приемка в эксплуатацию законченных строительством объектов. Основные положения», «Правил технической эксплуатации электрических станций и сетей РФ» утвержденные приказом Минэнерго России от 4 октября 2022 г. N 1070;  РД 11-02-2006 «Требования к составу и порядку ведения исполнительной документации при строительстве, реконструкции, капитальном ремонте объектов капитального строительства и требования, предъявляемые к актам освидетельствования работ, конструкций, участков сетей инженерно-технического обеспечения».</w:t>
            </w:r>
          </w:p>
        </w:tc>
      </w:tr>
      <w:tr>
        <w:trPr/>
        <w:tc>
          <w:tcPr>
            <w:tcW w:w="1071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4208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2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ответственности и гарантиям подрядчика</w:t>
            </w:r>
          </w:p>
        </w:tc>
      </w:tr>
      <w:tr>
        <w:trPr/>
        <w:tc>
          <w:tcPr>
            <w:tcW w:w="1071" w:type="dxa"/>
            <w:tcBorders/>
            <w:vAlign w:val="center"/>
          </w:tcPr>
          <w:p>
            <w:pPr>
              <w:pStyle w:val="ListParagraph"/>
              <w:widowControl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517" w:type="dxa"/>
            <w:tcBorders/>
            <w:vAlign w:val="center"/>
          </w:tcPr>
          <w:p>
            <w:pPr>
              <w:pStyle w:val="Style27"/>
              <w:keepNext w:val="false"/>
              <w:widowControl/>
              <w:numPr>
                <w:ilvl w:val="0"/>
                <w:numId w:val="0"/>
              </w:numPr>
              <w:suppressAutoHyphens w:val="true"/>
              <w:spacing w:before="0" w:after="60"/>
              <w:jc w:val="left"/>
              <w:outlineLvl w:val="2"/>
              <w:rPr>
                <w:b w:val="false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  <w:t>Требования об ответственности подрядчика за недостатки</w:t>
            </w:r>
          </w:p>
        </w:tc>
        <w:tc>
          <w:tcPr>
            <w:tcW w:w="1169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lang w:val="ru-RU" w:eastAsia="ru-RU" w:bidi="ar-SA"/>
              </w:rPr>
              <w:t>Все замечания, указания, предписания надзорных органов, предъявленные Заказчику по качеству выполнения Работ во время выполнения Работ, устраняются Субподрядчик в указанные сроки за счет собственных средств.</w:t>
            </w:r>
          </w:p>
        </w:tc>
      </w:tr>
      <w:tr>
        <w:trPr/>
        <w:tc>
          <w:tcPr>
            <w:tcW w:w="1071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4208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Прочие требования к выполняемым работам</w:t>
            </w:r>
          </w:p>
        </w:tc>
      </w:tr>
      <w:tr>
        <w:trPr/>
        <w:tc>
          <w:tcPr>
            <w:tcW w:w="1071" w:type="dxa"/>
            <w:tcBorders/>
            <w:vAlign w:val="center"/>
          </w:tcPr>
          <w:p>
            <w:pPr>
              <w:pStyle w:val="ListParagraph"/>
              <w:widowControl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517" w:type="dxa"/>
            <w:tcBorders/>
          </w:tcPr>
          <w:p>
            <w:pPr>
              <w:pStyle w:val="Style27"/>
              <w:keepNext w:val="false"/>
              <w:widowControl/>
              <w:numPr>
                <w:ilvl w:val="0"/>
                <w:numId w:val="0"/>
              </w:numPr>
              <w:suppressAutoHyphens w:val="true"/>
              <w:spacing w:before="0" w:after="60"/>
              <w:jc w:val="left"/>
              <w:outlineLvl w:val="2"/>
              <w:rPr>
                <w:b w:val="false"/>
                <w:lang w:val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  <w:t>Общие требования</w:t>
            </w:r>
          </w:p>
        </w:tc>
        <w:tc>
          <w:tcPr>
            <w:tcW w:w="11691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14"/>
              </w:numPr>
              <w:tabs>
                <w:tab w:val="clear" w:pos="709"/>
                <w:tab w:val="left" w:pos="1134" w:leader="none"/>
              </w:tabs>
              <w:suppressAutoHyphens w:val="true"/>
              <w:spacing w:before="0" w:after="0"/>
              <w:ind w:left="298" w:hanging="36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Приемка и оплата выполненных работ осуществляется по факту.</w:t>
            </w:r>
          </w:p>
          <w:p>
            <w:pPr>
              <w:pStyle w:val="ListParagraph"/>
              <w:widowControl/>
              <w:numPr>
                <w:ilvl w:val="0"/>
                <w:numId w:val="14"/>
              </w:numPr>
              <w:tabs>
                <w:tab w:val="clear" w:pos="709"/>
                <w:tab w:val="left" w:pos="1134" w:leader="none"/>
              </w:tabs>
              <w:suppressAutoHyphens w:val="true"/>
              <w:spacing w:before="0" w:after="0"/>
              <w:ind w:left="298" w:hanging="36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Заказчик оставляет за собой право корректировать объемы работ, не превышающие установленного лимита по договору с письменного уведомления Субподрядчика.</w:t>
            </w:r>
          </w:p>
          <w:p>
            <w:pPr>
              <w:pStyle w:val="ListParagraph"/>
              <w:widowControl/>
              <w:numPr>
                <w:ilvl w:val="0"/>
                <w:numId w:val="14"/>
              </w:numPr>
              <w:tabs>
                <w:tab w:val="clear" w:pos="709"/>
                <w:tab w:val="left" w:pos="1134" w:leader="none"/>
              </w:tabs>
              <w:suppressAutoHyphens w:val="true"/>
              <w:spacing w:before="0" w:after="0"/>
              <w:ind w:left="298" w:hanging="36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Оплата дополнительных объемов работ и затрат будет производиться по согласованию с Заказчиком по факту их выполнения в рамках суммы Договора. Заказчик не предполагает заключение каких-либо дополнительных соглашений.</w:t>
            </w:r>
          </w:p>
          <w:p>
            <w:pPr>
              <w:pStyle w:val="ListParagraph"/>
              <w:widowControl/>
              <w:numPr>
                <w:ilvl w:val="0"/>
                <w:numId w:val="14"/>
              </w:numPr>
              <w:tabs>
                <w:tab w:val="clear" w:pos="709"/>
                <w:tab w:val="left" w:pos="1134" w:leader="none"/>
              </w:tabs>
              <w:suppressAutoHyphens w:val="true"/>
              <w:spacing w:before="0" w:after="0"/>
              <w:ind w:left="298" w:hanging="36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Субподрядчик должен обладать собственным (либо в аренде) спец. инструментом и приспособлениями (или у привлекаемых субподрядчиков). Все необходимые специальные работы (включая доставки необходимого оборудования и техники, материалов, аппаратуры) организуются и выполняются Субподрядчиком за счёт собственных средств.</w:t>
            </w:r>
          </w:p>
          <w:p>
            <w:pPr>
              <w:pStyle w:val="ListParagraph"/>
              <w:widowControl/>
              <w:numPr>
                <w:ilvl w:val="0"/>
                <w:numId w:val="14"/>
              </w:numPr>
              <w:tabs>
                <w:tab w:val="clear" w:pos="709"/>
                <w:tab w:val="left" w:pos="1134" w:leader="none"/>
              </w:tabs>
              <w:suppressAutoHyphens w:val="true"/>
              <w:spacing w:before="0" w:after="0"/>
              <w:ind w:left="298" w:hanging="36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Субподрядчик обязан соблюдать технологическую, производственную и трудовую дисциплину.</w:t>
            </w:r>
          </w:p>
          <w:p>
            <w:pPr>
              <w:pStyle w:val="ListParagraph"/>
              <w:widowControl/>
              <w:numPr>
                <w:ilvl w:val="0"/>
                <w:numId w:val="14"/>
              </w:numPr>
              <w:tabs>
                <w:tab w:val="clear" w:pos="709"/>
                <w:tab w:val="left" w:pos="1134" w:leader="none"/>
              </w:tabs>
              <w:suppressAutoHyphens w:val="true"/>
              <w:spacing w:before="0" w:after="0"/>
              <w:ind w:left="298" w:hanging="36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 xml:space="preserve">Должна производиться своевременная (ежедневная) уборка рабочих мест.  </w:t>
            </w:r>
          </w:p>
        </w:tc>
      </w:tr>
    </w:tbl>
    <w:p>
      <w:pPr>
        <w:sectPr>
          <w:headerReference w:type="default" r:id="rId7"/>
          <w:headerReference w:type="first" r:id="rId8"/>
          <w:footerReference w:type="default" r:id="rId9"/>
          <w:footerReference w:type="first" r:id="rId10"/>
          <w:type w:val="nextPage"/>
          <w:pgSz w:orient="landscape" w:w="16838" w:h="11906"/>
          <w:pgMar w:left="992" w:right="567" w:gutter="0" w:header="680" w:top="851" w:footer="737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1"/>
        <w:numPr>
          <w:ilvl w:val="0"/>
          <w:numId w:val="3"/>
        </w:numPr>
        <w:ind w:left="426" w:hanging="425"/>
        <w:rPr>
          <w:sz w:val="26"/>
          <w:szCs w:val="26"/>
        </w:rPr>
      </w:pPr>
      <w:bookmarkStart w:id="31" w:name="_Toc54279844"/>
      <w:bookmarkStart w:id="32" w:name="_Toc54618151"/>
      <w:bookmarkStart w:id="33" w:name="_Toc54643137"/>
      <w:r>
        <w:rPr>
          <w:sz w:val="26"/>
          <w:szCs w:val="26"/>
        </w:rPr>
        <w:t>Требования к документации по</w:t>
      </w:r>
      <w:r>
        <w:rPr>
          <w:sz w:val="26"/>
          <w:szCs w:val="26"/>
          <w:lang w:val="ru-RU"/>
        </w:rPr>
        <w:t xml:space="preserve"> </w:t>
      </w:r>
      <w:r>
        <w:rPr>
          <w:sz w:val="26"/>
          <w:szCs w:val="26"/>
        </w:rPr>
        <w:t>ценообразованию на этапе закупки</w:t>
      </w:r>
      <w:bookmarkEnd w:id="31"/>
      <w:bookmarkEnd w:id="32"/>
      <w:bookmarkEnd w:id="33"/>
    </w:p>
    <w:p>
      <w:pPr>
        <w:pStyle w:val="ListParagraph"/>
        <w:spacing w:before="80" w:after="0"/>
        <w:ind w:left="-142" w:firstLine="426"/>
        <w:contextualSpacing/>
        <w:jc w:val="both"/>
        <w:rPr>
          <w:rFonts w:eastAsia="MS PGothic"/>
          <w:lang w:eastAsia="ja-JP"/>
        </w:rPr>
      </w:pPr>
      <w:r>
        <w:rPr>
          <w:rFonts w:eastAsia="MS PGothic"/>
          <w:lang w:eastAsia="ja-JP"/>
        </w:rPr>
        <w:t xml:space="preserve">3.1. </w:t>
      </w:r>
      <w:r>
        <w:rPr>
          <w:iCs/>
        </w:rPr>
        <w:t xml:space="preserve"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</w:t>
      </w:r>
      <w:r>
        <w:rPr>
          <w:rFonts w:eastAsia="MS PGothic"/>
          <w:lang w:eastAsia="ja-JP"/>
        </w:rPr>
        <w:t>Документации о закупке (с указанием понижающего коэффициента).</w:t>
      </w:r>
    </w:p>
    <w:p>
      <w:pPr>
        <w:pStyle w:val="ListParagraph"/>
        <w:spacing w:before="80" w:after="0"/>
        <w:ind w:left="-142" w:firstLine="426"/>
        <w:contextualSpacing/>
        <w:jc w:val="both"/>
        <w:rPr>
          <w:rFonts w:eastAsia="MS PGothic"/>
          <w:lang w:eastAsia="ja-JP"/>
        </w:rPr>
      </w:pPr>
      <w:r>
        <w:rPr>
          <w:rFonts w:eastAsia="MS PGothic"/>
          <w:lang w:eastAsia="ja-JP"/>
        </w:rPr>
        <w:t>3.2. Дополнительные документы по ценообразованию (сметная документация) в состав заявки Участника не включаются.</w:t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Heading1"/>
        <w:numPr>
          <w:ilvl w:val="0"/>
          <w:numId w:val="3"/>
        </w:numPr>
        <w:ind w:left="426" w:hanging="425"/>
        <w:rPr>
          <w:sz w:val="26"/>
          <w:szCs w:val="26"/>
        </w:rPr>
      </w:pPr>
      <w:r>
        <w:rPr>
          <w:sz w:val="26"/>
          <w:szCs w:val="26"/>
        </w:rPr>
        <w:t>Требования к документации по ценообразованию на этапе заключения договора</w:t>
      </w:r>
    </w:p>
    <w:p>
      <w:pPr>
        <w:pStyle w:val="ListParagraph"/>
        <w:spacing w:before="80" w:after="0"/>
        <w:ind w:left="-142" w:firstLine="426"/>
        <w:contextualSpacing/>
        <w:jc w:val="both"/>
        <w:rPr>
          <w:bCs/>
          <w:iCs/>
          <w:lang w:eastAsia="x-none"/>
        </w:rPr>
      </w:pPr>
      <w:r>
        <w:rPr>
          <w:rFonts w:eastAsia="MS PGothic"/>
          <w:lang w:eastAsia="ja-JP"/>
        </w:rPr>
        <w:t xml:space="preserve">4.1. </w:t>
      </w:r>
      <w:r>
        <w:rPr>
          <w:bCs/>
          <w:iCs/>
          <w:lang w:eastAsia="x-none"/>
        </w:rPr>
        <w:t xml:space="preserve">Сметная документация разрабатывается </w:t>
      </w:r>
      <w:r>
        <w:rPr>
          <w:iCs/>
        </w:rPr>
        <w:t xml:space="preserve">Участником </w:t>
      </w:r>
      <w:r>
        <w:rPr>
          <w:bCs/>
          <w:iCs/>
          <w:lang w:eastAsia="x-none"/>
        </w:rPr>
        <w:t>в соответствии с требованиями, указанными в приложении №3 к настоящим Техническим требованиям, и включается в состав договора.</w:t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Heading1"/>
        <w:numPr>
          <w:ilvl w:val="0"/>
          <w:numId w:val="3"/>
        </w:numPr>
        <w:ind w:left="426" w:hanging="425"/>
        <w:rPr>
          <w:sz w:val="26"/>
          <w:szCs w:val="26"/>
        </w:rPr>
      </w:pPr>
      <w:bookmarkStart w:id="34" w:name="_Toc46743519"/>
      <w:bookmarkStart w:id="35" w:name="_Toc51339699"/>
      <w:bookmarkStart w:id="36" w:name="_Toc54646413"/>
      <w:r>
        <w:rPr>
          <w:sz w:val="26"/>
          <w:szCs w:val="26"/>
        </w:rPr>
        <w:t>Приложения</w:t>
      </w:r>
      <w:bookmarkEnd w:id="34"/>
      <w:bookmarkEnd w:id="35"/>
      <w:bookmarkEnd w:id="36"/>
      <w:r>
        <w:rPr>
          <w:sz w:val="26"/>
          <w:szCs w:val="26"/>
          <w:lang w:val="ru-RU"/>
        </w:rPr>
        <w:t>:</w:t>
      </w:r>
    </w:p>
    <w:p>
      <w:pPr>
        <w:pStyle w:val="Heading4"/>
        <w:numPr>
          <w:ilvl w:val="1"/>
          <w:numId w:val="3"/>
        </w:numPr>
        <w:ind w:left="426" w:hanging="425"/>
        <w:rPr>
          <w:lang w:val="ru-RU"/>
        </w:rPr>
      </w:pPr>
      <w:r>
        <w:rPr/>
        <w:t>Приложение №</w:t>
      </w:r>
      <w:r>
        <w:rPr>
          <w:lang w:val="ru-RU"/>
        </w:rPr>
        <w:t>2</w:t>
      </w:r>
      <w:r>
        <w:rPr/>
        <w:t>: Положение о допуске персонала подрядных организаций  к выполнению работ на объектах АО «ДГК» 22.1-504-2023</w:t>
      </w:r>
      <w:r>
        <w:rPr>
          <w:lang w:val="ru-RU"/>
        </w:rPr>
        <w:t>»;</w:t>
      </w:r>
    </w:p>
    <w:p>
      <w:pPr>
        <w:pStyle w:val="Heading4"/>
        <w:numPr>
          <w:ilvl w:val="1"/>
          <w:numId w:val="3"/>
        </w:numPr>
        <w:ind w:left="426" w:hanging="425"/>
        <w:rPr/>
      </w:pPr>
      <w:r>
        <w:rPr/>
        <w:t>Приложение №3: «Требования к оформлению и составлению сметной документации на выполнение работ при новом строительстве, реконструкции и техническом перевооружении, ремонте».</w:t>
      </w:r>
    </w:p>
    <w:p>
      <w:pPr>
        <w:pStyle w:val="110"/>
        <w:tabs>
          <w:tab w:val="clear" w:pos="709"/>
          <w:tab w:val="left" w:pos="7380" w:leader="none"/>
        </w:tabs>
        <w:spacing w:lineRule="auto" w:line="240" w:before="0" w:after="0"/>
        <w:ind w:left="0" w:hanging="0"/>
        <w:contextualSpacing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10"/>
        <w:tabs>
          <w:tab w:val="clear" w:pos="709"/>
          <w:tab w:val="left" w:pos="7380" w:leader="none"/>
        </w:tabs>
        <w:spacing w:lineRule="auto" w:line="240" w:before="0" w:after="0"/>
        <w:ind w:left="0" w:hanging="0"/>
        <w:contextualSpacing/>
        <w:rPr>
          <w:sz w:val="24"/>
          <w:szCs w:val="24"/>
        </w:rPr>
      </w:pPr>
      <w:r>
        <w:rPr/>
      </w:r>
    </w:p>
    <w:p>
      <w:pPr>
        <w:pStyle w:val="Normal"/>
        <w:widowControl w:val="false"/>
        <w:tabs>
          <w:tab w:val="clear" w:pos="709"/>
          <w:tab w:val="left" w:pos="426" w:leader="none"/>
        </w:tabs>
        <w:spacing w:before="60" w:after="0"/>
        <w:jc w:val="both"/>
        <w:rPr>
          <w:rStyle w:val="Style8"/>
          <w:b w:val="false"/>
          <w:bCs/>
          <w:i w:val="false"/>
          <w:i w:val="false"/>
          <w:iCs/>
          <w:sz w:val="24"/>
          <w:szCs w:val="24"/>
        </w:rPr>
      </w:pPr>
      <w:r>
        <w:rPr>
          <w:b w:val="false"/>
          <w:bCs/>
          <w:i w:val="false"/>
          <w:iCs/>
          <w:sz w:val="24"/>
          <w:szCs w:val="24"/>
        </w:rPr>
      </w:r>
    </w:p>
    <w:p>
      <w:pPr>
        <w:pStyle w:val="Normal"/>
        <w:widowControl w:val="false"/>
        <w:tabs>
          <w:tab w:val="clear" w:pos="709"/>
          <w:tab w:val="left" w:pos="426" w:leader="none"/>
        </w:tabs>
        <w:spacing w:before="120" w:after="120"/>
        <w:jc w:val="both"/>
        <w:rPr>
          <w:rStyle w:val="Style8"/>
          <w:b w:val="false"/>
          <w:bCs/>
          <w:i w:val="false"/>
          <w:i w:val="false"/>
          <w:iCs/>
          <w:sz w:val="24"/>
          <w:szCs w:val="24"/>
        </w:rPr>
      </w:pPr>
      <w:r>
        <w:rPr>
          <w:b w:val="false"/>
          <w:bCs/>
          <w:i w:val="false"/>
          <w:iCs/>
          <w:sz w:val="24"/>
          <w:szCs w:val="24"/>
        </w:rPr>
      </w:r>
    </w:p>
    <w:p>
      <w:pPr>
        <w:pStyle w:val="110"/>
        <w:tabs>
          <w:tab w:val="clear" w:pos="709"/>
          <w:tab w:val="left" w:pos="7380" w:leader="none"/>
        </w:tabs>
        <w:spacing w:lineRule="auto" w:line="240" w:before="0" w:after="0"/>
        <w:ind w:left="0" w:hanging="0"/>
        <w:contextualSpacing/>
        <w:rPr>
          <w:sz w:val="24"/>
          <w:szCs w:val="24"/>
        </w:rPr>
      </w:pPr>
      <w:r>
        <w:rPr>
          <w:sz w:val="24"/>
          <w:szCs w:val="24"/>
        </w:rPr>
        <w:tab/>
        <w:tab/>
      </w:r>
    </w:p>
    <w:p>
      <w:pPr>
        <w:pStyle w:val="Normal"/>
        <w:spacing w:before="0" w:after="120"/>
        <w:rPr>
          <w:bCs/>
          <w:i/>
          <w:i/>
          <w:iCs/>
          <w:sz w:val="24"/>
          <w:szCs w:val="24"/>
          <w:shd w:fill="FFFF99" w:val="clear"/>
        </w:rPr>
      </w:pPr>
      <w:r>
        <w:rPr>
          <w:bCs/>
          <w:i/>
          <w:iCs/>
          <w:sz w:val="24"/>
          <w:szCs w:val="24"/>
          <w:shd w:fill="FFFF99" w:val="clear"/>
        </w:rPr>
      </w:r>
    </w:p>
    <w:p>
      <w:pPr>
        <w:pStyle w:val="Normal"/>
        <w:spacing w:before="0" w:after="120"/>
        <w:rPr>
          <w:bCs/>
          <w:i/>
          <w:i/>
          <w:iCs/>
          <w:sz w:val="24"/>
          <w:szCs w:val="24"/>
          <w:shd w:fill="FFFF99" w:val="clear"/>
        </w:rPr>
      </w:pPr>
      <w:r>
        <w:rPr/>
      </w:r>
    </w:p>
    <w:sectPr>
      <w:headerReference w:type="default" r:id="rId11"/>
      <w:headerReference w:type="first" r:id="rId12"/>
      <w:footerReference w:type="default" r:id="rId13"/>
      <w:footerReference w:type="first" r:id="rId14"/>
      <w:type w:val="nextPage"/>
      <w:pgSz w:w="11906" w:h="16838"/>
      <w:pgMar w:left="1134" w:right="851" w:gutter="0" w:header="680" w:top="1134" w:footer="737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Times New Roman">
    <w:altName w:val="serif"/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437031611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920220525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861774942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9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140143860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5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372214003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11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572873334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10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fillcolor="white" stroked="f" o:allowincell="f" style="position:absolute;margin-left:0pt;margin-top:0.05pt;width:1.1pt;height:1.1pt;mso-wrap-style:square;v-text-anchor:top;mso-position-horizontal:center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i w:val="fals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0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3"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4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2a7271"/>
    <w:pPr>
      <w:keepNext w:val="true"/>
      <w:numPr>
        <w:ilvl w:val="2"/>
        <w:numId w:val="3"/>
      </w:numPr>
      <w:spacing w:before="120" w:after="60"/>
      <w:ind w:left="426" w:hanging="425"/>
      <w:jc w:val="both"/>
      <w:outlineLvl w:val="2"/>
    </w:pPr>
    <w:rPr>
      <w:rFonts w:eastAsia="Calibri"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numPr>
        <w:ilvl w:val="0"/>
        <w:numId w:val="0"/>
      </w:numPr>
      <w:tabs>
        <w:tab w:val="clear" w:pos="709"/>
        <w:tab w:val="left" w:pos="0" w:leader="none"/>
      </w:tabs>
      <w:ind w:left="432" w:hanging="432"/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1" w:customStyle="1">
    <w:name w:val="Strong1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2a7271"/>
    <w:rPr>
      <w:rFonts w:eastAsia="Calibri"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4" w:customStyle="1">
    <w:name w:val="Нижний колонтитул Знак"/>
    <w:basedOn w:val="DefaultParagraphFont"/>
    <w:uiPriority w:val="99"/>
    <w:qFormat/>
    <w:rsid w:val="002c67f2"/>
    <w:rPr>
      <w:sz w:val="28"/>
      <w:szCs w:val="28"/>
    </w:rPr>
  </w:style>
  <w:style w:type="character" w:styleId="Strong">
    <w:name w:val="Strong"/>
    <w:qFormat/>
    <w:rPr>
      <w:b/>
      <w:bCs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9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link w:val="Style14"/>
    <w:uiPriority w:val="99"/>
    <w:rsid w:val="0076353a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9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9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1567af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" w:customStyle="1">
    <w:name w:val="caption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311" w:customStyle="1">
    <w:name w:val="Список 3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eastAsia="Calibri" w:ascii="Times New Roman" w:hAnsi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9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9"/>
        <w:tab w:val="left" w:pos="567" w:leader="none"/>
      </w:tabs>
      <w:spacing w:before="480" w:after="240"/>
      <w:ind w:left="567" w:hanging="567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110" w:customStyle="1">
    <w:name w:val="Обычный1"/>
    <w:qFormat/>
    <w:rsid w:val="009e6f99"/>
    <w:pPr>
      <w:widowControl w:val="false"/>
      <w:suppressAutoHyphens w:val="true"/>
      <w:bidi w:val="0"/>
      <w:spacing w:lineRule="auto" w:line="300" w:before="0" w:after="0"/>
      <w:ind w:left="600" w:hanging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29" w:customStyle="1">
    <w:name w:val="Обычный2"/>
    <w:qFormat/>
    <w:rsid w:val="009e6f99"/>
    <w:pPr>
      <w:widowControl w:val="false"/>
      <w:suppressAutoHyphens w:val="true"/>
      <w:bidi w:val="0"/>
      <w:spacing w:lineRule="auto" w:line="300" w:before="0" w:after="0"/>
      <w:ind w:left="600" w:hanging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Style33" w:customStyle="1">
    <w:name w:val="Содержимое врезки"/>
    <w:basedOn w:val="Normal"/>
    <w:qFormat/>
    <w:pPr/>
    <w:rPr/>
  </w:style>
  <w:style w:type="paragraph" w:styleId="BodyText21" w:customStyle="1">
    <w:name w:val="Body Text 21"/>
    <w:basedOn w:val="Normal"/>
    <w:qFormat/>
    <w:pPr>
      <w:ind w:firstLine="709"/>
      <w:jc w:val="both"/>
    </w:pPr>
    <w:rPr>
      <w:szCs w:val="20"/>
    </w:rPr>
  </w:style>
  <w:style w:type="numbering" w:styleId="NoList" w:default="1">
    <w:name w:val="No List"/>
    <w:uiPriority w:val="99"/>
    <w:semiHidden/>
    <w:unhideWhenUsed/>
    <w:qFormat/>
  </w:style>
  <w:style w:type="numbering" w:styleId="111" w:customStyle="1">
    <w:name w:val="Стиль1"/>
    <w:uiPriority w:val="99"/>
    <w:qFormat/>
    <w:rsid w:val="00f001e4"/>
  </w:style>
  <w:style w:type="numbering" w:styleId="210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5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d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eader" Target="header4.xml"/><Relationship Id="rId8" Type="http://schemas.openxmlformats.org/officeDocument/2006/relationships/header" Target="header5.xml"/><Relationship Id="rId9" Type="http://schemas.openxmlformats.org/officeDocument/2006/relationships/footer" Target="footer3.xml"/><Relationship Id="rId10" Type="http://schemas.openxmlformats.org/officeDocument/2006/relationships/footer" Target="footer4.xml"/><Relationship Id="rId11" Type="http://schemas.openxmlformats.org/officeDocument/2006/relationships/header" Target="header6.xml"/><Relationship Id="rId12" Type="http://schemas.openxmlformats.org/officeDocument/2006/relationships/header" Target="header7.xml"/><Relationship Id="rId13" Type="http://schemas.openxmlformats.org/officeDocument/2006/relationships/footer" Target="footer5.xml"/><Relationship Id="rId14" Type="http://schemas.openxmlformats.org/officeDocument/2006/relationships/footer" Target="footer6.xml"/><Relationship Id="rId15" Type="http://schemas.openxmlformats.org/officeDocument/2006/relationships/numbering" Target="numbering.xml"/><Relationship Id="rId16" Type="http://schemas.openxmlformats.org/officeDocument/2006/relationships/fontTable" Target="fontTable.xml"/><Relationship Id="rId17" Type="http://schemas.openxmlformats.org/officeDocument/2006/relationships/settings" Target="settings.xml"/><Relationship Id="rId18" Type="http://schemas.openxmlformats.org/officeDocument/2006/relationships/theme" Target="theme/theme1.xml"/><Relationship Id="rId1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A9EDB1-66BF-4BB3-9B14-480D36657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Application>AlterOffice/3.4.0.9$Linux_X86_64 LibreOffice_project/b8daf9e823b1a5463a2f48435ddc2e8696e7d4fc</Application>
  <AppVersion>15.0000</AppVersion>
  <Pages>10</Pages>
  <Words>1755</Words>
  <Characters>12631</Characters>
  <CharactersWithSpaces>14181</CharactersWithSpaces>
  <Paragraphs>201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2025-07-10T06:26:00Z</dcterms:created>
  <dc:creator>Быстров Олег Геннадьевич</dc:creator>
  <dc:description/>
  <dc:language>ru-RU</dc:language>
  <cp:lastModifiedBy>kuzmichevatav@corp.gidroogk.com</cp:lastModifiedBy>
  <cp:lastPrinted>2006-07-26T14:04:00Z</cp:lastPrinted>
  <dcterms:modified xsi:type="dcterms:W3CDTF">2026-07-31T11:50:40Z</dcterms:modified>
  <cp:revision>15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