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uppressAutoHyphens w:val="false"/>
        <w:jc w:val="right"/>
        <w:rPr/>
      </w:pPr>
      <w:r>
        <w:rPr>
          <w:rStyle w:val="Style"/>
          <w:b/>
          <w:spacing w:val="-20"/>
          <w:sz w:val="24"/>
          <w:szCs w:val="24"/>
        </w:rPr>
        <w:t>У Т В Е Р Ж Д А Ю»</w:t>
      </w:r>
    </w:p>
    <w:p>
      <w:pPr>
        <w:pStyle w:val="Normal"/>
        <w:widowControl w:val="false"/>
        <w:suppressAutoHyphens w:val="false"/>
        <w:jc w:val="right"/>
        <w:rPr/>
      </w:pPr>
      <w:r>
        <w:rPr>
          <w:rStyle w:val="Style"/>
          <w:b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Style w:val="Style"/>
          <w:sz w:val="24"/>
          <w:szCs w:val="24"/>
        </w:rPr>
        <w:t>Директор Южного филиала</w:t>
      </w:r>
    </w:p>
    <w:p>
      <w:pPr>
        <w:pStyle w:val="Normal"/>
        <w:widowControl w:val="false"/>
        <w:suppressAutoHyphens w:val="false"/>
        <w:jc w:val="right"/>
        <w:rPr/>
      </w:pPr>
      <w:r>
        <w:rPr>
          <w:rStyle w:val="Style"/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rStyle w:val="Style"/>
          <w:sz w:val="24"/>
          <w:szCs w:val="24"/>
        </w:rPr>
        <w:t>АО «ТК РусГидро»</w:t>
      </w:r>
    </w:p>
    <w:p>
      <w:pPr>
        <w:pStyle w:val="Normal"/>
        <w:widowControl w:val="false"/>
        <w:suppressAutoHyphens w:val="false"/>
        <w:jc w:val="right"/>
        <w:rPr/>
      </w:pPr>
      <w:r>
        <w:rPr>
          <w:rStyle w:val="Style"/>
          <w:sz w:val="24"/>
          <w:szCs w:val="24"/>
        </w:rPr>
        <w:t xml:space="preserve">                                                                                                   </w:t>
      </w:r>
      <w:r>
        <w:rPr>
          <w:rStyle w:val="Style"/>
          <w:sz w:val="24"/>
          <w:szCs w:val="24"/>
        </w:rPr>
        <w:t>_____________ В.А. Изотов</w:t>
      </w:r>
    </w:p>
    <w:p>
      <w:pPr>
        <w:pStyle w:val="Normal"/>
        <w:widowControl w:val="false"/>
        <w:suppressAutoHyphens w:val="false"/>
        <w:jc w:val="right"/>
        <w:rPr/>
      </w:pPr>
      <w:r>
        <w:rPr>
          <w:rStyle w:val="Style"/>
          <w:sz w:val="24"/>
          <w:szCs w:val="24"/>
        </w:rPr>
        <w:t xml:space="preserve">                                                                                                    </w:t>
      </w:r>
      <w:r>
        <w:rPr>
          <w:rStyle w:val="Style"/>
          <w:sz w:val="24"/>
          <w:szCs w:val="24"/>
        </w:rPr>
        <w:t>«____»______________ 2027 г.</w:t>
      </w:r>
    </w:p>
    <w:p>
      <w:pPr>
        <w:pStyle w:val="Normal"/>
        <w:widowControl w:val="false"/>
        <w:suppressAutoHyphens w:val="false"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widowControl w:val="false"/>
        <w:suppressAutoHyphens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suppressAutoHyphens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suppressAutoHyphens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suppressAutoHyphens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suppressAutoHyphens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suppressAutoHyphens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suppressAutoHyphens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suppressAutoHyphens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suppressAutoHyphens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suppressAutoHyphens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suppressAutoHyphens w:val="false"/>
        <w:jc w:val="center"/>
        <w:rPr/>
      </w:pPr>
      <w:r>
        <w:rPr>
          <w:rStyle w:val="Style"/>
          <w:rFonts w:eastAsia="Calibri"/>
          <w:b/>
          <w:sz w:val="24"/>
          <w:szCs w:val="24"/>
        </w:rPr>
        <w:t>Технические требования  на оказания услуг</w:t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widowControl w:val="false"/>
        <w:suppressAutoHyphens w:val="false"/>
        <w:jc w:val="center"/>
        <w:rPr/>
      </w:pPr>
      <w:r>
        <w:rPr>
          <w:rStyle w:val="Style"/>
          <w:b w:val="false"/>
          <w:bCs w:val="false"/>
          <w:color w:val="000000"/>
          <w:sz w:val="24"/>
          <w:szCs w:val="24"/>
        </w:rPr>
        <w:t>ОКПД 2: 86.10.19.000 Оказание услуг по проведению периодического медицинского осмотра сотрудников Кабардино-Балкарского транспортного участка Южного филиала АО «ТК РусГидро»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uppressAutoHyphens w:val="false"/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6122-ЭКСП ПРОД-2027-ТК_Южный_фил</w:t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Style26"/>
        <w:suppressAutoHyphens w:val="false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Style26"/>
        <w:suppressAutoHyphens w:val="false"/>
        <w:jc w:val="center"/>
        <w:textAlignment w:val="auto"/>
        <w:rPr>
          <w:b/>
          <w:lang w:eastAsia="zh-CN"/>
        </w:rPr>
      </w:pPr>
      <w:r>
        <w:rPr>
          <w:b/>
          <w:lang w:eastAsia="zh-CN"/>
        </w:rPr>
      </w:r>
      <w:r>
        <w:br w:type="page"/>
      </w:r>
    </w:p>
    <w:p>
      <w:pPr>
        <w:pStyle w:val="Style26"/>
        <w:suppressAutoHyphens w:val="false"/>
        <w:jc w:val="center"/>
        <w:textAlignment w:val="auto"/>
        <w:rPr>
          <w:b/>
          <w:lang w:eastAsia="zh-CN"/>
        </w:rPr>
      </w:pPr>
      <w:r>
        <w:rPr>
          <w:b/>
          <w:lang w:eastAsia="zh-CN"/>
        </w:rPr>
        <w:t>СОДЕРЖАНИЕ</w:t>
      </w:r>
    </w:p>
    <w:p>
      <w:pPr>
        <w:pStyle w:val="Style26"/>
        <w:suppressAutoHyphens w:val="false"/>
        <w:jc w:val="center"/>
        <w:textAlignment w:val="auto"/>
        <w:rPr>
          <w:b/>
          <w:lang w:eastAsia="zh-CN"/>
        </w:rPr>
      </w:pPr>
      <w:r>
        <w:rPr>
          <w:b/>
          <w:lang w:eastAsia="zh-CN"/>
        </w:rPr>
      </w:r>
    </w:p>
    <w:p>
      <w:pPr>
        <w:pStyle w:val="Style26"/>
        <w:suppressAutoHyphens w:val="false"/>
        <w:jc w:val="center"/>
        <w:textAlignment w:val="auto"/>
        <w:rPr>
          <w:b/>
          <w:lang w:eastAsia="zh-CN"/>
        </w:rPr>
      </w:pPr>
      <w:r>
        <w:rPr>
          <w:b/>
          <w:lang w:eastAsia="zh-CN"/>
        </w:rPr>
      </w:r>
    </w:p>
    <w:tbl>
      <w:tblPr>
        <w:tblW w:w="9903" w:type="dxa"/>
        <w:jc w:val="left"/>
        <w:tblInd w:w="42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1"/>
        <w:gridCol w:w="1651"/>
        <w:gridCol w:w="565"/>
        <w:gridCol w:w="266"/>
      </w:tblGrid>
      <w:tr>
        <w:trPr/>
        <w:tc>
          <w:tcPr>
            <w:tcW w:w="9072" w:type="dxa"/>
            <w:gridSpan w:val="2"/>
            <w:tcBorders/>
          </w:tcPr>
          <w:p>
            <w:pPr>
              <w:pStyle w:val="Style26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0" w:leader="none"/>
                <w:tab w:val="left" w:pos="188" w:leader="none"/>
                <w:tab w:val="left" w:pos="651" w:leader="none"/>
              </w:tabs>
              <w:suppressAutoHyphens w:val="false"/>
              <w:ind w:left="0" w:right="0" w:hanging="0"/>
              <w:jc w:val="both"/>
              <w:textAlignment w:val="auto"/>
              <w:rPr/>
            </w:pPr>
            <w:r>
              <w:rPr>
                <w:rStyle w:val="Style"/>
                <w:b/>
                <w:sz w:val="24"/>
                <w:szCs w:val="24"/>
                <w:lang w:eastAsia="zh-CN"/>
              </w:rPr>
              <w:t xml:space="preserve">Общие сведения </w:t>
            </w:r>
          </w:p>
        </w:tc>
        <w:tc>
          <w:tcPr>
            <w:tcW w:w="565" w:type="dxa"/>
            <w:tcBorders/>
          </w:tcPr>
          <w:p>
            <w:pPr>
              <w:pStyle w:val="Style26"/>
              <w:widowControl w:val="false"/>
              <w:suppressAutoHyphens w:val="false"/>
              <w:jc w:val="right"/>
              <w:textAlignment w:val="auto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66" w:type="dxa"/>
            <w:tcBorders/>
            <w:tcMar>
              <w:left w:w="10" w:type="dxa"/>
              <w:right w:w="10" w:type="dxa"/>
            </w:tcMar>
          </w:tcPr>
          <w:p>
            <w:pPr>
              <w:pStyle w:val="Style26"/>
              <w:widowControl w:val="false"/>
              <w:suppressAutoHyphens w:val="false"/>
              <w:jc w:val="right"/>
              <w:textAlignment w:val="auto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  <w:lang w:val="en-US" w:eastAsia="zh-CN"/>
              </w:rPr>
            </w:r>
          </w:p>
        </w:tc>
      </w:tr>
      <w:tr>
        <w:trPr/>
        <w:tc>
          <w:tcPr>
            <w:tcW w:w="9072" w:type="dxa"/>
            <w:gridSpan w:val="2"/>
            <w:tcBorders/>
          </w:tcPr>
          <w:p>
            <w:pPr>
              <w:pStyle w:val="Style26"/>
              <w:widowControl w:val="false"/>
              <w:numPr>
                <w:ilvl w:val="1"/>
                <w:numId w:val="6"/>
              </w:numPr>
              <w:tabs>
                <w:tab w:val="clear" w:pos="708"/>
                <w:tab w:val="left" w:pos="0" w:leader="none"/>
                <w:tab w:val="left" w:pos="188" w:leader="none"/>
                <w:tab w:val="left" w:pos="651" w:leader="none"/>
              </w:tabs>
              <w:suppressAutoHyphens w:val="false"/>
              <w:ind w:left="0" w:right="0" w:hanging="0"/>
              <w:jc w:val="both"/>
              <w:textAlignment w:val="auto"/>
              <w:rPr>
                <w:lang w:eastAsia="zh-CN"/>
              </w:rPr>
            </w:pPr>
            <w:r>
              <w:rPr>
                <w:lang w:eastAsia="zh-CN"/>
              </w:rPr>
              <w:t xml:space="preserve">Обозначения и сокращения  </w:t>
            </w:r>
          </w:p>
        </w:tc>
        <w:tc>
          <w:tcPr>
            <w:tcW w:w="565" w:type="dxa"/>
            <w:tcBorders/>
          </w:tcPr>
          <w:p>
            <w:pPr>
              <w:pStyle w:val="Style26"/>
              <w:widowControl w:val="false"/>
              <w:suppressAutoHyphens w:val="false"/>
              <w:jc w:val="right"/>
              <w:textAlignment w:val="auto"/>
              <w:rPr>
                <w:lang w:val="en-US" w:eastAsia="zh-CN"/>
              </w:rPr>
            </w:pPr>
            <w:r>
              <w:rPr>
                <w:lang w:val="en-US" w:eastAsia="zh-CN"/>
              </w:rPr>
              <w:t>2</w:t>
            </w:r>
          </w:p>
        </w:tc>
        <w:tc>
          <w:tcPr>
            <w:tcW w:w="266" w:type="dxa"/>
            <w:tcBorders/>
            <w:tcMar>
              <w:left w:w="10" w:type="dxa"/>
              <w:right w:w="10" w:type="dxa"/>
            </w:tcMar>
          </w:tcPr>
          <w:p>
            <w:pPr>
              <w:pStyle w:val="Style26"/>
              <w:widowControl w:val="false"/>
              <w:suppressAutoHyphens w:val="false"/>
              <w:jc w:val="right"/>
              <w:textAlignment w:val="auto"/>
              <w:rPr>
                <w:lang w:val="en-US" w:eastAsia="zh-CN"/>
              </w:rPr>
            </w:pPr>
            <w:r>
              <w:rPr>
                <w:lang w:val="en-US" w:eastAsia="zh-CN"/>
              </w:rPr>
            </w:r>
          </w:p>
        </w:tc>
      </w:tr>
      <w:tr>
        <w:trPr/>
        <w:tc>
          <w:tcPr>
            <w:tcW w:w="9072" w:type="dxa"/>
            <w:gridSpan w:val="2"/>
            <w:tcBorders/>
          </w:tcPr>
          <w:p>
            <w:pPr>
              <w:pStyle w:val="Style26"/>
              <w:widowControl w:val="false"/>
              <w:numPr>
                <w:ilvl w:val="1"/>
                <w:numId w:val="6"/>
              </w:numPr>
              <w:tabs>
                <w:tab w:val="clear" w:pos="708"/>
                <w:tab w:val="left" w:pos="0" w:leader="none"/>
                <w:tab w:val="left" w:pos="188" w:leader="none"/>
                <w:tab w:val="left" w:pos="651" w:leader="none"/>
              </w:tabs>
              <w:suppressAutoHyphens w:val="false"/>
              <w:ind w:left="0" w:right="0" w:hanging="0"/>
              <w:jc w:val="both"/>
              <w:textAlignment w:val="auto"/>
              <w:rPr>
                <w:lang w:eastAsia="zh-CN"/>
              </w:rPr>
            </w:pPr>
            <w:r>
              <w:rPr>
                <w:lang w:eastAsia="zh-CN"/>
              </w:rPr>
              <w:t xml:space="preserve">Наименование закупаемой продукции                                                                                                             </w:t>
            </w:r>
          </w:p>
        </w:tc>
        <w:tc>
          <w:tcPr>
            <w:tcW w:w="565" w:type="dxa"/>
            <w:tcBorders/>
          </w:tcPr>
          <w:p>
            <w:pPr>
              <w:pStyle w:val="Style26"/>
              <w:widowControl w:val="false"/>
              <w:suppressAutoHyphens w:val="false"/>
              <w:jc w:val="right"/>
              <w:textAlignment w:val="auto"/>
              <w:rPr>
                <w:lang w:val="en-US" w:eastAsia="zh-CN"/>
              </w:rPr>
            </w:pPr>
            <w:r>
              <w:rPr>
                <w:lang w:val="en-US" w:eastAsia="zh-CN"/>
              </w:rPr>
              <w:t>3</w:t>
            </w:r>
          </w:p>
        </w:tc>
        <w:tc>
          <w:tcPr>
            <w:tcW w:w="266" w:type="dxa"/>
            <w:tcBorders/>
            <w:tcMar>
              <w:left w:w="10" w:type="dxa"/>
              <w:right w:w="10" w:type="dxa"/>
            </w:tcMar>
          </w:tcPr>
          <w:p>
            <w:pPr>
              <w:pStyle w:val="Style26"/>
              <w:widowControl w:val="false"/>
              <w:suppressAutoHyphens w:val="false"/>
              <w:jc w:val="right"/>
              <w:textAlignment w:val="auto"/>
              <w:rPr>
                <w:lang w:val="en-US" w:eastAsia="zh-CN"/>
              </w:rPr>
            </w:pPr>
            <w:r>
              <w:rPr>
                <w:lang w:val="en-US" w:eastAsia="zh-CN"/>
              </w:rPr>
            </w:r>
          </w:p>
        </w:tc>
      </w:tr>
      <w:tr>
        <w:trPr/>
        <w:tc>
          <w:tcPr>
            <w:tcW w:w="9072" w:type="dxa"/>
            <w:gridSpan w:val="2"/>
            <w:tcBorders/>
          </w:tcPr>
          <w:p>
            <w:pPr>
              <w:pStyle w:val="Style26"/>
              <w:widowControl w:val="false"/>
              <w:numPr>
                <w:ilvl w:val="1"/>
                <w:numId w:val="6"/>
              </w:numPr>
              <w:tabs>
                <w:tab w:val="clear" w:pos="708"/>
                <w:tab w:val="left" w:pos="0" w:leader="none"/>
                <w:tab w:val="left" w:pos="188" w:leader="none"/>
                <w:tab w:val="left" w:pos="651" w:leader="none"/>
              </w:tabs>
              <w:suppressAutoHyphens w:val="false"/>
              <w:ind w:left="0" w:right="0" w:hanging="0"/>
              <w:jc w:val="both"/>
              <w:textAlignment w:val="auto"/>
              <w:rPr/>
            </w:pPr>
            <w:r>
              <w:rPr>
                <w:rStyle w:val="Style"/>
                <w:lang w:eastAsia="zh-CN"/>
              </w:rPr>
              <w:t xml:space="preserve">Цели оказания услуг       </w:t>
            </w:r>
          </w:p>
        </w:tc>
        <w:tc>
          <w:tcPr>
            <w:tcW w:w="565" w:type="dxa"/>
            <w:tcBorders/>
          </w:tcPr>
          <w:p>
            <w:pPr>
              <w:pStyle w:val="Style26"/>
              <w:widowControl w:val="false"/>
              <w:suppressAutoHyphens w:val="false"/>
              <w:jc w:val="right"/>
              <w:textAlignment w:val="auto"/>
              <w:rPr>
                <w:lang w:val="en-US" w:eastAsia="zh-CN"/>
              </w:rPr>
            </w:pPr>
            <w:r>
              <w:rPr>
                <w:lang w:val="en-US" w:eastAsia="zh-CN"/>
              </w:rPr>
              <w:t>3</w:t>
            </w:r>
          </w:p>
        </w:tc>
        <w:tc>
          <w:tcPr>
            <w:tcW w:w="266" w:type="dxa"/>
            <w:tcBorders/>
            <w:tcMar>
              <w:left w:w="10" w:type="dxa"/>
              <w:right w:w="10" w:type="dxa"/>
            </w:tcMar>
          </w:tcPr>
          <w:p>
            <w:pPr>
              <w:pStyle w:val="Style26"/>
              <w:widowControl w:val="false"/>
              <w:suppressAutoHyphens w:val="false"/>
              <w:jc w:val="right"/>
              <w:textAlignment w:val="auto"/>
              <w:rPr>
                <w:lang w:val="en-US" w:eastAsia="zh-CN"/>
              </w:rPr>
            </w:pPr>
            <w:r>
              <w:rPr>
                <w:lang w:val="en-US" w:eastAsia="zh-CN"/>
              </w:rPr>
            </w:r>
          </w:p>
        </w:tc>
      </w:tr>
      <w:tr>
        <w:trPr/>
        <w:tc>
          <w:tcPr>
            <w:tcW w:w="9072" w:type="dxa"/>
            <w:gridSpan w:val="2"/>
            <w:tcBorders/>
          </w:tcPr>
          <w:p>
            <w:pPr>
              <w:pStyle w:val="Style26"/>
              <w:widowControl w:val="false"/>
              <w:tabs>
                <w:tab w:val="clear" w:pos="708"/>
                <w:tab w:val="left" w:pos="188" w:leader="none"/>
                <w:tab w:val="left" w:pos="651" w:leader="none"/>
              </w:tabs>
              <w:suppressAutoHyphens w:val="false"/>
              <w:jc w:val="both"/>
              <w:textAlignment w:val="auto"/>
              <w:rPr/>
            </w:pPr>
            <w:r>
              <w:rPr>
                <w:rStyle w:val="Style"/>
                <w:b/>
                <w:bCs/>
                <w:sz w:val="24"/>
                <w:szCs w:val="24"/>
                <w:lang w:eastAsia="zh-CN"/>
              </w:rPr>
              <w:t xml:space="preserve">Таблица 1. Перечень объектов заказчика </w:t>
            </w:r>
          </w:p>
        </w:tc>
        <w:tc>
          <w:tcPr>
            <w:tcW w:w="565" w:type="dxa"/>
            <w:tcBorders/>
          </w:tcPr>
          <w:p>
            <w:pPr>
              <w:pStyle w:val="Style26"/>
              <w:widowControl w:val="false"/>
              <w:suppressAutoHyphens w:val="false"/>
              <w:jc w:val="right"/>
              <w:textAlignment w:val="auto"/>
              <w:rPr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6" w:type="dxa"/>
            <w:tcBorders/>
            <w:tcMar>
              <w:left w:w="10" w:type="dxa"/>
              <w:right w:w="10" w:type="dxa"/>
            </w:tcMar>
          </w:tcPr>
          <w:p>
            <w:pPr>
              <w:pStyle w:val="Style26"/>
              <w:widowControl w:val="false"/>
              <w:suppressAutoHyphens w:val="false"/>
              <w:jc w:val="right"/>
              <w:textAlignment w:val="auto"/>
              <w:rPr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</w:r>
          </w:p>
        </w:tc>
      </w:tr>
      <w:tr>
        <w:trPr>
          <w:trHeight w:val="826" w:hRule="atLeast"/>
        </w:trPr>
        <w:tc>
          <w:tcPr>
            <w:tcW w:w="9072" w:type="dxa"/>
            <w:gridSpan w:val="2"/>
            <w:tcBorders/>
          </w:tcPr>
          <w:p>
            <w:pPr>
              <w:pStyle w:val="Style26"/>
              <w:widowControl w:val="false"/>
              <w:numPr>
                <w:ilvl w:val="1"/>
                <w:numId w:val="6"/>
              </w:numPr>
              <w:tabs>
                <w:tab w:val="clear" w:pos="708"/>
                <w:tab w:val="left" w:pos="0" w:leader="none"/>
                <w:tab w:val="left" w:pos="188" w:leader="none"/>
                <w:tab w:val="left" w:pos="651" w:leader="none"/>
              </w:tabs>
              <w:suppressAutoHyphens w:val="false"/>
              <w:ind w:left="0" w:right="0" w:hanging="0"/>
              <w:jc w:val="both"/>
              <w:textAlignment w:val="auto"/>
              <w:rPr/>
            </w:pPr>
            <w:r>
              <w:rPr>
                <w:rStyle w:val="Style"/>
                <w:lang w:eastAsia="zh-CN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</w:t>
            </w:r>
          </w:p>
        </w:tc>
        <w:tc>
          <w:tcPr>
            <w:tcW w:w="565" w:type="dxa"/>
            <w:tcBorders/>
          </w:tcPr>
          <w:p>
            <w:pPr>
              <w:pStyle w:val="Style26"/>
              <w:widowControl w:val="false"/>
              <w:suppressAutoHyphens w:val="false"/>
              <w:jc w:val="right"/>
              <w:textAlignment w:val="auto"/>
              <w:rPr>
                <w:lang w:val="en-US" w:eastAsia="zh-CN"/>
              </w:rPr>
            </w:pPr>
            <w:r>
              <w:rPr>
                <w:lang w:val="en-US" w:eastAsia="zh-CN"/>
              </w:rPr>
              <w:t>3</w:t>
            </w:r>
          </w:p>
        </w:tc>
        <w:tc>
          <w:tcPr>
            <w:tcW w:w="266" w:type="dxa"/>
            <w:tcBorders/>
            <w:tcMar>
              <w:left w:w="10" w:type="dxa"/>
              <w:right w:w="10" w:type="dxa"/>
            </w:tcMar>
          </w:tcPr>
          <w:p>
            <w:pPr>
              <w:pStyle w:val="Style26"/>
              <w:widowControl w:val="false"/>
              <w:suppressAutoHyphens w:val="false"/>
              <w:jc w:val="right"/>
              <w:textAlignment w:val="auto"/>
              <w:rPr>
                <w:lang w:val="en-US" w:eastAsia="zh-CN"/>
              </w:rPr>
            </w:pPr>
            <w:r>
              <w:rPr>
                <w:lang w:val="en-US" w:eastAsia="zh-CN"/>
              </w:rPr>
            </w:r>
          </w:p>
        </w:tc>
      </w:tr>
      <w:tr>
        <w:trPr/>
        <w:tc>
          <w:tcPr>
            <w:tcW w:w="9072" w:type="dxa"/>
            <w:gridSpan w:val="2"/>
            <w:tcBorders/>
          </w:tcPr>
          <w:p>
            <w:pPr>
              <w:pStyle w:val="Style26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0" w:leader="none"/>
                <w:tab w:val="left" w:pos="188" w:leader="none"/>
                <w:tab w:val="left" w:pos="651" w:leader="none"/>
              </w:tabs>
              <w:suppressAutoHyphens w:val="false"/>
              <w:ind w:left="0" w:right="0" w:hanging="0"/>
              <w:jc w:val="both"/>
              <w:textAlignment w:val="auto"/>
              <w:rPr/>
            </w:pPr>
            <w:r>
              <w:rPr>
                <w:rStyle w:val="Style"/>
                <w:b/>
                <w:bCs/>
                <w:sz w:val="24"/>
                <w:szCs w:val="24"/>
                <w:lang w:eastAsia="zh-CN"/>
              </w:rPr>
              <w:t xml:space="preserve">Требования к продукции </w:t>
            </w:r>
          </w:p>
        </w:tc>
        <w:tc>
          <w:tcPr>
            <w:tcW w:w="565" w:type="dxa"/>
            <w:tcBorders/>
          </w:tcPr>
          <w:p>
            <w:pPr>
              <w:pStyle w:val="Style26"/>
              <w:widowControl w:val="false"/>
              <w:suppressAutoHyphens w:val="false"/>
              <w:jc w:val="right"/>
              <w:textAlignment w:val="auto"/>
              <w:rPr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6" w:type="dxa"/>
            <w:tcBorders/>
            <w:tcMar>
              <w:left w:w="10" w:type="dxa"/>
              <w:right w:w="10" w:type="dxa"/>
            </w:tcMar>
          </w:tcPr>
          <w:p>
            <w:pPr>
              <w:pStyle w:val="Style26"/>
              <w:widowControl w:val="false"/>
              <w:suppressAutoHyphens w:val="false"/>
              <w:jc w:val="right"/>
              <w:textAlignment w:val="auto"/>
              <w:rPr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</w:r>
          </w:p>
        </w:tc>
      </w:tr>
      <w:tr>
        <w:trPr/>
        <w:tc>
          <w:tcPr>
            <w:tcW w:w="9072" w:type="dxa"/>
            <w:gridSpan w:val="2"/>
            <w:tcBorders/>
          </w:tcPr>
          <w:p>
            <w:pPr>
              <w:pStyle w:val="Style26"/>
              <w:widowControl w:val="false"/>
              <w:tabs>
                <w:tab w:val="clear" w:pos="708"/>
                <w:tab w:val="left" w:pos="188" w:leader="none"/>
                <w:tab w:val="left" w:pos="651" w:leader="none"/>
              </w:tabs>
              <w:suppressAutoHyphens w:val="false"/>
              <w:jc w:val="both"/>
              <w:textAlignment w:val="auto"/>
              <w:rPr/>
            </w:pPr>
            <w:r>
              <w:rPr>
                <w:rStyle w:val="Style"/>
                <w:lang w:eastAsia="zh-CN"/>
              </w:rPr>
              <w:t xml:space="preserve">2.1 </w:t>
            </w:r>
            <w:r>
              <w:rPr>
                <w:rStyle w:val="Style"/>
                <w:bCs/>
                <w:lang w:eastAsia="zh-CN"/>
              </w:rPr>
              <w:t xml:space="preserve">Требования к объемам и срокам оказания услуг                                               </w:t>
            </w:r>
          </w:p>
        </w:tc>
        <w:tc>
          <w:tcPr>
            <w:tcW w:w="565" w:type="dxa"/>
            <w:tcBorders/>
          </w:tcPr>
          <w:p>
            <w:pPr>
              <w:pStyle w:val="Style26"/>
              <w:widowControl w:val="false"/>
              <w:suppressAutoHyphens w:val="false"/>
              <w:jc w:val="right"/>
              <w:textAlignment w:val="auto"/>
              <w:rPr>
                <w:lang w:val="en-US" w:eastAsia="zh-CN"/>
              </w:rPr>
            </w:pPr>
            <w:r>
              <w:rPr>
                <w:lang w:val="en-US" w:eastAsia="zh-CN"/>
              </w:rPr>
              <w:t>3</w:t>
            </w:r>
          </w:p>
        </w:tc>
        <w:tc>
          <w:tcPr>
            <w:tcW w:w="266" w:type="dxa"/>
            <w:tcBorders/>
            <w:tcMar>
              <w:left w:w="10" w:type="dxa"/>
              <w:right w:w="10" w:type="dxa"/>
            </w:tcMar>
          </w:tcPr>
          <w:p>
            <w:pPr>
              <w:pStyle w:val="Style26"/>
              <w:widowControl w:val="false"/>
              <w:suppressAutoHyphens w:val="false"/>
              <w:jc w:val="right"/>
              <w:textAlignment w:val="auto"/>
              <w:rPr>
                <w:lang w:val="en-US" w:eastAsia="zh-CN"/>
              </w:rPr>
            </w:pPr>
            <w:r>
              <w:rPr>
                <w:lang w:val="en-US" w:eastAsia="zh-CN"/>
              </w:rPr>
            </w:r>
          </w:p>
        </w:tc>
      </w:tr>
      <w:tr>
        <w:trPr/>
        <w:tc>
          <w:tcPr>
            <w:tcW w:w="9072" w:type="dxa"/>
            <w:gridSpan w:val="2"/>
            <w:tcBorders/>
          </w:tcPr>
          <w:p>
            <w:pPr>
              <w:pStyle w:val="Style26"/>
              <w:widowControl w:val="false"/>
              <w:tabs>
                <w:tab w:val="clear" w:pos="708"/>
                <w:tab w:val="left" w:pos="188" w:leader="none"/>
                <w:tab w:val="left" w:pos="651" w:leader="none"/>
              </w:tabs>
              <w:suppressAutoHyphens w:val="false"/>
              <w:jc w:val="both"/>
              <w:textAlignment w:val="auto"/>
              <w:rPr/>
            </w:pPr>
            <w:r>
              <w:rPr>
                <w:rStyle w:val="Style"/>
                <w:bCs/>
                <w:lang w:eastAsia="zh-CN"/>
              </w:rPr>
              <w:t>2.1.1 Требования к перечню</w:t>
            </w:r>
            <w:r>
              <w:rPr>
                <w:rStyle w:val="Style"/>
                <w:lang w:eastAsia="zh-CN"/>
              </w:rPr>
              <w:t xml:space="preserve"> и объему услуг</w:t>
            </w:r>
          </w:p>
        </w:tc>
        <w:tc>
          <w:tcPr>
            <w:tcW w:w="565" w:type="dxa"/>
            <w:tcBorders/>
          </w:tcPr>
          <w:p>
            <w:pPr>
              <w:pStyle w:val="Style26"/>
              <w:widowControl w:val="false"/>
              <w:suppressAutoHyphens w:val="false"/>
              <w:jc w:val="right"/>
              <w:textAlignment w:val="auto"/>
              <w:rPr>
                <w:bCs/>
                <w:lang w:val="en-US" w:eastAsia="zh-CN"/>
              </w:rPr>
            </w:pPr>
            <w:r>
              <w:rPr>
                <w:bCs/>
                <w:lang w:val="en-US" w:eastAsia="zh-CN"/>
              </w:rPr>
              <w:t>3</w:t>
            </w:r>
          </w:p>
        </w:tc>
        <w:tc>
          <w:tcPr>
            <w:tcW w:w="266" w:type="dxa"/>
            <w:tcBorders/>
            <w:tcMar>
              <w:left w:w="10" w:type="dxa"/>
              <w:right w:w="10" w:type="dxa"/>
            </w:tcMar>
          </w:tcPr>
          <w:p>
            <w:pPr>
              <w:pStyle w:val="Style26"/>
              <w:widowControl w:val="false"/>
              <w:suppressAutoHyphens w:val="false"/>
              <w:jc w:val="right"/>
              <w:textAlignment w:val="auto"/>
              <w:rPr>
                <w:bCs/>
                <w:lang w:val="en-US" w:eastAsia="zh-CN"/>
              </w:rPr>
            </w:pPr>
            <w:r>
              <w:rPr>
                <w:bCs/>
                <w:lang w:val="en-US" w:eastAsia="zh-CN"/>
              </w:rPr>
            </w:r>
          </w:p>
        </w:tc>
      </w:tr>
      <w:tr>
        <w:trPr/>
        <w:tc>
          <w:tcPr>
            <w:tcW w:w="9072" w:type="dxa"/>
            <w:gridSpan w:val="2"/>
            <w:tcBorders/>
          </w:tcPr>
          <w:p>
            <w:pPr>
              <w:pStyle w:val="Style26"/>
              <w:widowControl w:val="false"/>
              <w:tabs>
                <w:tab w:val="clear" w:pos="708"/>
                <w:tab w:val="left" w:pos="188" w:leader="none"/>
                <w:tab w:val="left" w:pos="651" w:leader="none"/>
              </w:tabs>
              <w:suppressAutoHyphens w:val="false"/>
              <w:jc w:val="both"/>
              <w:textAlignment w:val="auto"/>
              <w:rPr/>
            </w:pPr>
            <w:r>
              <w:rPr>
                <w:rStyle w:val="Style"/>
                <w:b/>
                <w:sz w:val="24"/>
                <w:szCs w:val="24"/>
                <w:lang w:eastAsia="zh-CN"/>
              </w:rPr>
              <w:t xml:space="preserve">Таблица 2. Перечень и объем оказываемых услуг </w:t>
            </w:r>
          </w:p>
        </w:tc>
        <w:tc>
          <w:tcPr>
            <w:tcW w:w="565" w:type="dxa"/>
            <w:tcBorders/>
          </w:tcPr>
          <w:p>
            <w:pPr>
              <w:pStyle w:val="Style26"/>
              <w:widowControl w:val="false"/>
              <w:suppressAutoHyphens w:val="false"/>
              <w:jc w:val="right"/>
              <w:textAlignment w:val="auto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6" w:type="dxa"/>
            <w:tcBorders/>
            <w:tcMar>
              <w:left w:w="10" w:type="dxa"/>
              <w:right w:w="10" w:type="dxa"/>
            </w:tcMar>
          </w:tcPr>
          <w:p>
            <w:pPr>
              <w:pStyle w:val="Style26"/>
              <w:widowControl w:val="false"/>
              <w:suppressAutoHyphens w:val="false"/>
              <w:jc w:val="right"/>
              <w:textAlignment w:val="auto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  <w:lang w:val="en-US" w:eastAsia="zh-CN"/>
              </w:rPr>
            </w:r>
          </w:p>
        </w:tc>
      </w:tr>
      <w:tr>
        <w:trPr/>
        <w:tc>
          <w:tcPr>
            <w:tcW w:w="9072" w:type="dxa"/>
            <w:gridSpan w:val="2"/>
            <w:tcBorders/>
          </w:tcPr>
          <w:p>
            <w:pPr>
              <w:pStyle w:val="Style26"/>
              <w:widowControl w:val="false"/>
              <w:tabs>
                <w:tab w:val="clear" w:pos="708"/>
                <w:tab w:val="left" w:pos="188" w:leader="none"/>
                <w:tab w:val="left" w:pos="651" w:leader="none"/>
              </w:tabs>
              <w:suppressAutoHyphens w:val="false"/>
              <w:jc w:val="both"/>
              <w:textAlignment w:val="auto"/>
              <w:rPr/>
            </w:pPr>
            <w:r>
              <w:rPr>
                <w:rStyle w:val="Style"/>
                <w:lang w:eastAsia="zh-CN"/>
              </w:rPr>
              <w:t>2.1.2 Требования к срокам оказания услуг</w:t>
            </w:r>
          </w:p>
        </w:tc>
        <w:tc>
          <w:tcPr>
            <w:tcW w:w="565" w:type="dxa"/>
            <w:tcBorders/>
          </w:tcPr>
          <w:p>
            <w:pPr>
              <w:pStyle w:val="Style26"/>
              <w:widowControl w:val="false"/>
              <w:suppressAutoHyphens w:val="false"/>
              <w:jc w:val="right"/>
              <w:textAlignment w:val="auto"/>
              <w:rPr>
                <w:lang w:val="en-US" w:eastAsia="zh-CN"/>
              </w:rPr>
            </w:pPr>
            <w:r>
              <w:rPr>
                <w:lang w:val="en-US" w:eastAsia="zh-CN"/>
              </w:rPr>
              <w:t>3</w:t>
            </w:r>
          </w:p>
        </w:tc>
        <w:tc>
          <w:tcPr>
            <w:tcW w:w="266" w:type="dxa"/>
            <w:tcBorders/>
            <w:tcMar>
              <w:left w:w="10" w:type="dxa"/>
              <w:right w:w="10" w:type="dxa"/>
            </w:tcMar>
          </w:tcPr>
          <w:p>
            <w:pPr>
              <w:pStyle w:val="Style26"/>
              <w:widowControl w:val="false"/>
              <w:suppressAutoHyphens w:val="false"/>
              <w:jc w:val="right"/>
              <w:textAlignment w:val="auto"/>
              <w:rPr>
                <w:lang w:val="en-US" w:eastAsia="zh-CN"/>
              </w:rPr>
            </w:pPr>
            <w:r>
              <w:rPr>
                <w:lang w:val="en-US" w:eastAsia="zh-CN"/>
              </w:rPr>
            </w:r>
          </w:p>
        </w:tc>
      </w:tr>
      <w:tr>
        <w:trPr/>
        <w:tc>
          <w:tcPr>
            <w:tcW w:w="9072" w:type="dxa"/>
            <w:gridSpan w:val="2"/>
            <w:tcBorders/>
          </w:tcPr>
          <w:p>
            <w:pPr>
              <w:pStyle w:val="Style26"/>
              <w:widowControl w:val="false"/>
              <w:tabs>
                <w:tab w:val="clear" w:pos="708"/>
                <w:tab w:val="left" w:pos="188" w:leader="none"/>
                <w:tab w:val="left" w:pos="651" w:leader="none"/>
              </w:tabs>
              <w:suppressAutoHyphens w:val="false"/>
              <w:jc w:val="both"/>
              <w:textAlignment w:val="auto"/>
              <w:rPr/>
            </w:pPr>
            <w:r>
              <w:rPr>
                <w:rStyle w:val="Style"/>
                <w:b/>
                <w:sz w:val="24"/>
                <w:szCs w:val="24"/>
                <w:lang w:eastAsia="zh-CN"/>
              </w:rPr>
              <w:t>Таблица 3. Требования к срокам оказания услуг</w:t>
            </w:r>
          </w:p>
        </w:tc>
        <w:tc>
          <w:tcPr>
            <w:tcW w:w="565" w:type="dxa"/>
            <w:tcBorders/>
          </w:tcPr>
          <w:p>
            <w:pPr>
              <w:pStyle w:val="Style26"/>
              <w:widowControl w:val="false"/>
              <w:suppressAutoHyphens w:val="false"/>
              <w:jc w:val="right"/>
              <w:textAlignment w:val="auto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6" w:type="dxa"/>
            <w:tcBorders/>
            <w:tcMar>
              <w:left w:w="10" w:type="dxa"/>
              <w:right w:w="10" w:type="dxa"/>
            </w:tcMar>
          </w:tcPr>
          <w:p>
            <w:pPr>
              <w:pStyle w:val="Style26"/>
              <w:widowControl w:val="false"/>
              <w:suppressAutoHyphens w:val="false"/>
              <w:jc w:val="right"/>
              <w:textAlignment w:val="auto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  <w:lang w:val="en-US" w:eastAsia="zh-CN"/>
              </w:rPr>
            </w:r>
          </w:p>
        </w:tc>
      </w:tr>
      <w:tr>
        <w:trPr/>
        <w:tc>
          <w:tcPr>
            <w:tcW w:w="9072" w:type="dxa"/>
            <w:gridSpan w:val="2"/>
            <w:tcBorders/>
          </w:tcPr>
          <w:p>
            <w:pPr>
              <w:pStyle w:val="Style26"/>
              <w:widowControl w:val="false"/>
              <w:tabs>
                <w:tab w:val="clear" w:pos="708"/>
                <w:tab w:val="left" w:pos="188" w:leader="none"/>
                <w:tab w:val="left" w:pos="651" w:leader="none"/>
              </w:tabs>
              <w:suppressAutoHyphens w:val="false"/>
              <w:jc w:val="both"/>
              <w:textAlignment w:val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2.2 Требование к качеству  услуг </w:t>
            </w:r>
          </w:p>
        </w:tc>
        <w:tc>
          <w:tcPr>
            <w:tcW w:w="565" w:type="dxa"/>
            <w:tcBorders/>
          </w:tcPr>
          <w:p>
            <w:pPr>
              <w:pStyle w:val="Style26"/>
              <w:widowControl w:val="false"/>
              <w:suppressAutoHyphens w:val="false"/>
              <w:jc w:val="right"/>
              <w:textAlignment w:val="auto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6" w:type="dxa"/>
            <w:tcBorders/>
            <w:tcMar>
              <w:left w:w="10" w:type="dxa"/>
              <w:right w:w="10" w:type="dxa"/>
            </w:tcMar>
          </w:tcPr>
          <w:p>
            <w:pPr>
              <w:pStyle w:val="Style26"/>
              <w:widowControl w:val="false"/>
              <w:suppressAutoHyphens w:val="false"/>
              <w:jc w:val="right"/>
              <w:textAlignment w:val="auto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 w:eastAsia="zh-CN"/>
              </w:rPr>
            </w:r>
          </w:p>
        </w:tc>
      </w:tr>
      <w:tr>
        <w:trPr/>
        <w:tc>
          <w:tcPr>
            <w:tcW w:w="9072" w:type="dxa"/>
            <w:gridSpan w:val="2"/>
            <w:tcBorders/>
          </w:tcPr>
          <w:p>
            <w:pPr>
              <w:pStyle w:val="Style26"/>
              <w:widowControl w:val="false"/>
              <w:tabs>
                <w:tab w:val="clear" w:pos="708"/>
                <w:tab w:val="left" w:pos="188" w:leader="none"/>
                <w:tab w:val="left" w:pos="651" w:leader="none"/>
              </w:tabs>
              <w:suppressAutoHyphens w:val="false"/>
              <w:jc w:val="both"/>
              <w:textAlignment w:val="auto"/>
              <w:rPr/>
            </w:pPr>
            <w:r>
              <w:rPr>
                <w:rStyle w:val="Style"/>
                <w:sz w:val="24"/>
                <w:szCs w:val="24"/>
                <w:lang w:eastAsia="zh-CN"/>
              </w:rPr>
              <w:t>Таблица 4. Требования к качеству услуг</w:t>
            </w:r>
          </w:p>
        </w:tc>
        <w:tc>
          <w:tcPr>
            <w:tcW w:w="565" w:type="dxa"/>
            <w:tcBorders/>
          </w:tcPr>
          <w:p>
            <w:pPr>
              <w:pStyle w:val="Style26"/>
              <w:widowControl w:val="false"/>
              <w:suppressAutoHyphens w:val="false"/>
              <w:jc w:val="right"/>
              <w:textAlignment w:val="auto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6" w:type="dxa"/>
            <w:tcBorders/>
            <w:tcMar>
              <w:left w:w="10" w:type="dxa"/>
              <w:right w:w="10" w:type="dxa"/>
            </w:tcMar>
          </w:tcPr>
          <w:p>
            <w:pPr>
              <w:pStyle w:val="Style26"/>
              <w:widowControl w:val="false"/>
              <w:suppressAutoHyphens w:val="false"/>
              <w:jc w:val="right"/>
              <w:textAlignment w:val="auto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 w:eastAsia="zh-CN"/>
              </w:rPr>
            </w:r>
          </w:p>
        </w:tc>
      </w:tr>
      <w:tr>
        <w:trPr/>
        <w:tc>
          <w:tcPr>
            <w:tcW w:w="9072" w:type="dxa"/>
            <w:gridSpan w:val="2"/>
            <w:tcBorders/>
          </w:tcPr>
          <w:p>
            <w:pPr>
              <w:pStyle w:val="Style26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0" w:leader="none"/>
                <w:tab w:val="left" w:pos="188" w:leader="none"/>
                <w:tab w:val="left" w:pos="651" w:leader="none"/>
              </w:tabs>
              <w:suppressAutoHyphens w:val="false"/>
              <w:ind w:left="0" w:right="0" w:hanging="0"/>
              <w:jc w:val="both"/>
              <w:textAlignment w:val="auto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 xml:space="preserve">Требования к документации по ценообразованию на этапе закупки </w:t>
            </w:r>
          </w:p>
        </w:tc>
        <w:tc>
          <w:tcPr>
            <w:tcW w:w="565" w:type="dxa"/>
            <w:tcBorders/>
          </w:tcPr>
          <w:p>
            <w:pPr>
              <w:pStyle w:val="Style26"/>
              <w:widowControl w:val="false"/>
              <w:suppressAutoHyphens w:val="false"/>
              <w:jc w:val="right"/>
              <w:textAlignment w:val="auto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66" w:type="dxa"/>
            <w:tcBorders/>
            <w:tcMar>
              <w:left w:w="10" w:type="dxa"/>
              <w:right w:w="10" w:type="dxa"/>
            </w:tcMar>
          </w:tcPr>
          <w:p>
            <w:pPr>
              <w:pStyle w:val="Style26"/>
              <w:widowControl w:val="false"/>
              <w:suppressAutoHyphens w:val="false"/>
              <w:jc w:val="right"/>
              <w:textAlignment w:val="auto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  <w:lang w:val="en-US" w:eastAsia="zh-CN"/>
              </w:rPr>
            </w:r>
          </w:p>
        </w:tc>
      </w:tr>
      <w:tr>
        <w:trPr/>
        <w:tc>
          <w:tcPr>
            <w:tcW w:w="7421" w:type="dxa"/>
            <w:tcBorders/>
          </w:tcPr>
          <w:p>
            <w:pPr>
              <w:pStyle w:val="Style26"/>
              <w:widowControl w:val="false"/>
              <w:tabs>
                <w:tab w:val="clear" w:pos="708"/>
                <w:tab w:val="left" w:pos="188" w:leader="none"/>
                <w:tab w:val="left" w:pos="651" w:leader="none"/>
              </w:tabs>
              <w:suppressAutoHyphens w:val="false"/>
              <w:jc w:val="both"/>
              <w:textAlignment w:val="auto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</w:r>
          </w:p>
        </w:tc>
        <w:tc>
          <w:tcPr>
            <w:tcW w:w="2482" w:type="dxa"/>
            <w:gridSpan w:val="3"/>
            <w:tcBorders/>
          </w:tcPr>
          <w:p>
            <w:pPr>
              <w:pStyle w:val="Style26"/>
              <w:widowControl w:val="false"/>
              <w:suppressAutoHyphens w:val="false"/>
              <w:textAlignment w:val="auto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</w:r>
          </w:p>
        </w:tc>
      </w:tr>
    </w:tbl>
    <w:p>
      <w:pPr>
        <w:pStyle w:val="Style26"/>
        <w:suppressAutoHyphens w:val="false"/>
        <w:jc w:val="center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Style26"/>
        <w:suppressAutoHyphens w:val="false"/>
        <w:textAlignment w:val="auto"/>
        <w:rPr>
          <w:b/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widowControl w:val="false"/>
        <w:suppressAutoHyphens w:val="false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Heading1"/>
        <w:keepNext w:val="false"/>
        <w:widowControl w:val="false"/>
        <w:numPr>
          <w:ilvl w:val="0"/>
          <w:numId w:val="19"/>
        </w:numPr>
        <w:tabs>
          <w:tab w:val="left" w:pos="284" w:leader="none"/>
          <w:tab w:val="left" w:pos="1224" w:leader="none"/>
        </w:tabs>
        <w:suppressAutoHyphens w:val="false"/>
        <w:ind w:left="0" w:right="0" w:hanging="0"/>
        <w:jc w:val="center"/>
        <w:outlineLvl w:val="9"/>
        <w:rPr>
          <w:sz w:val="24"/>
          <w:szCs w:val="24"/>
        </w:rPr>
      </w:pPr>
      <w:bookmarkStart w:id="0" w:name="_Toc51339692"/>
      <w:bookmarkStart w:id="1" w:name="_Toc161665199"/>
      <w:r>
        <w:rPr>
          <w:sz w:val="24"/>
          <w:szCs w:val="24"/>
        </w:rPr>
        <w:t>Общие сведения</w:t>
      </w:r>
      <w:bookmarkEnd w:id="0"/>
      <w:bookmarkEnd w:id="1"/>
    </w:p>
    <w:p>
      <w:pPr>
        <w:pStyle w:val="Heading4"/>
        <w:keepNext w:val="false"/>
        <w:widowControl w:val="false"/>
        <w:numPr>
          <w:ilvl w:val="1"/>
          <w:numId w:val="20"/>
        </w:numPr>
        <w:suppressAutoHyphens w:val="false"/>
        <w:ind w:left="432" w:right="0" w:hanging="432"/>
        <w:outlineLvl w:val="9"/>
        <w:rPr>
          <w:sz w:val="24"/>
          <w:szCs w:val="24"/>
        </w:rPr>
      </w:pPr>
      <w:bookmarkStart w:id="2" w:name="_Toc161665200"/>
      <w:bookmarkStart w:id="3" w:name="_Toc46743505"/>
      <w:r>
        <w:rPr>
          <w:sz w:val="24"/>
          <w:szCs w:val="24"/>
        </w:rPr>
        <w:t>Обозначения и сокращения</w:t>
      </w:r>
      <w:bookmarkEnd w:id="2"/>
      <w:bookmarkEnd w:id="3"/>
    </w:p>
    <w:p>
      <w:pPr>
        <w:pStyle w:val="Normal"/>
        <w:widowControl w:val="false"/>
        <w:suppressAutoHyphens w:val="false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Style w:val="Style"/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Style w:val="Style"/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Style w:val="Style"/>
                <w:sz w:val="24"/>
                <w:szCs w:val="24"/>
              </w:rPr>
              <w:t>ПД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Style w:val="Style"/>
                <w:sz w:val="24"/>
                <w:szCs w:val="24"/>
              </w:rPr>
              <w:t>Проект договора</w:t>
            </w:r>
          </w:p>
        </w:tc>
      </w:tr>
    </w:tbl>
    <w:p>
      <w:pPr>
        <w:pStyle w:val="Heading4"/>
        <w:keepNext w:val="false"/>
        <w:widowControl w:val="false"/>
        <w:numPr>
          <w:ilvl w:val="1"/>
          <w:numId w:val="21"/>
        </w:numPr>
        <w:suppressAutoHyphens w:val="false"/>
        <w:ind w:left="432" w:right="0" w:hanging="432"/>
        <w:outlineLvl w:val="9"/>
        <w:rPr>
          <w:sz w:val="24"/>
          <w:szCs w:val="24"/>
        </w:rPr>
      </w:pPr>
      <w:bookmarkStart w:id="4" w:name="_Toc161665201"/>
      <w:bookmarkStart w:id="5" w:name="_Toc46743506"/>
      <w:r>
        <w:rPr>
          <w:sz w:val="24"/>
          <w:szCs w:val="24"/>
        </w:rPr>
        <w:t>Наименование закупаемой продукции</w:t>
      </w:r>
      <w:bookmarkEnd w:id="4"/>
      <w:bookmarkEnd w:id="5"/>
    </w:p>
    <w:p>
      <w:pPr>
        <w:pStyle w:val="Normal"/>
        <w:widowControl w:val="false"/>
        <w:suppressAutoHyphens w:val="false"/>
        <w:jc w:val="both"/>
        <w:rPr/>
      </w:pPr>
      <w:r>
        <w:rPr>
          <w:rStyle w:val="Style16"/>
          <w:rFonts w:eastAsia="Geneva"/>
          <w:b w:val="false"/>
          <w:bCs/>
          <w:i w:val="false"/>
          <w:color w:val="000000"/>
          <w:sz w:val="24"/>
          <w:szCs w:val="24"/>
          <w:shd w:fill="auto" w:val="clear"/>
        </w:rPr>
        <w:t>Услуги по прохождению периодического медицинского осмотра сотрудников Кабардино-Балкарского транспортного участка Южного филиала АО «ТК РусГидро»</w:t>
      </w:r>
      <w:bookmarkStart w:id="6" w:name="_Toc46743507"/>
    </w:p>
    <w:p>
      <w:pPr>
        <w:pStyle w:val="Heading4"/>
        <w:keepNext w:val="false"/>
        <w:widowControl w:val="false"/>
        <w:numPr>
          <w:ilvl w:val="1"/>
          <w:numId w:val="22"/>
        </w:numPr>
        <w:suppressAutoHyphens w:val="false"/>
        <w:spacing w:before="240" w:after="0"/>
        <w:ind w:left="432" w:right="0" w:hanging="432"/>
        <w:outlineLvl w:val="9"/>
        <w:rPr>
          <w:sz w:val="24"/>
          <w:szCs w:val="24"/>
        </w:rPr>
      </w:pPr>
      <w:bookmarkStart w:id="7" w:name="_Toc161665202"/>
      <w:r>
        <w:rPr>
          <w:sz w:val="24"/>
          <w:szCs w:val="24"/>
        </w:rPr>
        <w:t>Цель использования закупаемой продукции</w:t>
      </w:r>
      <w:bookmarkEnd w:id="6"/>
      <w:bookmarkEnd w:id="7"/>
    </w:p>
    <w:p>
      <w:pPr>
        <w:pStyle w:val="Heading1"/>
        <w:keepNext w:val="false"/>
        <w:widowControl w:val="false"/>
        <w:numPr>
          <w:ilvl w:val="0"/>
        </w:numPr>
        <w:suppressAutoHyphens w:val="false"/>
        <w:ind w:left="0" w:right="0" w:firstLine="57"/>
        <w:jc w:val="both"/>
        <w:rPr/>
      </w:pPr>
      <w:r>
        <w:rPr>
          <w:rStyle w:val="Style16"/>
          <w:b/>
          <w:i w:val="false"/>
          <w:sz w:val="24"/>
          <w:szCs w:val="24"/>
          <w:shd w:fill="auto" w:val="clear"/>
        </w:rPr>
        <w:t xml:space="preserve">  </w:t>
      </w:r>
      <w:bookmarkStart w:id="8" w:name="_Toc126150656"/>
      <w:bookmarkStart w:id="9" w:name="_Toc126150869"/>
      <w:bookmarkStart w:id="10" w:name="_Toc161665203"/>
      <w:r>
        <w:rPr>
          <w:rStyle w:val="Style16"/>
          <w:b/>
          <w:i w:val="false"/>
          <w:sz w:val="24"/>
          <w:szCs w:val="24"/>
          <w:shd w:fill="auto" w:val="clear"/>
        </w:rPr>
        <w:t>Проведение периодического медицинского осмотра сотрудников Кабардино-Балкарского транспортного участка Южного филиала АО «ТК РусГидро».</w:t>
      </w:r>
      <w:bookmarkEnd w:id="8"/>
      <w:bookmarkEnd w:id="9"/>
      <w:bookmarkEnd w:id="10"/>
    </w:p>
    <w:p>
      <w:pPr>
        <w:pStyle w:val="Normal"/>
        <w:widowControl w:val="false"/>
        <w:suppressAutoHyphens w:val="false"/>
        <w:ind w:left="0" w:right="0" w:firstLine="57"/>
        <w:rPr/>
      </w:pPr>
      <w:r>
        <w:rPr>
          <w:rStyle w:val="Style16"/>
          <w:b w:val="false"/>
          <w:i w:val="false"/>
          <w:sz w:val="24"/>
          <w:szCs w:val="24"/>
          <w:shd w:fill="auto" w:val="clear"/>
        </w:rPr>
        <w:t xml:space="preserve"> </w:t>
      </w:r>
      <w:r>
        <w:rPr>
          <w:rStyle w:val="Style16"/>
          <w:b w:val="false"/>
          <w:i w:val="false"/>
          <w:sz w:val="24"/>
          <w:szCs w:val="24"/>
          <w:shd w:fill="auto" w:val="clear"/>
        </w:rPr>
        <w:t>Основание: статья 213, Трудового кодекса Российской Федерации от 30.12.2001г. № 197-ФЗ (ред. от 31.12.2014).</w:t>
      </w:r>
    </w:p>
    <w:p>
      <w:pPr>
        <w:pStyle w:val="Heading1"/>
        <w:keepNext w:val="false"/>
        <w:widowControl w:val="false"/>
        <w:numPr>
          <w:ilvl w:val="0"/>
        </w:numPr>
        <w:suppressAutoHyphens w:val="false"/>
        <w:ind w:left="0" w:right="0" w:hanging="0"/>
        <w:rPr/>
      </w:pPr>
      <w:bookmarkStart w:id="11" w:name="_Toc161665204"/>
      <w:r>
        <w:rPr>
          <w:rStyle w:val="Style"/>
          <w:sz w:val="24"/>
          <w:szCs w:val="24"/>
        </w:rPr>
        <w:t>Таблица 1. Перечень объектов заказчика</w:t>
      </w:r>
      <w:bookmarkEnd w:id="11"/>
    </w:p>
    <w:tbl>
      <w:tblPr>
        <w:tblW w:w="991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2858"/>
        <w:gridCol w:w="3407"/>
        <w:gridCol w:w="2832"/>
      </w:tblGrid>
      <w:tr>
        <w:trPr/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Style w:val="Style"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Style w:val="Style"/>
                <w:sz w:val="24"/>
                <w:szCs w:val="24"/>
              </w:rPr>
              <w:t>п/п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rStyle w:val="Style"/>
                <w:i/>
                <w:iCs/>
                <w:sz w:val="24"/>
                <w:szCs w:val="24"/>
              </w:rPr>
              <w:t>(место  оказания услуг)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b/>
                <w:sz w:val="24"/>
                <w:szCs w:val="24"/>
              </w:rPr>
              <w:t>1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b/>
                <w:sz w:val="24"/>
                <w:szCs w:val="24"/>
              </w:rPr>
              <w:t>2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b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b/>
                <w:sz w:val="24"/>
                <w:szCs w:val="24"/>
              </w:rPr>
              <w:t>4</w:t>
            </w:r>
          </w:p>
        </w:tc>
      </w:tr>
      <w:tr>
        <w:trPr>
          <w:trHeight w:val="881" w:hRule="atLeast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1"/>
              <w:widowControl w:val="false"/>
              <w:numPr>
                <w:ilvl w:val="0"/>
                <w:numId w:val="23"/>
              </w:numPr>
              <w:suppressAutoHyphens w:val="false"/>
              <w:ind w:left="360" w:right="0" w:hanging="360"/>
              <w:rPr/>
            </w:pPr>
            <w:r>
              <w:rPr/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uppressAutoHyphens w:val="false"/>
              <w:ind w:left="-56" w:right="0" w:hanging="0"/>
              <w:rPr/>
            </w:pPr>
            <w:r>
              <w:rPr>
                <w:rStyle w:val="Style16"/>
                <w:rFonts w:eastAsia="Geneva"/>
                <w:b w:val="false"/>
                <w:bCs/>
                <w:i w:val="false"/>
                <w:iCs/>
                <w:color w:val="000000"/>
                <w:sz w:val="24"/>
                <w:szCs w:val="24"/>
                <w:shd w:fill="auto" w:val="clear"/>
              </w:rPr>
              <w:t xml:space="preserve">Услуги по проведению периодического медицинского осмотра работников </w:t>
            </w:r>
            <w:r>
              <w:rPr>
                <w:rStyle w:val="Style16"/>
                <w:rFonts w:eastAsia="Geneva"/>
                <w:b w:val="false"/>
                <w:bCs/>
                <w:i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Style w:val="Style16"/>
                <w:rFonts w:eastAsia="Geneva"/>
                <w:b w:val="false"/>
                <w:bCs/>
                <w:i w:val="false"/>
                <w:iCs/>
                <w:color w:val="000000"/>
                <w:sz w:val="24"/>
                <w:szCs w:val="24"/>
                <w:shd w:fill="auto" w:val="clear"/>
              </w:rPr>
              <w:t xml:space="preserve">Кабардино-Балкарского транспортного участка Южного филиала АО «ТК РусГидро»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uppressAutoHyphens w:val="false"/>
              <w:ind w:left="-78" w:right="-13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Кабардино-Балкарский транспортный участок Южного филиала АО «ТК РусГидро»</w:t>
            </w:r>
            <w:r>
              <w:rPr>
                <w:sz w:val="24"/>
                <w:szCs w:val="24"/>
                <w:shd w:fill="auto" w:val="clear"/>
              </w:rPr>
              <w:t xml:space="preserve">, </w:t>
            </w:r>
            <w:r>
              <w:rPr>
                <w:sz w:val="24"/>
                <w:szCs w:val="24"/>
                <w:shd w:fill="auto" w:val="clear"/>
              </w:rPr>
              <w:t xml:space="preserve">г. </w:t>
            </w:r>
            <w:r>
              <w:rPr>
                <w:sz w:val="24"/>
                <w:szCs w:val="24"/>
                <w:shd w:fill="auto" w:val="clear"/>
              </w:rPr>
              <w:t>Нальчик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iCs/>
                <w:sz w:val="24"/>
                <w:szCs w:val="24"/>
              </w:rPr>
              <w:t>-</w:t>
            </w:r>
          </w:p>
        </w:tc>
      </w:tr>
    </w:tbl>
    <w:p>
      <w:pPr>
        <w:pStyle w:val="Heading4"/>
        <w:keepNext w:val="false"/>
        <w:widowControl w:val="false"/>
        <w:numPr>
          <w:ilvl w:val="0"/>
        </w:numPr>
        <w:suppressAutoHyphens w:val="false"/>
        <w:ind w:left="0" w:right="0" w:hanging="0"/>
        <w:rPr/>
      </w:pPr>
      <w:r>
        <w:rPr/>
      </w:r>
    </w:p>
    <w:p>
      <w:pPr>
        <w:pStyle w:val="Heading1"/>
        <w:keepNext w:val="false"/>
        <w:widowControl w:val="false"/>
        <w:numPr>
          <w:ilvl w:val="0"/>
          <w:numId w:val="24"/>
        </w:numPr>
        <w:suppressAutoHyphens w:val="false"/>
        <w:spacing w:before="120" w:after="60"/>
        <w:ind w:left="1984" w:right="0" w:hanging="340"/>
        <w:jc w:val="center"/>
        <w:outlineLvl w:val="9"/>
        <w:rPr/>
      </w:pPr>
      <w:bookmarkStart w:id="12" w:name="_Toc161665205"/>
      <w:bookmarkStart w:id="13" w:name="_Toc51339693"/>
      <w:r>
        <w:rPr/>
        <w:t>Требования к продукции</w:t>
      </w:r>
      <w:bookmarkEnd w:id="12"/>
      <w:bookmarkEnd w:id="13"/>
    </w:p>
    <w:p>
      <w:pPr>
        <w:pStyle w:val="Heading4"/>
        <w:keepNext w:val="false"/>
        <w:widowControl w:val="false"/>
        <w:numPr>
          <w:ilvl w:val="1"/>
          <w:numId w:val="25"/>
        </w:numPr>
        <w:suppressAutoHyphens w:val="false"/>
        <w:ind w:left="432" w:right="0" w:hanging="432"/>
        <w:outlineLvl w:val="9"/>
        <w:rPr/>
      </w:pPr>
      <w:bookmarkStart w:id="14" w:name="_Toc161665206"/>
      <w:r>
        <w:rPr/>
        <w:t>Требования по объемам и срокам</w:t>
      </w:r>
      <w:bookmarkEnd w:id="14"/>
    </w:p>
    <w:p>
      <w:pPr>
        <w:pStyle w:val="Heading3"/>
        <w:keepNext w:val="false"/>
        <w:widowControl w:val="false"/>
        <w:numPr>
          <w:ilvl w:val="2"/>
          <w:numId w:val="26"/>
        </w:numPr>
        <w:suppressAutoHyphens w:val="false"/>
        <w:ind w:left="1224" w:right="0" w:hanging="504"/>
        <w:outlineLvl w:val="9"/>
        <w:rPr/>
      </w:pPr>
      <w:bookmarkStart w:id="15" w:name="_Toc161665207"/>
      <w:r>
        <w:rPr/>
        <w:t>Требования к видам и объемам , работ, услуг</w:t>
      </w:r>
      <w:bookmarkEnd w:id="15"/>
    </w:p>
    <w:p>
      <w:pPr>
        <w:pStyle w:val="Heading1"/>
        <w:keepNext w:val="false"/>
        <w:widowControl w:val="false"/>
        <w:numPr>
          <w:ilvl w:val="0"/>
        </w:numPr>
        <w:suppressAutoHyphens w:val="false"/>
        <w:ind w:left="0" w:right="0" w:hanging="0"/>
        <w:rPr/>
      </w:pPr>
      <w:bookmarkStart w:id="16" w:name="_Toc161665208"/>
      <w:bookmarkStart w:id="17" w:name="_Toc51339695"/>
      <w:r>
        <w:rPr>
          <w:rStyle w:val="Style"/>
          <w:sz w:val="24"/>
          <w:szCs w:val="24"/>
        </w:rPr>
        <w:t xml:space="preserve">Таблица 2.1 Перечень и объем </w:t>
      </w:r>
      <w:bookmarkEnd w:id="17"/>
      <w:r>
        <w:rPr>
          <w:rStyle w:val="Style"/>
          <w:sz w:val="24"/>
          <w:szCs w:val="24"/>
        </w:rPr>
        <w:t>выполняемых работ / оказываемых услуг</w:t>
      </w:r>
      <w:bookmarkEnd w:id="16"/>
    </w:p>
    <w:p>
      <w:pPr>
        <w:pStyle w:val="Normal"/>
        <w:widowControl w:val="false"/>
        <w:suppressAutoHyphens w:val="false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207" w:type="dxa"/>
        <w:jc w:val="left"/>
        <w:tblInd w:w="-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7413"/>
        <w:gridCol w:w="1134"/>
        <w:gridCol w:w="994"/>
      </w:tblGrid>
      <w:tr>
        <w:trPr>
          <w:trHeight w:val="541" w:hRule="atLeast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rStyle w:val="Style"/>
                <w:b/>
                <w:bCs/>
                <w:color w:val="000000"/>
                <w:sz w:val="24"/>
                <w:szCs w:val="24"/>
              </w:rPr>
              <w:t>п\п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b/>
                <w:bCs/>
                <w:sz w:val="24"/>
                <w:szCs w:val="24"/>
              </w:rPr>
              <w:t>Наименование продукции (товары/работы/услуги) являющиеся предметом закупки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b/>
                <w:bCs/>
                <w:sz w:val="24"/>
                <w:szCs w:val="24"/>
              </w:rPr>
              <w:t>Ед. изм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b/>
                <w:bCs/>
                <w:sz w:val="24"/>
                <w:szCs w:val="24"/>
              </w:rPr>
              <w:t>Кол во</w:t>
            </w:r>
          </w:p>
        </w:tc>
      </w:tr>
      <w:tr>
        <w:trPr>
          <w:trHeight w:val="338" w:hRule="atLeast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4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169" w:hRule="atLeast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741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bCs/>
                <w:color w:val="000000"/>
                <w:sz w:val="24"/>
                <w:szCs w:val="24"/>
                <w:shd w:fill="auto" w:val="clear"/>
              </w:rPr>
              <w:t>Периодический медицинский осмотр</w:t>
            </w:r>
            <w:r>
              <w:rPr>
                <w:rStyle w:val="Style"/>
                <w:color w:val="000000"/>
                <w:sz w:val="24"/>
                <w:szCs w:val="24"/>
                <w:shd w:fill="auto" w:val="clear"/>
              </w:rPr>
              <w:t xml:space="preserve"> машинист</w:t>
            </w:r>
            <w:r>
              <w:rPr>
                <w:rStyle w:val="Style"/>
                <w:color w:val="000000"/>
                <w:sz w:val="24"/>
                <w:szCs w:val="24"/>
                <w:shd w:fill="auto" w:val="clear"/>
              </w:rPr>
              <w:t>а</w:t>
            </w:r>
            <w:r>
              <w:rPr>
                <w:rStyle w:val="Style"/>
                <w:color w:val="000000"/>
                <w:sz w:val="24"/>
                <w:szCs w:val="24"/>
                <w:shd w:fill="auto" w:val="clear"/>
              </w:rPr>
              <w:t xml:space="preserve"> автокрана; машинист</w:t>
            </w:r>
            <w:r>
              <w:rPr>
                <w:rStyle w:val="Style"/>
                <w:color w:val="000000"/>
                <w:sz w:val="24"/>
                <w:szCs w:val="24"/>
                <w:shd w:fill="auto" w:val="clear"/>
              </w:rPr>
              <w:t>а</w:t>
            </w:r>
            <w:r>
              <w:rPr>
                <w:rStyle w:val="Style"/>
                <w:color w:val="000000"/>
                <w:sz w:val="24"/>
                <w:szCs w:val="24"/>
                <w:shd w:fill="auto" w:val="clear"/>
              </w:rPr>
              <w:t xml:space="preserve"> крана манипулятора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color w:val="000000"/>
                <w:sz w:val="24"/>
                <w:szCs w:val="24"/>
                <w:shd w:fill="auto" w:val="clear"/>
              </w:rPr>
              <w:t>Усл. ед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  <w:lang w:val="en-US"/>
              </w:rPr>
              <w:t>4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color w:val="000000"/>
                <w:sz w:val="24"/>
                <w:szCs w:val="24"/>
                <w:shd w:fill="auto" w:val="clear"/>
              </w:rPr>
              <w:t>2</w:t>
            </w:r>
          </w:p>
        </w:tc>
        <w:tc>
          <w:tcPr>
            <w:tcW w:w="7413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bCs/>
                <w:color w:val="000000"/>
                <w:sz w:val="24"/>
                <w:szCs w:val="24"/>
                <w:shd w:fill="auto" w:val="clear"/>
              </w:rPr>
              <w:t xml:space="preserve">Периодический осмотр начальника участка, механика, </w:t>
            </w:r>
            <w:r>
              <w:rPr>
                <w:rStyle w:val="Style"/>
                <w:bCs/>
                <w:color w:val="000000"/>
                <w:sz w:val="24"/>
                <w:szCs w:val="24"/>
                <w:shd w:fill="auto" w:val="clear"/>
              </w:rPr>
              <w:t>диспетчера и техника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color w:val="000000"/>
                <w:sz w:val="24"/>
                <w:szCs w:val="24"/>
                <w:shd w:fill="auto" w:val="clear"/>
              </w:rPr>
              <w:t>Усл. ед.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  <w:lang w:val="en-US"/>
              </w:rPr>
              <w:t>4</w:t>
            </w:r>
          </w:p>
        </w:tc>
      </w:tr>
    </w:tbl>
    <w:p>
      <w:pPr>
        <w:pStyle w:val="Normal"/>
        <w:widowControl w:val="false"/>
        <w:suppressAutoHyphens w:val="false"/>
        <w:rPr/>
      </w:pPr>
      <w:r>
        <w:rPr/>
      </w:r>
    </w:p>
    <w:p>
      <w:pPr>
        <w:pStyle w:val="Heading3"/>
        <w:keepNext w:val="false"/>
        <w:widowControl w:val="false"/>
        <w:numPr>
          <w:ilvl w:val="0"/>
        </w:numPr>
        <w:suppressAutoHyphens w:val="false"/>
        <w:ind w:left="1224" w:right="0" w:hanging="504"/>
        <w:rPr/>
      </w:pPr>
      <w:bookmarkStart w:id="18" w:name="_Toc161665209"/>
      <w:r>
        <w:rPr/>
        <w:t xml:space="preserve">2.1.2. </w:t>
      </w:r>
      <w:bookmarkStart w:id="19" w:name="_Toc51339696"/>
      <w:r>
        <w:rPr/>
        <w:t xml:space="preserve">Требования </w:t>
      </w:r>
      <w:bookmarkEnd w:id="19"/>
      <w:r>
        <w:rPr/>
        <w:t>к срокам выполнению работ, оказанию услуг</w:t>
      </w:r>
      <w:bookmarkEnd w:id="18"/>
    </w:p>
    <w:p>
      <w:pPr>
        <w:pStyle w:val="Heading1"/>
        <w:keepNext w:val="false"/>
        <w:widowControl w:val="false"/>
        <w:numPr>
          <w:ilvl w:val="0"/>
        </w:numPr>
        <w:suppressAutoHyphens w:val="false"/>
        <w:ind w:left="0" w:right="0" w:hanging="0"/>
        <w:rPr/>
      </w:pPr>
      <w:bookmarkStart w:id="20" w:name="_Toc161665210"/>
      <w:bookmarkStart w:id="21" w:name="_Toc50125127"/>
      <w:bookmarkStart w:id="22" w:name="_Toc51339697"/>
      <w:bookmarkStart w:id="23" w:name="_Toc50125126"/>
      <w:bookmarkEnd w:id="23"/>
      <w:r>
        <w:rPr>
          <w:rStyle w:val="Style"/>
          <w:sz w:val="24"/>
          <w:szCs w:val="24"/>
        </w:rPr>
        <w:t xml:space="preserve">Таблица 2.2 </w:t>
      </w:r>
      <w:bookmarkStart w:id="24" w:name="_Hlk50465284"/>
      <w:r>
        <w:rPr>
          <w:rStyle w:val="Style"/>
          <w:sz w:val="24"/>
          <w:szCs w:val="24"/>
        </w:rPr>
        <w:t xml:space="preserve">Требования </w:t>
      </w:r>
      <w:bookmarkEnd w:id="21"/>
      <w:bookmarkEnd w:id="22"/>
      <w:bookmarkEnd w:id="24"/>
      <w:r>
        <w:rPr>
          <w:rStyle w:val="Style"/>
          <w:sz w:val="24"/>
          <w:szCs w:val="24"/>
        </w:rPr>
        <w:t>по срокам выполнения работ / оказания услуг</w:t>
      </w:r>
      <w:bookmarkEnd w:id="20"/>
    </w:p>
    <w:p>
      <w:pPr>
        <w:pStyle w:val="Heading1"/>
        <w:keepNext w:val="false"/>
        <w:widowControl w:val="false"/>
        <w:numPr>
          <w:ilvl w:val="0"/>
        </w:numPr>
        <w:suppressAutoHyphens w:val="false"/>
        <w:ind w:left="0" w:right="0" w:hanging="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2835"/>
        <w:gridCol w:w="2972"/>
        <w:gridCol w:w="2836"/>
      </w:tblGrid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sz w:val="24"/>
                <w:szCs w:val="24"/>
              </w:rPr>
              <w:t xml:space="preserve">№ </w:t>
            </w:r>
            <w:r>
              <w:rPr>
                <w:rStyle w:val="Style"/>
                <w:sz w:val="24"/>
                <w:szCs w:val="24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b/>
                <w:sz w:val="24"/>
                <w:szCs w:val="24"/>
              </w:rPr>
              <w:t>2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8"/>
              <w:keepNext w:val="false"/>
              <w:widowControl w:val="false"/>
              <w:suppressAutoHyphens w:val="false"/>
              <w:spacing w:before="40" w:after="40"/>
              <w:jc w:val="center"/>
              <w:rPr/>
            </w:pPr>
            <w:r>
              <w:rPr>
                <w:rStyle w:val="Style"/>
                <w:b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8"/>
              <w:keepNext w:val="false"/>
              <w:widowControl w:val="false"/>
              <w:suppressAutoHyphens w:val="false"/>
              <w:spacing w:before="40" w:after="40"/>
              <w:jc w:val="center"/>
              <w:rPr/>
            </w:pPr>
            <w:r>
              <w:rPr>
                <w:rStyle w:val="Style"/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1"/>
              <w:widowControl w:val="false"/>
              <w:numPr>
                <w:ilvl w:val="0"/>
                <w:numId w:val="27"/>
              </w:numPr>
              <w:suppressAutoHyphens w:val="false"/>
              <w:ind w:left="360" w:right="0" w:hanging="360"/>
              <w:rPr/>
            </w:pPr>
            <w:r>
              <w:rPr/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Style w:val="Style16"/>
                <w:rFonts w:eastAsia="Geneva"/>
                <w:b w:val="false"/>
                <w:bCs/>
                <w:i w:val="false"/>
                <w:iCs/>
                <w:color w:val="000000"/>
                <w:sz w:val="24"/>
                <w:szCs w:val="24"/>
                <w:shd w:fill="auto" w:val="clear"/>
              </w:rPr>
              <w:t xml:space="preserve">Услуги по прохождению периодического медицинского осмотра работников </w:t>
            </w:r>
            <w:r>
              <w:rPr>
                <w:rStyle w:val="Style16"/>
                <w:rFonts w:eastAsia="Geneva"/>
                <w:b w:val="false"/>
                <w:bCs/>
                <w:i w:val="false"/>
                <w:color w:val="000000"/>
                <w:sz w:val="24"/>
                <w:szCs w:val="24"/>
                <w:shd w:fill="auto" w:val="clear"/>
              </w:rPr>
              <w:t xml:space="preserve">Транспортной группы Кабардино-Балкарского транспортного участка </w:t>
            </w:r>
            <w:r>
              <w:rPr>
                <w:rStyle w:val="Style16"/>
                <w:rFonts w:eastAsia="Geneva"/>
                <w:b w:val="false"/>
                <w:bCs/>
                <w:i w:val="false"/>
                <w:iCs/>
                <w:color w:val="000000"/>
                <w:sz w:val="24"/>
                <w:szCs w:val="24"/>
                <w:shd w:fill="auto" w:val="clear"/>
              </w:rPr>
              <w:t>Южного филиала АО «ТК РусГидро»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sz w:val="24"/>
                <w:szCs w:val="24"/>
              </w:rPr>
              <w:t>31.12.202</w:t>
            </w:r>
            <w:r>
              <w:rPr>
                <w:rStyle w:val="Style"/>
                <w:sz w:val="24"/>
                <w:szCs w:val="24"/>
              </w:rPr>
              <w:t>7</w:t>
            </w:r>
            <w:r>
              <w:rPr>
                <w:rStyle w:val="Style"/>
                <w:sz w:val="24"/>
                <w:szCs w:val="24"/>
              </w:rPr>
              <w:t xml:space="preserve"> г.</w:t>
            </w:r>
          </w:p>
        </w:tc>
      </w:tr>
    </w:tbl>
    <w:p>
      <w:pPr>
        <w:pStyle w:val="Normal"/>
        <w:widowControl w:val="false"/>
        <w:suppressAutoHyphens w:val="false"/>
        <w:spacing w:before="120" w:after="6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widowControl w:val="false"/>
        <w:tabs>
          <w:tab w:val="clear" w:pos="708"/>
        </w:tabs>
        <w:suppressAutoHyphens w:val="false"/>
        <w:spacing w:before="120" w:after="60"/>
        <w:ind w:left="1224" w:right="0" w:hanging="1224"/>
        <w:rPr>
          <w:rFonts w:eastAsia="Calibri"/>
          <w:b/>
          <w:bCs/>
          <w:sz w:val="24"/>
          <w:szCs w:val="24"/>
        </w:rPr>
      </w:pPr>
      <w:bookmarkStart w:id="25" w:name="__RefHeading___Toc5564_3873752112"/>
      <w:bookmarkStart w:id="26" w:name="_Toc135933379"/>
      <w:bookmarkStart w:id="27" w:name="_Toc143506448"/>
      <w:bookmarkStart w:id="28" w:name="_Toc161665211"/>
      <w:bookmarkStart w:id="29" w:name="_Toc46743511_Копия_1"/>
      <w:bookmarkStart w:id="30" w:name="_Toc51339698_Копия_1"/>
      <w:bookmarkEnd w:id="25"/>
      <w:bookmarkEnd w:id="30"/>
      <w:r>
        <w:rPr>
          <w:rFonts w:eastAsia="Calibri"/>
          <w:b/>
          <w:bCs/>
          <w:sz w:val="24"/>
          <w:szCs w:val="24"/>
        </w:rPr>
        <w:t xml:space="preserve">2.2.2. Требования к </w:t>
      </w:r>
      <w:bookmarkEnd w:id="29"/>
      <w:r>
        <w:rPr>
          <w:rFonts w:eastAsia="Calibri"/>
          <w:b/>
          <w:bCs/>
          <w:sz w:val="24"/>
          <w:szCs w:val="24"/>
        </w:rPr>
        <w:t>качеству услуг</w:t>
      </w:r>
      <w:bookmarkEnd w:id="26"/>
      <w:bookmarkEnd w:id="27"/>
      <w:bookmarkEnd w:id="28"/>
    </w:p>
    <w:p>
      <w:pPr>
        <w:pStyle w:val="Normal"/>
        <w:widowControl w:val="false"/>
        <w:suppressAutoHyphens w:val="false"/>
        <w:jc w:val="both"/>
        <w:rPr/>
      </w:pPr>
      <w:r>
        <w:rPr>
          <w:rStyle w:val="Style"/>
          <w:rFonts w:eastAsia="Calibri"/>
          <w:b/>
          <w:bCs/>
          <w:sz w:val="24"/>
          <w:szCs w:val="24"/>
        </w:rPr>
        <w:t xml:space="preserve">Наименование услуги: </w:t>
      </w:r>
      <w:r>
        <w:rPr>
          <w:rStyle w:val="Style16"/>
          <w:rFonts w:eastAsia="Geneva"/>
          <w:b w:val="false"/>
          <w:bCs/>
          <w:i w:val="false"/>
          <w:color w:val="000000"/>
          <w:sz w:val="24"/>
          <w:szCs w:val="24"/>
          <w:shd w:fill="auto" w:val="clear"/>
        </w:rPr>
        <w:t>Услуги по прохождению периодического медицинского осмотра сотрудников Кабардино-Балкарского транспортного участка Южного филиала АО «ТК РусГидро»</w:t>
      </w:r>
    </w:p>
    <w:p>
      <w:pPr>
        <w:pStyle w:val="Normal"/>
        <w:widowControl w:val="false"/>
        <w:suppressAutoHyphens w:val="false"/>
        <w:rPr/>
      </w:pPr>
      <w:bookmarkStart w:id="31" w:name="__RefHeading___Toc5566_3873752112"/>
      <w:bookmarkStart w:id="32" w:name="_Toc143506449"/>
      <w:bookmarkStart w:id="33" w:name="_Toc135933380"/>
      <w:bookmarkStart w:id="34" w:name="_Toc161665212"/>
      <w:bookmarkEnd w:id="31"/>
      <w:r>
        <w:rPr>
          <w:rStyle w:val="Style"/>
          <w:b/>
          <w:bCs/>
          <w:kern w:val="2"/>
          <w:sz w:val="24"/>
          <w:szCs w:val="24"/>
        </w:rPr>
        <w:t>Таблица 4. Требования к качеству услуг</w:t>
      </w:r>
      <w:bookmarkEnd w:id="32"/>
      <w:bookmarkEnd w:id="33"/>
      <w:bookmarkEnd w:id="34"/>
    </w:p>
    <w:tbl>
      <w:tblPr>
        <w:tblW w:w="996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1892"/>
        <w:gridCol w:w="2962"/>
        <w:gridCol w:w="1582"/>
        <w:gridCol w:w="1395"/>
        <w:gridCol w:w="1417"/>
      </w:tblGrid>
      <w:tr>
        <w:trPr/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rFonts w:eastAsia="Calibri"/>
                <w:b/>
                <w:bCs/>
                <w:sz w:val="20"/>
                <w:szCs w:val="20"/>
              </w:rPr>
              <w:t xml:space="preserve">№ </w:t>
            </w:r>
            <w:r>
              <w:rPr>
                <w:rStyle w:val="Style"/>
                <w:rFonts w:eastAsia="Calibri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rFonts w:eastAsia="Calibri"/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rFonts w:eastAsia="Calibri"/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rFonts w:eastAsia="Calibri"/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rFonts w:eastAsia="Calibri"/>
                <w:b/>
                <w:bCs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7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8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9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rFonts w:eastAsia="Calibri"/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rFonts w:eastAsia="Calibri"/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bookmarkStart w:id="35" w:name="_Toc53499667"/>
            <w:r>
              <w:rPr>
                <w:rStyle w:val="Style"/>
                <w:rFonts w:eastAsia="Calibri"/>
                <w:b/>
                <w:bCs/>
                <w:sz w:val="20"/>
                <w:szCs w:val="20"/>
              </w:rPr>
              <w:t>1</w:t>
            </w:r>
            <w:bookmarkEnd w:id="35"/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rFonts w:eastAsia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rFonts w:eastAsia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rFonts w:eastAsia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rFonts w:eastAsia="Calibri"/>
                <w:b/>
                <w:bCs/>
                <w:sz w:val="20"/>
                <w:szCs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8"/>
              </w:numPr>
              <w:suppressAutoHyphens w:val="false"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Style w:val="Style"/>
                <w:rFonts w:eastAsia="Calibri"/>
                <w:b/>
                <w:bCs/>
                <w:sz w:val="20"/>
                <w:szCs w:val="20"/>
              </w:rPr>
              <w:t>Требования к оказанию услуг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Style w:val="Style"/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Style w:val="Style"/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Style w:val="Style"/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</w:tr>
      <w:tr>
        <w:trPr>
          <w:trHeight w:val="1760" w:hRule="atLeast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60"/>
              <w:rPr/>
            </w:pPr>
            <w:r>
              <w:rPr>
                <w:rStyle w:val="Style"/>
                <w:sz w:val="20"/>
                <w:szCs w:val="20"/>
              </w:rPr>
              <w:t>1.1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Style w:val="Style"/>
                <w:rFonts w:eastAsia="Calibri"/>
                <w:bCs/>
                <w:sz w:val="20"/>
                <w:szCs w:val="20"/>
              </w:rPr>
              <w:t>Оказание услуг исполнителем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tLeast" w:line="240"/>
              <w:rPr/>
            </w:pPr>
            <w:r>
              <w:rPr>
                <w:rStyle w:val="Style"/>
                <w:bCs/>
                <w:color w:val="000000"/>
                <w:sz w:val="20"/>
                <w:szCs w:val="20"/>
              </w:rPr>
              <w:t>Исполнитель (медицинская организация) независимо от формы собственности, должен иметь лицензию на проведение предварительных и периодических медицинских осмотров, а также на экспертизу профессиональной пригодности в соответствии с действующими нормативными правовыми актами.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Style w:val="Style"/>
                <w:rFonts w:eastAsia="Calibri"/>
                <w:sz w:val="20"/>
                <w:szCs w:val="20"/>
              </w:rPr>
              <w:t>Согласие с требованием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before="60" w:after="6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false"/>
              <w:spacing w:before="60" w:after="6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false"/>
              <w:spacing w:before="60" w:after="6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Копия выписки из реестра лицензий Росздравнад-зора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Style w:val="Style"/>
                <w:rFonts w:eastAsia="Calibri"/>
                <w:sz w:val="20"/>
                <w:szCs w:val="20"/>
              </w:rPr>
              <w:t>-</w:t>
            </w:r>
          </w:p>
        </w:tc>
      </w:tr>
      <w:tr>
        <w:trPr>
          <w:trHeight w:val="724" w:hRule="atLeast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60"/>
              <w:rPr/>
            </w:pPr>
            <w:r>
              <w:rPr>
                <w:rStyle w:val="Style"/>
                <w:b/>
                <w:sz w:val="24"/>
                <w:szCs w:val="24"/>
              </w:rPr>
              <w:t>2.</w:t>
            </w:r>
          </w:p>
        </w:tc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20" w:after="0"/>
              <w:jc w:val="both"/>
              <w:rPr/>
            </w:pPr>
            <w:r>
              <w:rPr>
                <w:rStyle w:val="Style"/>
                <w:rFonts w:eastAsia="Calibri"/>
                <w:b/>
                <w:bCs/>
                <w:sz w:val="20"/>
                <w:szCs w:val="20"/>
              </w:rPr>
              <w:t>Требования к результатам услуг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Style w:val="Style"/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Style w:val="Style"/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Style w:val="Style"/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</w:tr>
      <w:tr>
        <w:trPr>
          <w:trHeight w:val="724" w:hRule="atLeast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60"/>
              <w:rPr/>
            </w:pPr>
            <w:r>
              <w:rPr>
                <w:rStyle w:val="Style"/>
                <w:sz w:val="20"/>
                <w:szCs w:val="20"/>
              </w:rPr>
              <w:t>2.1.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Style w:val="Style"/>
                <w:rFonts w:eastAsia="Calibri"/>
                <w:bCs/>
                <w:sz w:val="20"/>
                <w:szCs w:val="20"/>
              </w:rPr>
              <w:t>Результат  оказания услуг исполнителем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>
                <w:rStyle w:val="Style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Style w:val="Style"/>
                <w:bCs/>
                <w:color w:val="000000"/>
                <w:sz w:val="18"/>
                <w:szCs w:val="18"/>
              </w:rPr>
              <w:t>Исполнитель обязан предоставить заключительные акты и индивидуальные медицинские заключения работников в течении одного месяца после прохождения периодических медицинских осмотров.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Style w:val="Style"/>
                <w:rFonts w:eastAsia="Calibri"/>
                <w:sz w:val="20"/>
                <w:szCs w:val="20"/>
              </w:rPr>
              <w:t>Согласие с требованием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Style w:val="Style"/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before="60" w:after="60"/>
              <w:jc w:val="center"/>
              <w:rPr/>
            </w:pPr>
            <w:r>
              <w:rPr>
                <w:rStyle w:val="Style"/>
                <w:rFonts w:eastAsia="Calibri"/>
                <w:sz w:val="20"/>
                <w:szCs w:val="20"/>
              </w:rPr>
              <w:t>-</w:t>
            </w:r>
          </w:p>
        </w:tc>
      </w:tr>
      <w:tr>
        <w:trPr>
          <w:trHeight w:val="364" w:hRule="atLeast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60"/>
              <w:rPr/>
            </w:pPr>
            <w:r>
              <w:rPr>
                <w:rStyle w:val="Style"/>
                <w:b/>
                <w:sz w:val="24"/>
                <w:szCs w:val="24"/>
              </w:rPr>
              <w:t>3.</w:t>
            </w:r>
          </w:p>
        </w:tc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1"/>
              <w:widowControl w:val="false"/>
              <w:suppressAutoHyphens w:val="false"/>
              <w:ind w:left="0" w:right="0" w:hanging="0"/>
              <w:jc w:val="both"/>
              <w:rPr/>
            </w:pPr>
            <w:r>
              <w:rPr>
                <w:rStyle w:val="Style"/>
                <w:b/>
                <w:bCs/>
                <w:sz w:val="20"/>
                <w:szCs w:val="20"/>
              </w:rPr>
              <w:t>Требования к соблюдению положений и иной обязательной для исполнения документации, определяемой видами услуг (помимо указанных в других разделах ТТ)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</w:tr>
      <w:tr>
        <w:trPr>
          <w:trHeight w:val="2271" w:hRule="atLeast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60"/>
              <w:rPr/>
            </w:pPr>
            <w:r>
              <w:rPr>
                <w:rStyle w:val="Style"/>
                <w:sz w:val="20"/>
                <w:szCs w:val="20"/>
              </w:rPr>
              <w:t>3.1.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spacing w:before="40" w:after="0"/>
              <w:rPr/>
            </w:pPr>
            <w:r>
              <w:rPr>
                <w:rStyle w:val="Style"/>
                <w:rFonts w:eastAsia="Calibri"/>
                <w:sz w:val="20"/>
                <w:szCs w:val="20"/>
              </w:rPr>
              <w:t>Соблюдение положений и иной обязательной для исполнения документации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both"/>
              <w:rPr/>
            </w:pPr>
            <w:r>
              <w:rPr>
                <w:rStyle w:val="Style"/>
                <w:bCs/>
                <w:color w:val="000000"/>
                <w:sz w:val="18"/>
                <w:szCs w:val="18"/>
              </w:rPr>
              <w:t xml:space="preserve">Услуги оказываются в соответствии с </w:t>
            </w:r>
            <w:r>
              <w:rPr>
                <w:rStyle w:val="Style"/>
                <w:bCs/>
                <w:color w:val="22272F"/>
                <w:sz w:val="18"/>
                <w:szCs w:val="18"/>
                <w:shd w:fill="FFFFFF" w:val="clear"/>
              </w:rPr>
              <w:t>Приказом Минздрава России от 28.01.2021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rFonts w:eastAsia="Calibri"/>
                <w:sz w:val="20"/>
                <w:szCs w:val="20"/>
              </w:rPr>
              <w:t>Согласие с требованием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rFonts w:eastAsia="Calibri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/>
            </w:pPr>
            <w:r>
              <w:rPr>
                <w:rStyle w:val="Style"/>
                <w:rFonts w:eastAsia="Calibri"/>
                <w:sz w:val="20"/>
                <w:szCs w:val="20"/>
              </w:rPr>
              <w:t>-</w:t>
            </w:r>
          </w:p>
        </w:tc>
      </w:tr>
    </w:tbl>
    <w:p>
      <w:pPr>
        <w:pStyle w:val="Heading1"/>
        <w:keepNext w:val="false"/>
        <w:widowControl w:val="false"/>
        <w:numPr>
          <w:ilvl w:val="0"/>
          <w:numId w:val="29"/>
        </w:numPr>
        <w:suppressAutoHyphens w:val="false"/>
        <w:ind w:left="0" w:right="0" w:firstLine="709"/>
        <w:jc w:val="center"/>
        <w:outlineLvl w:val="9"/>
        <w:rPr/>
      </w:pPr>
      <w:bookmarkStart w:id="36" w:name="_Toc54646411_Копия_1"/>
      <w:bookmarkStart w:id="37" w:name="_Toc157783762_Копия_1"/>
      <w:bookmarkStart w:id="38" w:name="_Toc161665213"/>
      <w:bookmarkStart w:id="39" w:name="_Toc53393312_Копия_1"/>
      <w:r>
        <w:rPr/>
        <w:t>Требования к документации по ценообразованию</w:t>
      </w:r>
      <w:bookmarkEnd w:id="39"/>
      <w:r>
        <w:rPr/>
        <w:t xml:space="preserve"> на этапе закупки</w:t>
      </w:r>
      <w:bookmarkEnd w:id="36"/>
      <w:bookmarkEnd w:id="37"/>
      <w:bookmarkEnd w:id="38"/>
    </w:p>
    <w:p>
      <w:pPr>
        <w:pStyle w:val="Normal"/>
        <w:widowControl w:val="false"/>
        <w:suppressAutoHyphens w:val="false"/>
        <w:jc w:val="both"/>
        <w:rPr/>
      </w:pPr>
      <w:r>
        <w:rPr>
          <w:rStyle w:val="Style"/>
          <w:sz w:val="24"/>
          <w:szCs w:val="24"/>
        </w:rPr>
        <w:t>3.1. Цена на услуги должна включать в себя все расходы Исполнителя, связанные с исполнением договора и быть выражена в рублях Российской Федерации.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426" w:leader="none"/>
        </w:tabs>
        <w:suppressAutoHyphens w:val="false"/>
        <w:spacing w:before="60" w:after="0"/>
        <w:jc w:val="both"/>
        <w:rPr/>
      </w:pPr>
      <w:r>
        <w:rPr>
          <w:rStyle w:val="Style16"/>
          <w:b w:val="false"/>
          <w:bCs/>
          <w:i w:val="false"/>
          <w:sz w:val="24"/>
          <w:szCs w:val="24"/>
          <w:shd w:fill="auto" w:val="clear"/>
        </w:rPr>
        <w:t>3.2. Цена оказания услуг остается фиксированной на весь срок действия договора и не подлежит изменению.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uppressAutoHyphens w:val="false"/>
        <w:spacing w:before="60" w:after="0"/>
        <w:jc w:val="both"/>
        <w:rPr/>
      </w:pPr>
      <w:r>
        <w:rPr>
          <w:rStyle w:val="Style"/>
          <w:bCs/>
          <w:sz w:val="22"/>
          <w:szCs w:val="22"/>
        </w:rPr>
        <w:t xml:space="preserve">3.3.  </w:t>
      </w:r>
      <w:r>
        <w:rPr>
          <w:rStyle w:val="Style"/>
          <w:bCs/>
          <w:sz w:val="24"/>
          <w:szCs w:val="24"/>
        </w:rPr>
        <w:t>Дополнительные документы по ценообразованию (сметная документация) в состав заявки Участника не включаются.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uppressAutoHyphens w:val="false"/>
        <w:spacing w:before="60" w:after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426" w:leader="none"/>
        </w:tabs>
        <w:suppressAutoHyphens w:val="false"/>
        <w:spacing w:before="60"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426" w:leader="none"/>
        </w:tabs>
        <w:suppressAutoHyphens w:val="false"/>
        <w:spacing w:before="60"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426" w:leader="none"/>
        </w:tabs>
        <w:suppressAutoHyphens w:val="false"/>
        <w:spacing w:before="60"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Spacing"/>
        <w:tabs>
          <w:tab w:val="clear" w:pos="708"/>
          <w:tab w:val="left" w:pos="567" w:leader="none"/>
        </w:tabs>
        <w:spacing w:before="0" w:after="16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Ответственный исполнитель</w:t>
      </w:r>
    </w:p>
    <w:p>
      <w:pPr>
        <w:pStyle w:val="NoSpacing"/>
        <w:tabs>
          <w:tab w:val="clear" w:pos="708"/>
          <w:tab w:val="left" w:pos="567" w:leader="none"/>
        </w:tabs>
        <w:spacing w:before="0" w:after="16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 xml:space="preserve">Начальник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 xml:space="preserve">Кабардино-Балкарского </w:t>
      </w:r>
    </w:p>
    <w:p>
      <w:pPr>
        <w:pStyle w:val="NoSpacing"/>
        <w:tabs>
          <w:tab w:val="clear" w:pos="708"/>
          <w:tab w:val="left" w:pos="567" w:leader="none"/>
        </w:tabs>
        <w:spacing w:before="0" w:after="16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F1115"/>
          <w:spacing w:val="0"/>
          <w:sz w:val="24"/>
          <w:szCs w:val="24"/>
        </w:rPr>
        <w:t>транспортного участка</w:t>
      </w:r>
      <w:r>
        <w:rPr>
          <w:rFonts w:cs="Times New Roman" w:ascii="Times New Roman" w:hAnsi="Times New Roman"/>
          <w:sz w:val="24"/>
        </w:rPr>
        <w:t xml:space="preserve">                                                                                            А.Н. Токмаков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lang w:eastAsia="zh-CN"/>
        </w:rPr>
      </w:pPr>
      <w:r>
        <w:rPr>
          <w:rFonts w:eastAsia="Times New Roman" w:cs="Times New Roman"/>
          <w:sz w:val="24"/>
          <w:lang w:eastAsia="zh-CN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lang w:eastAsia="zh-CN"/>
        </w:rPr>
      </w:pPr>
      <w:r>
        <w:rPr>
          <w:rFonts w:eastAsia="Times New Roman" w:cs="Times New Roman"/>
          <w:sz w:val="24"/>
          <w:lang w:eastAsia="zh-CN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lang w:eastAsia="zh-CN"/>
        </w:rPr>
      </w:pPr>
      <w:r>
        <w:rPr>
          <w:rFonts w:eastAsia="Times New Roman" w:cs="Times New Roman"/>
          <w:sz w:val="24"/>
          <w:lang w:eastAsia="zh-CN"/>
        </w:rPr>
        <w:t>Технический куратор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lang w:eastAsia="zh-CN"/>
        </w:rPr>
      </w:pPr>
      <w:r>
        <w:rPr>
          <w:rFonts w:eastAsia="Times New Roman" w:cs="Times New Roman"/>
          <w:sz w:val="24"/>
          <w:lang w:eastAsia="zh-CN"/>
        </w:rPr>
        <w:t>Ведущий инженер по охране труда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4"/>
          <w:lang w:eastAsia="zh-CN"/>
        </w:rPr>
      </w:pPr>
      <w:r>
        <w:rPr>
          <w:rFonts w:eastAsia="Times New Roman" w:cs="Times New Roman"/>
          <w:sz w:val="24"/>
          <w:lang w:eastAsia="zh-CN"/>
        </w:rPr>
        <w:t>и безопасности движения                                                                                       А.А. Васильева</w:t>
      </w:r>
    </w:p>
    <w:p>
      <w:pPr>
        <w:pStyle w:val="Normal"/>
        <w:widowControl w:val="false"/>
        <w:suppressAutoHyphens w:val="false"/>
        <w:jc w:val="both"/>
        <w:rPr/>
      </w:pPr>
      <w:bookmarkStart w:id="40" w:name="_Toc51339699_Копия_1"/>
      <w:bookmarkStart w:id="41" w:name="_Toc46743519_Копия_1"/>
      <w:r>
        <w:rPr>
          <w:rStyle w:val="Style16"/>
          <w:b w:val="false"/>
          <w:i w:val="false"/>
          <w:sz w:val="24"/>
          <w:szCs w:val="24"/>
          <w:shd w:fill="auto" w:val="clear"/>
        </w:rPr>
        <w:t xml:space="preserve">                                                                                   </w:t>
      </w:r>
      <w:bookmarkEnd w:id="40"/>
      <w:bookmarkEnd w:id="41"/>
    </w:p>
    <w:sectPr>
      <w:headerReference w:type="default" r:id="rId2"/>
      <w:headerReference w:type="first" r:id="rId3"/>
      <w:type w:val="nextPage"/>
      <w:pgSz w:w="11906" w:h="16838"/>
      <w:pgMar w:left="1134" w:right="851" w:gutter="0" w:header="680" w:top="1134" w:footer="0" w:bottom="720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13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673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4833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553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decimal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7"/>
    <w:lvlOverride w:ilvl="0">
      <w:startOverride w:val="1"/>
    </w:lvlOverride>
  </w:num>
  <w:num w:numId="20">
    <w:abstractNumId w:val="7"/>
  </w:num>
  <w:num w:numId="21">
    <w:abstractNumId w:val="7"/>
  </w:num>
  <w:num w:numId="22">
    <w:abstractNumId w:val="7"/>
  </w:num>
  <w:num w:numId="23">
    <w:abstractNumId w:val="11"/>
    <w:lvlOverride w:ilvl="0">
      <w:startOverride w:val="1"/>
    </w:lvlOverride>
  </w:num>
  <w:num w:numId="24">
    <w:abstractNumId w:val="7"/>
  </w:num>
  <w:num w:numId="25">
    <w:abstractNumId w:val="7"/>
  </w:num>
  <w:num w:numId="26">
    <w:abstractNumId w:val="7"/>
  </w:num>
  <w:num w:numId="27">
    <w:abstractNumId w:val="15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7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8"/>
      <w:sz w:val="28"/>
      <w:szCs w:val="28"/>
      <w:u w:val="none"/>
      <w:shd w:fill="auto" w:val="clear"/>
      <w:vertAlign w:val="baseline"/>
      <w:em w:val="none"/>
      <w:lang w:val="ru-RU" w:eastAsia="ru-RU" w:bidi="ar-SA"/>
    </w:rPr>
  </w:style>
  <w:style w:type="paragraph" w:styleId="Heading1">
    <w:name w:val="Heading 1"/>
    <w:basedOn w:val="Heading3"/>
    <w:next w:val="Normal"/>
    <w:qFormat/>
    <w:pPr>
      <w:numPr>
        <w:ilvl w:val="0"/>
        <w:numId w:val="0"/>
      </w:numPr>
      <w:suppressAutoHyphens w:val="true"/>
      <w:ind w:left="1224" w:right="0" w:hanging="504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qFormat/>
    <w:pPr>
      <w:suppressAutoHyphens w:val="true"/>
      <w:outlineLvl w:val="1"/>
    </w:pPr>
    <w:rPr/>
  </w:style>
  <w:style w:type="paragraph" w:styleId="Heading3">
    <w:name w:val="Heading 3"/>
    <w:basedOn w:val="Normal"/>
    <w:next w:val="Normal"/>
    <w:autoRedefine/>
    <w:qFormat/>
    <w:pPr>
      <w:keepNext w:val="true"/>
      <w:numPr>
        <w:ilvl w:val="0"/>
        <w:numId w:val="0"/>
      </w:numPr>
      <w:tabs>
        <w:tab w:val="clear" w:pos="708"/>
        <w:tab w:val="left" w:pos="1224" w:leader="none"/>
      </w:tabs>
      <w:suppressAutoHyphens w:val="true"/>
      <w:spacing w:before="120" w:after="60"/>
      <w:ind w:left="1224" w:right="0" w:hanging="504"/>
      <w:outlineLvl w:val="2"/>
    </w:pPr>
    <w:rPr>
      <w:rFonts w:eastAsia="Calibri"/>
      <w:b/>
      <w:sz w:val="24"/>
      <w:szCs w:val="24"/>
    </w:rPr>
  </w:style>
  <w:style w:type="paragraph" w:styleId="Heading4">
    <w:name w:val="Heading 4"/>
    <w:basedOn w:val="Heading3"/>
    <w:next w:val="Normal"/>
    <w:qFormat/>
    <w:pPr>
      <w:numPr>
        <w:ilvl w:val="0"/>
        <w:numId w:val="0"/>
      </w:numPr>
      <w:suppressAutoHyphens w:val="true"/>
      <w:ind w:left="1224" w:right="0" w:hanging="504"/>
      <w:outlineLvl w:val="3"/>
    </w:pPr>
    <w:rPr>
      <w:bCs/>
    </w:rPr>
  </w:style>
  <w:style w:type="paragraph" w:styleId="Heading5">
    <w:name w:val="Heading 5"/>
    <w:basedOn w:val="Normal"/>
    <w:next w:val="Normal"/>
    <w:qFormat/>
    <w:pPr>
      <w:numPr>
        <w:ilvl w:val="0"/>
        <w:numId w:val="0"/>
      </w:numPr>
      <w:suppressAutoHyphens w:val="true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5"/>
        <w:numId w:val="1"/>
      </w:numPr>
      <w:suppressAutoHyphens w:val="true"/>
      <w:spacing w:before="200" w:after="0"/>
      <w:outlineLvl w:val="5"/>
    </w:pPr>
    <w:rPr>
      <w:rFonts w:ascii="Cambria" w:hAnsi="Cambria" w:eastAsia="Cambria" w:cs="Cambria"/>
      <w:i/>
      <w:iCs/>
      <w:color w:val="243F60"/>
      <w:sz w:val="20"/>
      <w:szCs w:val="20"/>
    </w:rPr>
  </w:style>
  <w:style w:type="paragraph" w:styleId="Heading7">
    <w:name w:val="Heading 7"/>
    <w:basedOn w:val="Normal"/>
    <w:next w:val="Normal"/>
    <w:qFormat/>
    <w:pPr>
      <w:keepNext w:val="true"/>
      <w:keepLines/>
      <w:numPr>
        <w:ilvl w:val="6"/>
        <w:numId w:val="1"/>
      </w:numPr>
      <w:suppressAutoHyphens w:val="true"/>
      <w:spacing w:before="200" w:after="0"/>
      <w:outlineLvl w:val="6"/>
    </w:pPr>
    <w:rPr>
      <w:rFonts w:ascii="Cambria" w:hAnsi="Cambria" w:eastAsia="Cambria" w:cs="Cambria"/>
      <w:i/>
      <w:iCs/>
      <w:color w:val="404040"/>
      <w:sz w:val="20"/>
      <w:szCs w:val="20"/>
    </w:rPr>
  </w:style>
  <w:style w:type="paragraph" w:styleId="Heading8">
    <w:name w:val="Heading 8"/>
    <w:basedOn w:val="Normal"/>
    <w:next w:val="Normal"/>
    <w:qFormat/>
    <w:pPr>
      <w:keepNext w:val="true"/>
      <w:keepLines/>
      <w:numPr>
        <w:ilvl w:val="7"/>
        <w:numId w:val="1"/>
      </w:numPr>
      <w:suppressAutoHyphens w:val="true"/>
      <w:spacing w:before="200" w:after="0"/>
      <w:outlineLvl w:val="7"/>
    </w:pPr>
    <w:rPr>
      <w:rFonts w:ascii="Cambria" w:hAnsi="Cambria" w:eastAsia="Cambria" w:cs="Cambria"/>
      <w:color w:val="4F81BD"/>
      <w:sz w:val="20"/>
      <w:szCs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uppressAutoHyphens w:val="true"/>
      <w:spacing w:before="240" w:after="60"/>
      <w:outlineLvl w:val="8"/>
    </w:pPr>
    <w:rPr>
      <w:rFonts w:ascii="Arial" w:hAnsi="Arial" w:eastAsia="Arial" w:cs="Arial"/>
      <w:sz w:val="22"/>
      <w:szCs w:val="22"/>
    </w:rPr>
  </w:style>
  <w:style w:type="character" w:styleId="Style">
    <w:name w:val="Основной шрифт абзаца"/>
    <w:qFormat/>
    <w:rPr/>
  </w:style>
  <w:style w:type="character" w:styleId="Style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Style"/>
    <w:rPr/>
  </w:style>
  <w:style w:type="character" w:styleId="Hyperlink">
    <w:name w:val="Hyperlink"/>
    <w:rPr>
      <w:color w:val="0000FF"/>
      <w:u w:val="single"/>
    </w:rPr>
  </w:style>
  <w:style w:type="character" w:styleId="Style2">
    <w:name w:val="Знак примечания"/>
    <w:qFormat/>
    <w:rPr>
      <w:sz w:val="16"/>
      <w:szCs w:val="16"/>
    </w:rPr>
  </w:style>
  <w:style w:type="character" w:styleId="Style3">
    <w:name w:val="Строгий"/>
    <w:qFormat/>
    <w:rPr>
      <w:b/>
      <w:bCs/>
    </w:rPr>
  </w:style>
  <w:style w:type="character" w:styleId="6">
    <w:name w:val="Заголовок 6 Знак"/>
    <w:qFormat/>
    <w:rPr>
      <w:rFonts w:ascii="Cambria" w:hAnsi="Cambria" w:eastAsia="Cambria" w:cs="Cambria"/>
      <w:i/>
      <w:iCs/>
      <w:color w:val="243F60"/>
    </w:rPr>
  </w:style>
  <w:style w:type="character" w:styleId="7">
    <w:name w:val="Заголовок 7 Знак"/>
    <w:qFormat/>
    <w:rPr>
      <w:rFonts w:ascii="Cambria" w:hAnsi="Cambria" w:eastAsia="Cambria" w:cs="Cambria"/>
      <w:i/>
      <w:iCs/>
      <w:color w:val="404040"/>
    </w:rPr>
  </w:style>
  <w:style w:type="character" w:styleId="8">
    <w:name w:val="Заголовок 8 Знак"/>
    <w:qFormat/>
    <w:rPr>
      <w:rFonts w:ascii="Cambria" w:hAnsi="Cambria" w:eastAsia="Cambria" w:cs="Cambria"/>
      <w:color w:val="4F81BD"/>
    </w:rPr>
  </w:style>
  <w:style w:type="character" w:styleId="1">
    <w:name w:val="Заголовок 1 Знак"/>
    <w:qFormat/>
    <w:rPr>
      <w:rFonts w:eastAsia="Calibri"/>
      <w:b/>
      <w:sz w:val="28"/>
      <w:szCs w:val="28"/>
    </w:rPr>
  </w:style>
  <w:style w:type="character" w:styleId="2">
    <w:name w:val="Заголовок 2 Знак"/>
    <w:qFormat/>
    <w:rPr>
      <w:rFonts w:eastAsia="Calibri"/>
      <w:b/>
      <w:bCs/>
      <w:sz w:val="24"/>
      <w:szCs w:val="24"/>
    </w:rPr>
  </w:style>
  <w:style w:type="character" w:styleId="3">
    <w:name w:val="Заголовок 3 Знак"/>
    <w:qFormat/>
    <w:rPr>
      <w:rFonts w:eastAsia="Calibri"/>
      <w:b/>
      <w:sz w:val="24"/>
      <w:szCs w:val="24"/>
    </w:rPr>
  </w:style>
  <w:style w:type="character" w:styleId="4">
    <w:name w:val="Заголовок 4 Знак"/>
    <w:qFormat/>
    <w:rPr>
      <w:rFonts w:eastAsia="Calibri"/>
      <w:b/>
      <w:bCs/>
      <w:sz w:val="24"/>
      <w:szCs w:val="24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9">
    <w:name w:val="Заголовок 9 Знак"/>
    <w:qFormat/>
    <w:rPr>
      <w:rFonts w:ascii="Arial" w:hAnsi="Arial" w:eastAsia="Arial" w:cs="Arial"/>
      <w:sz w:val="22"/>
      <w:szCs w:val="22"/>
    </w:rPr>
  </w:style>
  <w:style w:type="character" w:styleId="Style4">
    <w:name w:val="Название Знак"/>
    <w:qFormat/>
    <w:rPr>
      <w:sz w:val="28"/>
    </w:rPr>
  </w:style>
  <w:style w:type="character" w:styleId="Style5">
    <w:name w:val="Подзаголовок Знак"/>
    <w:qFormat/>
    <w:rPr>
      <w:rFonts w:ascii="Cambria" w:hAnsi="Cambria" w:eastAsia="Cambria" w:cs="Cambria"/>
      <w:i/>
      <w:iCs/>
      <w:color w:val="4F81BD"/>
      <w:spacing w:val="15"/>
      <w:sz w:val="24"/>
      <w:szCs w:val="24"/>
    </w:rPr>
  </w:style>
  <w:style w:type="character" w:styleId="Emphasis">
    <w:name w:val="Emphasis"/>
    <w:qFormat/>
    <w:rPr>
      <w:i/>
      <w:iCs/>
    </w:rPr>
  </w:style>
  <w:style w:type="character" w:styleId="21">
    <w:name w:val="Цитата 2 Знак"/>
    <w:qFormat/>
    <w:rPr>
      <w:rFonts w:ascii="Calibri" w:hAnsi="Calibri" w:eastAsia="Calibri" w:cs="Calibri"/>
      <w:i/>
      <w:iCs/>
      <w:color w:val="000000"/>
    </w:rPr>
  </w:style>
  <w:style w:type="character" w:styleId="Style6">
    <w:name w:val="Выделенная цитата Знак"/>
    <w:qFormat/>
    <w:rPr>
      <w:rFonts w:ascii="Calibri" w:hAnsi="Calibri" w:eastAsia="Calibri" w:cs="Calibri"/>
      <w:b/>
      <w:bCs/>
      <w:i/>
      <w:iCs/>
      <w:color w:val="4F81BD"/>
    </w:rPr>
  </w:style>
  <w:style w:type="character" w:styleId="Style7">
    <w:name w:val="Слабое выделение"/>
    <w:qFormat/>
    <w:rPr>
      <w:i/>
      <w:iCs/>
      <w:color w:val="808080"/>
    </w:rPr>
  </w:style>
  <w:style w:type="character" w:styleId="Style8">
    <w:name w:val="Сильное выделение"/>
    <w:qFormat/>
    <w:rPr>
      <w:b/>
      <w:bCs/>
      <w:i/>
      <w:iCs/>
      <w:color w:val="4F81BD"/>
    </w:rPr>
  </w:style>
  <w:style w:type="character" w:styleId="Style9">
    <w:name w:val="Слабая ссылка"/>
    <w:qFormat/>
    <w:rPr>
      <w:smallCaps/>
      <w:color w:val="C0504D"/>
      <w:u w:val="single"/>
    </w:rPr>
  </w:style>
  <w:style w:type="character" w:styleId="Style10">
    <w:name w:val="Сильная ссылка"/>
    <w:qFormat/>
    <w:rPr>
      <w:b/>
      <w:bCs/>
      <w:smallCaps/>
      <w:color w:val="C0504D"/>
      <w:spacing w:val="5"/>
      <w:u w:val="single"/>
    </w:rPr>
  </w:style>
  <w:style w:type="character" w:styleId="Style11">
    <w:name w:val="Название книги"/>
    <w:qFormat/>
    <w:rPr>
      <w:b/>
      <w:bCs/>
      <w:smallCaps/>
      <w:spacing w:val="5"/>
    </w:rPr>
  </w:style>
  <w:style w:type="character" w:styleId="Style12">
    <w:name w:val="Электронная подпись Знак"/>
    <w:qFormat/>
    <w:rPr>
      <w:rFonts w:eastAsia="Calibri"/>
      <w:sz w:val="24"/>
      <w:szCs w:val="24"/>
    </w:rPr>
  </w:style>
  <w:style w:type="character" w:styleId="11">
    <w:name w:val="Подпункт Знак1"/>
    <w:qFormat/>
    <w:rPr>
      <w:sz w:val="28"/>
    </w:rPr>
  </w:style>
  <w:style w:type="character" w:styleId="Style13">
    <w:name w:val="Текст сноски Знак"/>
    <w:qFormat/>
    <w:rPr/>
  </w:style>
  <w:style w:type="character" w:styleId="Style14">
    <w:name w:val="Основной текст Знак"/>
    <w:qFormat/>
    <w:rPr>
      <w:sz w:val="28"/>
      <w:szCs w:val="28"/>
    </w:rPr>
  </w:style>
  <w:style w:type="character" w:styleId="Blk">
    <w:name w:val="blk"/>
    <w:qFormat/>
    <w:rPr/>
  </w:style>
  <w:style w:type="character" w:styleId="Style15">
    <w:name w:val="Абзац списка Знак"/>
    <w:qFormat/>
    <w:rPr>
      <w:rFonts w:eastAsia="Calibri"/>
      <w:sz w:val="24"/>
      <w:szCs w:val="24"/>
    </w:rPr>
  </w:style>
  <w:style w:type="character" w:styleId="Style16">
    <w:name w:val="комментарий"/>
    <w:qFormat/>
    <w:rPr>
      <w:b/>
      <w:i/>
      <w:shd w:fill="FFFF99" w:val="clear"/>
    </w:rPr>
  </w:style>
  <w:style w:type="character" w:styleId="Style17">
    <w:name w:val="Подподпункт Знак"/>
    <w:qFormat/>
    <w:rPr>
      <w:sz w:val="26"/>
      <w:szCs w:val="26"/>
    </w:rPr>
  </w:style>
  <w:style w:type="character" w:styleId="31">
    <w:name w:val="УРОВЕНЬ_Абзац_тип3 Знак"/>
    <w:qFormat/>
    <w:rPr>
      <w:rFonts w:eastAsia="Calibri"/>
      <w:sz w:val="26"/>
      <w:szCs w:val="28"/>
      <w:lang w:eastAsia="en-US"/>
    </w:rPr>
  </w:style>
  <w:style w:type="character" w:styleId="Style18">
    <w:name w:val="Верхний колонтитул Знак"/>
    <w:qFormat/>
    <w:rPr>
      <w:sz w:val="24"/>
      <w:szCs w:val="24"/>
    </w:rPr>
  </w:style>
  <w:style w:type="character" w:styleId="Style19">
    <w:name w:val="Текст примечания Знак"/>
    <w:qFormat/>
    <w:rPr/>
  </w:style>
  <w:style w:type="character" w:styleId="Style20">
    <w:name w:val="Текст концевой сноски Знак"/>
    <w:basedOn w:val="Style"/>
    <w:qFormat/>
    <w:rPr/>
  </w:style>
  <w:style w:type="character" w:styleId="Style2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>
    <w:name w:val="Пункт2 Знак"/>
    <w:qFormat/>
    <w:rPr>
      <w:b/>
      <w:sz w:val="28"/>
    </w:rPr>
  </w:style>
  <w:style w:type="character" w:styleId="12">
    <w:name w:val="УРОВЕНЬ_1. Знак"/>
    <w:qFormat/>
    <w:rPr>
      <w:rFonts w:eastAsia="Calibri"/>
      <w:caps/>
      <w:sz w:val="28"/>
      <w:szCs w:val="28"/>
      <w:lang w:eastAsia="en-US"/>
    </w:rPr>
  </w:style>
  <w:style w:type="character" w:styleId="13">
    <w:name w:val="Неразрешенное упоминание1"/>
    <w:basedOn w:val="Style"/>
    <w:qFormat/>
    <w:rPr>
      <w:color w:val="605E5C"/>
      <w:shd w:fill="E1DFDD" w:val="clear"/>
    </w:rPr>
  </w:style>
  <w:style w:type="character" w:styleId="Style22">
    <w:name w:val="Ссылка указателя"/>
    <w:qFormat/>
    <w:rPr/>
  </w:style>
  <w:style w:type="character" w:styleId="WWCharLFO4LVL1">
    <w:name w:val="WW_CharLFO4LVL1"/>
    <w:qFormat/>
    <w:rPr>
      <w:rFonts w:ascii="Times New Roman" w:hAnsi="Times New Roman" w:cs="Times New Roman"/>
    </w:rPr>
  </w:style>
  <w:style w:type="character" w:styleId="WWCharLFO4LVL2">
    <w:name w:val="WW_CharLFO4LVL2"/>
    <w:qFormat/>
    <w:rPr>
      <w:rFonts w:ascii="Times New Roman" w:hAnsi="Times New Roman" w:cs="Courier New"/>
    </w:rPr>
  </w:style>
  <w:style w:type="character" w:styleId="WWCharLFO4LVL3">
    <w:name w:val="WW_CharLFO4LVL3"/>
    <w:qFormat/>
    <w:rPr>
      <w:rFonts w:ascii="Wingdings" w:hAnsi="Wingdings" w:cs="Wingdings"/>
    </w:rPr>
  </w:style>
  <w:style w:type="character" w:styleId="WWCharLFO4LVL4">
    <w:name w:val="WW_CharLFO4LVL4"/>
    <w:qFormat/>
    <w:rPr>
      <w:rFonts w:ascii="Symbol" w:hAnsi="Symbol" w:cs="Symbol"/>
    </w:rPr>
  </w:style>
  <w:style w:type="character" w:styleId="WWCharLFO4LVL5">
    <w:name w:val="WW_CharLFO4LVL5"/>
    <w:qFormat/>
    <w:rPr>
      <w:rFonts w:ascii="Times New Roman" w:hAnsi="Times New Roman" w:cs="Courier New"/>
    </w:rPr>
  </w:style>
  <w:style w:type="character" w:styleId="WWCharLFO4LVL6">
    <w:name w:val="WW_CharLFO4LVL6"/>
    <w:qFormat/>
    <w:rPr>
      <w:rFonts w:ascii="Wingdings" w:hAnsi="Wingdings" w:cs="Wingdings"/>
    </w:rPr>
  </w:style>
  <w:style w:type="character" w:styleId="WWCharLFO4LVL7">
    <w:name w:val="WW_CharLFO4LVL7"/>
    <w:qFormat/>
    <w:rPr>
      <w:rFonts w:ascii="Symbol" w:hAnsi="Symbol" w:cs="Symbol"/>
    </w:rPr>
  </w:style>
  <w:style w:type="character" w:styleId="WWCharLFO4LVL8">
    <w:name w:val="WW_CharLFO4LVL8"/>
    <w:qFormat/>
    <w:rPr>
      <w:rFonts w:ascii="Times New Roman" w:hAnsi="Times New Roman" w:cs="Courier New"/>
    </w:rPr>
  </w:style>
  <w:style w:type="character" w:styleId="WWCharLFO4LVL9">
    <w:name w:val="WW_CharLFO4LVL9"/>
    <w:qFormat/>
    <w:rPr>
      <w:rFonts w:ascii="Wingdings" w:hAnsi="Wingdings" w:cs="Wingdings"/>
    </w:rPr>
  </w:style>
  <w:style w:type="character" w:styleId="WWCharLFO5LVL1">
    <w:name w:val="WW_CharLFO5LVL1"/>
    <w:qFormat/>
    <w:rPr>
      <w:rFonts w:ascii="Times New Roman" w:hAnsi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kern w:val="0"/>
      <w:position w:val="0"/>
      <w:sz w:val="28"/>
      <w:sz w:val="28"/>
      <w:szCs w:val="28"/>
      <w:u w:val="none"/>
      <w:vertAlign w:val="baseline"/>
      <w:em w:val="none"/>
    </w:rPr>
  </w:style>
  <w:style w:type="character" w:styleId="WWCharLFO5LVL2">
    <w:name w:val="WW_CharLFO5LVL2"/>
    <w:qFormat/>
    <w:rPr>
      <w:b/>
      <w:bCs/>
      <w:i w:val="false"/>
      <w:iCs/>
      <w:sz w:val="24"/>
      <w:szCs w:val="24"/>
    </w:rPr>
  </w:style>
  <w:style w:type="character" w:styleId="WWCharLFO6LVL5">
    <w:name w:val="WW_CharLFO6LVL5"/>
    <w:qFormat/>
    <w:rPr>
      <w:rFonts w:ascii="Times New Roman" w:hAnsi="Times New Roman" w:cs="Times New Roman"/>
    </w:rPr>
  </w:style>
  <w:style w:type="character" w:styleId="WWCharLFO8LVL1">
    <w:name w:val="WW_CharLFO8LVL1"/>
    <w:qFormat/>
    <w:rPr>
      <w:b/>
      <w:bCs w:val="false"/>
      <w:sz w:val="24"/>
      <w:szCs w:val="24"/>
    </w:rPr>
  </w:style>
  <w:style w:type="character" w:styleId="WWCharLFO8LVL2">
    <w:name w:val="WW_CharLFO8LVL2"/>
    <w:qFormat/>
    <w:rPr>
      <w:b w:val="false"/>
      <w:bCs/>
      <w:sz w:val="24"/>
      <w:szCs w:val="24"/>
    </w:rPr>
  </w:style>
  <w:style w:type="character" w:styleId="WWCharLFO8LVL3">
    <w:name w:val="WW_CharLFO8LVL3"/>
    <w:qFormat/>
    <w:rPr>
      <w:sz w:val="24"/>
      <w:szCs w:val="24"/>
    </w:rPr>
  </w:style>
  <w:style w:type="paragraph" w:styleId="Style23">
    <w:name w:val="Заголовок"/>
    <w:basedOn w:val="Normal"/>
    <w:next w:val="BodyText"/>
    <w:qFormat/>
    <w:pPr>
      <w:keepNext w:val="true"/>
      <w:suppressAutoHyphens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BodyText">
    <w:name w:val="Body Text"/>
    <w:basedOn w:val="Normal"/>
    <w:pPr>
      <w:suppressAutoHyphens w:val="true"/>
      <w:spacing w:before="0" w:after="120"/>
    </w:pPr>
    <w:rPr/>
  </w:style>
  <w:style w:type="paragraph" w:styleId="List">
    <w:name w:val="List"/>
    <w:basedOn w:val="BodyText"/>
    <w:pPr>
      <w:suppressAutoHyphens w:val="true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0"/>
      <w:szCs w:val="20"/>
    </w:rPr>
  </w:style>
  <w:style w:type="paragraph" w:styleId="Style24">
    <w:name w:val="Указатель"/>
    <w:basedOn w:val="Style23"/>
    <w:qFormat/>
    <w:pPr>
      <w:suppressAutoHyphens w:val="true"/>
    </w:pPr>
    <w:rPr/>
  </w:style>
  <w:style w:type="paragraph" w:styleId="23">
    <w:name w:val="Раздел положения 2"/>
    <w:basedOn w:val="Normal"/>
    <w:qFormat/>
    <w:pPr>
      <w:pageBreakBefore/>
      <w:numPr>
        <w:ilvl w:val="0"/>
        <w:numId w:val="1"/>
      </w:numPr>
      <w:suppressAutoHyphens w:val="true"/>
      <w:jc w:val="both"/>
      <w:outlineLvl w:val="0"/>
    </w:pPr>
    <w:rPr>
      <w:b/>
    </w:rPr>
  </w:style>
  <w:style w:type="paragraph" w:styleId="24">
    <w:name w:val="Пункт2"/>
    <w:basedOn w:val="Normal"/>
    <w:qFormat/>
    <w:pPr>
      <w:keepNext w:val="true"/>
      <w:numPr>
        <w:ilvl w:val="2"/>
        <w:numId w:val="1"/>
      </w:numPr>
      <w:tabs>
        <w:tab w:val="clear" w:pos="708"/>
        <w:tab w:val="left" w:pos="2268" w:leader="none"/>
      </w:tabs>
      <w:suppressAutoHyphens w:val="true"/>
      <w:snapToGrid w:val="false"/>
      <w:spacing w:before="240" w:after="120"/>
      <w:ind w:left="1134" w:right="0" w:hanging="1134"/>
      <w:outlineLvl w:val="2"/>
    </w:pPr>
    <w:rPr>
      <w:b/>
      <w:szCs w:val="20"/>
    </w:rPr>
  </w:style>
  <w:style w:type="paragraph" w:styleId="Style25">
    <w:name w:val="УРОВЕНЬ_(а)"/>
    <w:basedOn w:val="Style41"/>
    <w:qFormat/>
    <w:pPr>
      <w:numPr>
        <w:ilvl w:val="3"/>
        <w:numId w:val="1"/>
      </w:numPr>
      <w:suppressAutoHyphens w:val="true"/>
      <w:spacing w:lineRule="exact" w:line="360" w:before="120" w:after="0"/>
      <w:jc w:val="both"/>
      <w:outlineLvl w:val="3"/>
    </w:pPr>
    <w:rPr>
      <w:sz w:val="26"/>
      <w:szCs w:val="28"/>
      <w:lang w:eastAsia="en-US"/>
    </w:rPr>
  </w:style>
  <w:style w:type="paragraph" w:styleId="-">
    <w:name w:val="УРОВЕНЬ_-"/>
    <w:basedOn w:val="Style41"/>
    <w:qFormat/>
    <w:pPr>
      <w:numPr>
        <w:ilvl w:val="4"/>
        <w:numId w:val="1"/>
      </w:numPr>
      <w:suppressAutoHyphens w:val="true"/>
      <w:spacing w:lineRule="exact" w:line="360" w:before="120" w:after="0"/>
      <w:jc w:val="both"/>
      <w:outlineLvl w:val="4"/>
    </w:pPr>
    <w:rPr>
      <w:sz w:val="26"/>
      <w:szCs w:val="28"/>
      <w:lang w:eastAsia="en-US"/>
    </w:rPr>
  </w:style>
  <w:style w:type="paragraph" w:styleId="Style26">
    <w:name w:val="Обычный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ru-RU" w:bidi="ar-SA"/>
    </w:rPr>
  </w:style>
  <w:style w:type="paragraph" w:styleId="Style27">
    <w:name w:val="Название объекта"/>
    <w:basedOn w:val="Normal"/>
    <w:qFormat/>
    <w:pPr>
      <w:suppressLineNumbers/>
      <w:suppressAutoHyphens w:val="true"/>
      <w:spacing w:before="120" w:after="120"/>
    </w:pPr>
    <w:rPr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uppressAutoHyphens w:val="true"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Style23"/>
    <w:qFormat/>
    <w:pPr>
      <w:suppressAutoHyphens w:val="true"/>
    </w:pPr>
    <w:rPr/>
  </w:style>
  <w:style w:type="paragraph" w:styleId="Caption11">
    <w:name w:val="caption11"/>
    <w:basedOn w:val="Normal"/>
    <w:qFormat/>
    <w:pPr>
      <w:suppressLineNumbers/>
      <w:suppressAutoHyphens w:val="true"/>
      <w:spacing w:before="120" w:after="120"/>
    </w:pPr>
    <w:rPr>
      <w:i/>
      <w:iCs/>
      <w:sz w:val="24"/>
      <w:szCs w:val="24"/>
    </w:rPr>
  </w:style>
  <w:style w:type="paragraph" w:styleId="Indexheading11">
    <w:name w:val="index heading11"/>
    <w:basedOn w:val="Style23"/>
    <w:qFormat/>
    <w:pPr>
      <w:suppressAutoHyphens w:val="true"/>
    </w:pPr>
    <w:rPr/>
  </w:style>
  <w:style w:type="paragraph" w:styleId="Style28">
    <w:name w:val="Название раздела инструкции"/>
    <w:basedOn w:val="Normal"/>
    <w:autoRedefine/>
    <w:qFormat/>
    <w:pPr>
      <w:suppressAutoHyphens w:val="true"/>
      <w:jc w:val="center"/>
    </w:pPr>
    <w:rPr>
      <w:b/>
    </w:rPr>
  </w:style>
  <w:style w:type="paragraph" w:styleId="Style29">
    <w:name w:val="Раздел положения"/>
    <w:basedOn w:val="Normal"/>
    <w:autoRedefine/>
    <w:qFormat/>
    <w:pPr>
      <w:suppressAutoHyphens w:val="true"/>
      <w:spacing w:before="80" w:after="80"/>
      <w:jc w:val="center"/>
    </w:pPr>
    <w:rPr>
      <w:b/>
      <w:sz w:val="32"/>
      <w:szCs w:val="32"/>
    </w:rPr>
  </w:style>
  <w:style w:type="paragraph" w:styleId="Style30">
    <w:name w:val="Подраздел раздела положения"/>
    <w:basedOn w:val="Normal"/>
    <w:autoRedefine/>
    <w:qFormat/>
    <w:pPr>
      <w:numPr>
        <w:ilvl w:val="0"/>
        <w:numId w:val="2"/>
      </w:numPr>
      <w:suppressAutoHyphens w:val="true"/>
      <w:spacing w:before="80" w:after="80"/>
      <w:jc w:val="both"/>
    </w:pPr>
    <w:rPr/>
  </w:style>
  <w:style w:type="paragraph" w:styleId="FootnoteText">
    <w:name w:val="Footnote Text"/>
    <w:basedOn w:val="Normal"/>
    <w:pPr>
      <w:suppressAutoHyphens w:val="true"/>
    </w:pPr>
    <w:rPr>
      <w:sz w:val="20"/>
      <w:szCs w:val="20"/>
    </w:rPr>
  </w:style>
  <w:style w:type="paragraph" w:styleId="14">
    <w:name w:val="Шапка 1"/>
    <w:basedOn w:val="Normal"/>
    <w:qFormat/>
    <w:pPr>
      <w:pBdr>
        <w:bottom w:val="double" w:sz="12" w:space="1" w:color="000000"/>
      </w:pBdr>
      <w:suppressAutoHyphens w:val="true"/>
      <w:spacing w:before="0" w:after="240"/>
      <w:jc w:val="center"/>
    </w:pPr>
    <w:rPr>
      <w:sz w:val="22"/>
      <w:szCs w:val="22"/>
    </w:rPr>
  </w:style>
  <w:style w:type="paragraph" w:styleId="25">
    <w:name w:val="Шапка 2"/>
    <w:basedOn w:val="Normal"/>
    <w:qFormat/>
    <w:pPr>
      <w:pBdr>
        <w:bottom w:val="double" w:sz="12" w:space="1" w:color="000000"/>
      </w:pBdr>
      <w:suppressAutoHyphens w:val="true"/>
      <w:spacing w:before="0" w:after="120"/>
      <w:jc w:val="center"/>
    </w:pPr>
    <w:rPr>
      <w:b/>
      <w:sz w:val="22"/>
      <w:szCs w:val="22"/>
    </w:rPr>
  </w:style>
  <w:style w:type="paragraph" w:styleId="32">
    <w:name w:val="Шапка 3"/>
    <w:basedOn w:val="Normal"/>
    <w:qFormat/>
    <w:pPr>
      <w:pBdr>
        <w:bottom w:val="double" w:sz="12" w:space="1" w:color="000000"/>
      </w:pBdr>
      <w:suppressAutoHyphens w:val="true"/>
      <w:spacing w:before="240" w:after="360"/>
      <w:jc w:val="center"/>
    </w:pPr>
    <w:rPr>
      <w:b/>
      <w:sz w:val="24"/>
      <w:szCs w:val="24"/>
    </w:rPr>
  </w:style>
  <w:style w:type="paragraph" w:styleId="15">
    <w:name w:val="Название1"/>
    <w:basedOn w:val="Normal"/>
    <w:qFormat/>
    <w:pPr>
      <w:suppressAutoHyphens w:val="true"/>
      <w:jc w:val="center"/>
    </w:pPr>
    <w:rPr>
      <w:szCs w:val="20"/>
    </w:rPr>
  </w:style>
  <w:style w:type="paragraph" w:styleId="Style31">
    <w:name w:val="Колонтитул"/>
    <w:basedOn w:val="Normal"/>
    <w:qFormat/>
    <w:pPr>
      <w:suppressAutoHyphens w:val="true"/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uppressAutoHyphens w:val="true"/>
    </w:pPr>
    <w:rPr>
      <w:sz w:val="24"/>
      <w:szCs w:val="24"/>
    </w:rPr>
  </w:style>
  <w:style w:type="paragraph" w:styleId="BodyTextIndent">
    <w:name w:val="Body Text Indent"/>
    <w:basedOn w:val="Normal"/>
    <w:pPr>
      <w:tabs>
        <w:tab w:val="clear" w:pos="708"/>
      </w:tabs>
      <w:suppressAutoHyphens w:val="true"/>
      <w:ind w:left="360" w:right="0" w:hanging="0"/>
    </w:pPr>
    <w:rPr>
      <w:sz w:val="24"/>
      <w:szCs w:val="24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  <w:style w:type="paragraph" w:styleId="26">
    <w:name w:val="Основной текст с отступом 2"/>
    <w:basedOn w:val="Normal"/>
    <w:qFormat/>
    <w:pPr>
      <w:tabs>
        <w:tab w:val="clear" w:pos="708"/>
      </w:tabs>
      <w:suppressAutoHyphens w:val="true"/>
      <w:spacing w:lineRule="auto" w:line="480" w:before="0" w:after="120"/>
      <w:ind w:left="283" w:right="0" w:hanging="0"/>
    </w:pPr>
    <w:rPr/>
  </w:style>
  <w:style w:type="paragraph" w:styleId="33">
    <w:name w:val="Основной текст 3"/>
    <w:basedOn w:val="Normal"/>
    <w:qFormat/>
    <w:pPr>
      <w:suppressAutoHyphens w:val="true"/>
      <w:spacing w:before="0" w:after="120"/>
    </w:pPr>
    <w:rPr>
      <w:sz w:val="16"/>
      <w:szCs w:val="16"/>
    </w:rPr>
  </w:style>
  <w:style w:type="paragraph" w:styleId="34">
    <w:name w:val="Основной текст с отступом 3"/>
    <w:basedOn w:val="Normal"/>
    <w:qFormat/>
    <w:pPr>
      <w:tabs>
        <w:tab w:val="clear" w:pos="708"/>
      </w:tabs>
      <w:suppressAutoHyphens w:val="true"/>
      <w:spacing w:before="0" w:after="120"/>
      <w:ind w:left="283" w:right="0" w:hanging="0"/>
    </w:pPr>
    <w:rPr>
      <w:sz w:val="16"/>
      <w:szCs w:val="16"/>
    </w:rPr>
  </w:style>
  <w:style w:type="paragraph" w:styleId="27">
    <w:name w:val="Основной текст 2"/>
    <w:basedOn w:val="Normal"/>
    <w:qFormat/>
    <w:pPr>
      <w:suppressAutoHyphens w:val="true"/>
      <w:spacing w:lineRule="auto" w:line="480" w:before="0" w:after="120"/>
    </w:pPr>
    <w:rPr/>
  </w:style>
  <w:style w:type="paragraph" w:styleId="Style32">
    <w:name w:val="Цитата"/>
    <w:basedOn w:val="Normal"/>
    <w:qFormat/>
    <w:pPr>
      <w:tabs>
        <w:tab w:val="clear" w:pos="708"/>
      </w:tabs>
      <w:suppressAutoHyphens w:val="true"/>
      <w:ind w:left="-567" w:right="-766" w:hanging="0"/>
      <w:jc w:val="center"/>
    </w:pPr>
    <w:rPr>
      <w:b/>
      <w:bCs/>
      <w:sz w:val="24"/>
      <w:szCs w:val="20"/>
    </w:rPr>
  </w:style>
  <w:style w:type="paragraph" w:styleId="Style33">
    <w:name w:val="Подпункт"/>
    <w:basedOn w:val="Normal"/>
    <w:qFormat/>
    <w:pPr>
      <w:tabs>
        <w:tab w:val="clear" w:pos="708"/>
        <w:tab w:val="left" w:pos="2268" w:leader="none"/>
      </w:tabs>
      <w:suppressAutoHyphens w:val="true"/>
      <w:snapToGrid w:val="false"/>
      <w:spacing w:lineRule="auto" w:line="360"/>
      <w:ind w:left="1134" w:right="0" w:hanging="1134"/>
      <w:jc w:val="both"/>
    </w:pPr>
    <w:rPr>
      <w:szCs w:val="20"/>
    </w:rPr>
  </w:style>
  <w:style w:type="paragraph" w:styleId="TOC1">
    <w:name w:val="TOC 1"/>
    <w:basedOn w:val="Normal"/>
    <w:next w:val="Normal"/>
    <w:autoRedefine/>
    <w:pPr>
      <w:suppressAutoHyphens w:val="true"/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pPr>
      <w:tabs>
        <w:tab w:val="clear" w:pos="708"/>
      </w:tabs>
      <w:suppressAutoHyphens w:val="true"/>
      <w:ind w:left="280" w:right="0" w:hanging="0"/>
    </w:pPr>
    <w:rPr>
      <w:rFonts w:cs="Calibri"/>
      <w:sz w:val="20"/>
      <w:szCs w:val="20"/>
    </w:rPr>
  </w:style>
  <w:style w:type="paragraph" w:styleId="Style34">
    <w:name w:val="Раздел регламента"/>
    <w:basedOn w:val="Normal"/>
    <w:qFormat/>
    <w:pPr>
      <w:suppressAutoHyphens w:val="true"/>
    </w:pPr>
    <w:rPr/>
  </w:style>
  <w:style w:type="paragraph" w:styleId="Style35">
    <w:name w:val="Приложение к регламенту"/>
    <w:basedOn w:val="Normal"/>
    <w:qFormat/>
    <w:pPr>
      <w:suppressAutoHyphens w:val="true"/>
      <w:jc w:val="right"/>
    </w:pPr>
    <w:rPr/>
  </w:style>
  <w:style w:type="paragraph" w:styleId="TOC2">
    <w:name w:val="TOC 2"/>
    <w:basedOn w:val="Normal"/>
    <w:next w:val="Normal"/>
    <w:autoRedefine/>
    <w:pPr>
      <w:suppressAutoHyphens w:val="true"/>
      <w:spacing w:before="240" w:after="0"/>
    </w:pPr>
    <w:rPr>
      <w:rFonts w:cs="Calibri"/>
      <w:b/>
      <w:bCs/>
      <w:sz w:val="20"/>
      <w:szCs w:val="20"/>
    </w:rPr>
  </w:style>
  <w:style w:type="paragraph" w:styleId="Style36">
    <w:name w:val="Текст выноски"/>
    <w:basedOn w:val="Normal"/>
    <w:qFormat/>
    <w:pPr>
      <w:suppressAutoHyphens w:val="true"/>
    </w:pPr>
    <w:rPr>
      <w:rFonts w:ascii="Tahoma" w:hAnsi="Tahoma" w:eastAsia="Tahoma" w:cs="Tahoma"/>
      <w:sz w:val="16"/>
      <w:szCs w:val="16"/>
    </w:rPr>
  </w:style>
  <w:style w:type="paragraph" w:styleId="Style37">
    <w:name w:val="Текст примечания"/>
    <w:basedOn w:val="Normal"/>
    <w:qFormat/>
    <w:pPr>
      <w:suppressAutoHyphens w:val="true"/>
    </w:pPr>
    <w:rPr>
      <w:sz w:val="20"/>
      <w:szCs w:val="20"/>
    </w:rPr>
  </w:style>
  <w:style w:type="paragraph" w:styleId="Style38">
    <w:name w:val="Тема примечания"/>
    <w:basedOn w:val="Style37"/>
    <w:next w:val="Style37"/>
    <w:qFormat/>
    <w:pPr>
      <w:suppressAutoHyphens w:val="true"/>
    </w:pPr>
    <w:rPr>
      <w:b/>
      <w:bCs/>
    </w:rPr>
  </w:style>
  <w:style w:type="paragraph" w:styleId="16">
    <w:name w:val="Обычный (веб)1"/>
    <w:basedOn w:val="Normal"/>
    <w:qFormat/>
    <w:pPr>
      <w:suppressAutoHyphens w:val="true"/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pPr>
      <w:tabs>
        <w:tab w:val="clear" w:pos="708"/>
      </w:tabs>
      <w:suppressAutoHyphens w:val="true"/>
      <w:ind w:left="1960" w:right="0" w:hanging="0"/>
    </w:pPr>
    <w:rPr>
      <w:rFonts w:ascii="Calibri" w:hAnsi="Calibri" w:eastAsia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tabs>
        <w:tab w:val="clear" w:pos="708"/>
      </w:tabs>
      <w:suppressAutoHyphens w:val="true"/>
      <w:ind w:left="840" w:right="0" w:hanging="0"/>
    </w:pPr>
    <w:rPr>
      <w:rFonts w:ascii="Calibri" w:hAnsi="Calibri" w:eastAsia="Calibri" w:cs="Calibri"/>
      <w:sz w:val="20"/>
      <w:szCs w:val="20"/>
    </w:rPr>
  </w:style>
  <w:style w:type="paragraph" w:styleId="TOC4">
    <w:name w:val="TOC 4"/>
    <w:basedOn w:val="Normal"/>
    <w:next w:val="Normal"/>
    <w:autoRedefine/>
    <w:pPr>
      <w:tabs>
        <w:tab w:val="clear" w:pos="708"/>
      </w:tabs>
      <w:suppressAutoHyphens w:val="true"/>
      <w:ind w:left="560" w:right="0" w:hanging="0"/>
    </w:pPr>
    <w:rPr>
      <w:rFonts w:cs="Calibri"/>
      <w:sz w:val="20"/>
      <w:szCs w:val="20"/>
    </w:rPr>
  </w:style>
  <w:style w:type="paragraph" w:styleId="Style39">
    <w:name w:val="Знак Знак Знак Знак Знак Знак Знак Знак Знак"/>
    <w:basedOn w:val="Normal"/>
    <w:qFormat/>
    <w:pPr>
      <w:suppressAutoHyphens w:val="true"/>
      <w:spacing w:lineRule="exact" w:line="240" w:before="0" w:after="160"/>
      <w:jc w:val="both"/>
    </w:pPr>
    <w:rPr>
      <w:rFonts w:ascii="Verdana" w:hAnsi="Verdana" w:eastAsia="Verdana" w:cs="Verdana"/>
      <w:sz w:val="22"/>
      <w:szCs w:val="22"/>
      <w:lang w:val="en-US" w:eastAsia="en-US"/>
    </w:rPr>
  </w:style>
  <w:style w:type="paragraph" w:styleId="Style40">
    <w:name w:val="Без интервала"/>
    <w:basedOn w:val="Normal"/>
    <w:qFormat/>
    <w:pPr>
      <w:suppressAutoHyphens w:val="true"/>
      <w:spacing w:lineRule="auto" w:line="360"/>
    </w:pPr>
    <w:rPr>
      <w:rFonts w:eastAsia="Calibri"/>
      <w:sz w:val="24"/>
      <w:szCs w:val="24"/>
    </w:rPr>
  </w:style>
  <w:style w:type="paragraph" w:styleId="Caption111">
    <w:name w:val="caption111"/>
    <w:basedOn w:val="Normal"/>
    <w:next w:val="Normal"/>
    <w:qFormat/>
    <w:pPr>
      <w:suppressAutoHyphens w:val="true"/>
    </w:pPr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qFormat/>
    <w:pPr>
      <w:tabs>
        <w:tab w:val="clear" w:pos="708"/>
      </w:tabs>
      <w:suppressAutoHyphens w:val="true"/>
      <w:ind w:left="1066" w:right="0" w:firstLine="709"/>
    </w:pPr>
    <w:rPr>
      <w:rFonts w:ascii="Cambria" w:hAnsi="Cambria" w:eastAsia="Cambria" w:cs="Cambria"/>
      <w:i/>
      <w:iCs/>
      <w:color w:val="4F81BD"/>
      <w:spacing w:val="15"/>
      <w:sz w:val="24"/>
      <w:szCs w:val="24"/>
    </w:rPr>
  </w:style>
  <w:style w:type="paragraph" w:styleId="Style41">
    <w:name w:val="Абзац списка"/>
    <w:basedOn w:val="Normal"/>
    <w:qFormat/>
    <w:pPr>
      <w:tabs>
        <w:tab w:val="clear" w:pos="708"/>
      </w:tabs>
      <w:suppressAutoHyphens w:val="true"/>
      <w:ind w:left="720" w:right="0" w:hanging="0"/>
    </w:pPr>
    <w:rPr>
      <w:rFonts w:eastAsia="Calibri"/>
      <w:sz w:val="24"/>
      <w:szCs w:val="24"/>
    </w:rPr>
  </w:style>
  <w:style w:type="paragraph" w:styleId="28">
    <w:name w:val="Цитата 2"/>
    <w:basedOn w:val="Normal"/>
    <w:next w:val="Normal"/>
    <w:qFormat/>
    <w:pPr>
      <w:suppressAutoHyphens w:val="true"/>
    </w:pPr>
    <w:rPr>
      <w:rFonts w:ascii="Calibri" w:hAnsi="Calibri" w:eastAsia="Calibri" w:cs="Calibri"/>
      <w:i/>
      <w:iCs/>
      <w:color w:val="000000"/>
      <w:sz w:val="20"/>
      <w:szCs w:val="20"/>
    </w:rPr>
  </w:style>
  <w:style w:type="paragraph" w:styleId="Style42">
    <w:name w:val="Выделенная цитата"/>
    <w:basedOn w:val="Normal"/>
    <w:next w:val="Normal"/>
    <w:qFormat/>
    <w:pPr>
      <w:pBdr>
        <w:bottom w:val="single" w:sz="4" w:space="4" w:color="4F81BD"/>
      </w:pBdr>
      <w:tabs>
        <w:tab w:val="clear" w:pos="708"/>
      </w:tabs>
      <w:suppressAutoHyphens w:val="true"/>
      <w:spacing w:before="200" w:after="280"/>
      <w:ind w:left="936" w:right="936" w:hanging="0"/>
    </w:pPr>
    <w:rPr>
      <w:rFonts w:ascii="Calibri" w:hAnsi="Calibri" w:eastAsia="Calibri" w:cs="Calibri"/>
      <w:b/>
      <w:bCs/>
      <w:i/>
      <w:iCs/>
      <w:color w:val="4F81BD"/>
      <w:sz w:val="20"/>
      <w:szCs w:val="20"/>
    </w:rPr>
  </w:style>
  <w:style w:type="paragraph" w:styleId="IndexHeading">
    <w:name w:val="Index Heading"/>
    <w:basedOn w:val="Style23"/>
    <w:pPr>
      <w:suppressLineNumbers/>
      <w:ind w:left="0" w:right="0" w:hanging="0"/>
    </w:pPr>
    <w:rPr>
      <w:b/>
      <w:bCs/>
      <w:sz w:val="32"/>
      <w:szCs w:val="32"/>
    </w:rPr>
  </w:style>
  <w:style w:type="paragraph" w:styleId="TOCHeading">
    <w:name w:val="TOC Heading"/>
    <w:basedOn w:val="Heading1"/>
    <w:next w:val="Normal"/>
    <w:qFormat/>
    <w:pPr>
      <w:keepLines/>
      <w:numPr>
        <w:ilvl w:val="0"/>
        <w:numId w:val="0"/>
      </w:numPr>
      <w:suppressAutoHyphens w:val="true"/>
      <w:spacing w:before="480" w:after="0"/>
      <w:ind w:left="1224" w:right="0" w:hanging="504"/>
    </w:pPr>
    <w:rPr>
      <w:rFonts w:ascii="Cambria" w:hAnsi="Cambria" w:eastAsia="Cambria" w:cs="Cambria"/>
      <w:bCs/>
      <w:color w:val="365F91"/>
    </w:rPr>
  </w:style>
  <w:style w:type="paragraph" w:styleId="Style43">
    <w:name w:val="Электронная подпись"/>
    <w:basedOn w:val="Normal"/>
    <w:qFormat/>
    <w:pPr>
      <w:suppressAutoHyphens w:val="true"/>
    </w:pPr>
    <w:rPr>
      <w:rFonts w:eastAsia="Calibri"/>
      <w:sz w:val="24"/>
      <w:szCs w:val="24"/>
    </w:rPr>
  </w:style>
  <w:style w:type="paragraph" w:styleId="Style44">
    <w:name w:val="Знак"/>
    <w:basedOn w:val="Normal"/>
    <w:qFormat/>
    <w:pPr>
      <w:suppressAutoHyphens w:val="true"/>
      <w:spacing w:lineRule="exact" w:line="240" w:before="0" w:after="160"/>
    </w:pPr>
    <w:rPr>
      <w:rFonts w:ascii="Verdana" w:hAnsi="Verdana" w:eastAsia="Verdana" w:cs="Verdana"/>
      <w:sz w:val="20"/>
      <w:szCs w:val="20"/>
      <w:lang w:val="en-US" w:eastAsia="en-US"/>
    </w:rPr>
  </w:style>
  <w:style w:type="paragraph" w:styleId="35">
    <w:name w:val="Нумерованный список ур3"/>
    <w:basedOn w:val="Normal"/>
    <w:qFormat/>
    <w:pPr>
      <w:suppressAutoHyphens w:val="true"/>
      <w:jc w:val="both"/>
    </w:pPr>
    <w:rPr>
      <w:rFonts w:ascii="Garamond" w:hAnsi="Garamond" w:eastAsia="Garamond" w:cs="Garamond"/>
      <w:sz w:val="24"/>
      <w:szCs w:val="20"/>
    </w:rPr>
  </w:style>
  <w:style w:type="paragraph" w:styleId="311">
    <w:name w:val="Список 31"/>
    <w:basedOn w:val="Normal"/>
    <w:qFormat/>
    <w:pPr>
      <w:suppressAutoHyphens w:val="true"/>
      <w:spacing w:before="120" w:after="0"/>
      <w:jc w:val="both"/>
    </w:pPr>
    <w:rPr>
      <w:rFonts w:ascii="Garamond" w:hAnsi="Garamond" w:eastAsia="Garamond" w:cs="Garamond"/>
      <w:sz w:val="24"/>
      <w:szCs w:val="20"/>
    </w:rPr>
  </w:style>
  <w:style w:type="paragraph" w:styleId="29">
    <w:name w:val="Нумерованный список ур2"/>
    <w:basedOn w:val="Normal"/>
    <w:qFormat/>
    <w:pPr>
      <w:numPr>
        <w:ilvl w:val="0"/>
        <w:numId w:val="3"/>
      </w:numPr>
      <w:suppressAutoHyphens w:val="true"/>
      <w:spacing w:before="120" w:after="0"/>
      <w:jc w:val="both"/>
    </w:pPr>
    <w:rPr>
      <w:rFonts w:ascii="Garamond" w:hAnsi="Garamond" w:eastAsia="Garamond" w:cs="Garamond"/>
      <w:sz w:val="24"/>
      <w:szCs w:val="20"/>
    </w:rPr>
  </w:style>
  <w:style w:type="paragraph" w:styleId="Style45">
    <w:name w:val="Рецензия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ru-RU" w:bidi="ar-SA"/>
    </w:rPr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true"/>
      <w:bidi w:val="0"/>
      <w:snapToGrid w:val="true"/>
      <w:spacing w:lineRule="auto" w:line="240" w:before="0" w:after="0"/>
      <w:ind w:left="0" w:right="0" w:firstLine="72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ru-RU" w:bidi="ar-SA"/>
    </w:rPr>
  </w:style>
  <w:style w:type="paragraph" w:styleId="36">
    <w:name w:val="Знак Знак3 Знак Знак"/>
    <w:basedOn w:val="Normal"/>
    <w:qFormat/>
    <w:pPr>
      <w:suppressAutoHyphens w:val="true"/>
      <w:spacing w:lineRule="exact" w:line="240" w:before="0" w:after="160"/>
      <w:jc w:val="both"/>
    </w:pPr>
    <w:rPr>
      <w:rFonts w:ascii="Verdana" w:hAnsi="Verdana" w:eastAsia="Verdana" w:cs="Verdana"/>
      <w:sz w:val="22"/>
      <w:szCs w:val="22"/>
      <w:lang w:val="en-US" w:eastAsia="en-US"/>
    </w:rPr>
  </w:style>
  <w:style w:type="paragraph" w:styleId="Style46">
    <w:name w:val="Пункт"/>
    <w:basedOn w:val="Normal"/>
    <w:qFormat/>
    <w:pPr>
      <w:widowControl w:val="false"/>
      <w:tabs>
        <w:tab w:val="clear" w:pos="708"/>
        <w:tab w:val="left" w:pos="2268" w:leader="none"/>
      </w:tabs>
      <w:suppressAutoHyphens w:val="true"/>
      <w:spacing w:lineRule="auto" w:line="360" w:before="120" w:after="0"/>
      <w:ind w:left="1134" w:right="800" w:hanging="1134"/>
      <w:jc w:val="both"/>
    </w:pPr>
    <w:rPr>
      <w:rFonts w:ascii="Arial" w:hAnsi="Arial" w:eastAsia="Arial" w:cs="Arial"/>
      <w:b/>
      <w:i/>
      <w:szCs w:val="20"/>
    </w:rPr>
  </w:style>
  <w:style w:type="paragraph" w:styleId="17">
    <w:name w:val="Абзац списка1"/>
    <w:basedOn w:val="Normal"/>
    <w:qFormat/>
    <w:pPr>
      <w:tabs>
        <w:tab w:val="clear" w:pos="708"/>
      </w:tabs>
      <w:suppressAutoHyphens w:val="true"/>
      <w:spacing w:lineRule="auto" w:line="276" w:before="0" w:after="200"/>
      <w:ind w:left="720" w:right="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Style47">
    <w:name w:val="Таблица"/>
    <w:basedOn w:val="Normal"/>
    <w:qFormat/>
    <w:pPr>
      <w:keepNext w:val="true"/>
      <w:suppressAutoHyphens w:val="true"/>
      <w:spacing w:before="60" w:after="60"/>
      <w:jc w:val="center"/>
    </w:pPr>
    <w:rPr>
      <w:rFonts w:eastAsia="Calibri"/>
      <w:b/>
      <w:sz w:val="24"/>
      <w:szCs w:val="24"/>
    </w:rPr>
  </w:style>
  <w:style w:type="paragraph" w:styleId="Style48">
    <w:name w:val="Таблица шапка"/>
    <w:basedOn w:val="Normal"/>
    <w:qFormat/>
    <w:pPr>
      <w:keepNext w:val="true"/>
      <w:tabs>
        <w:tab w:val="clear" w:pos="708"/>
      </w:tabs>
      <w:suppressAutoHyphens w:val="true"/>
      <w:spacing w:before="40" w:after="40"/>
      <w:ind w:left="57" w:right="57" w:hanging="0"/>
    </w:pPr>
    <w:rPr>
      <w:sz w:val="22"/>
      <w:szCs w:val="26"/>
    </w:rPr>
  </w:style>
  <w:style w:type="paragraph" w:styleId="Style49">
    <w:name w:val="Подподпункт"/>
    <w:basedOn w:val="Style33"/>
    <w:qFormat/>
    <w:pPr>
      <w:tabs>
        <w:tab w:val="left" w:pos="2268" w:leader="none"/>
        <w:tab w:val="left" w:pos="10208" w:leader="none"/>
      </w:tabs>
      <w:suppressAutoHyphens w:val="true"/>
      <w:snapToGrid w:val="true"/>
      <w:spacing w:lineRule="auto" w:line="240" w:before="120" w:after="0"/>
      <w:ind w:left="5104" w:right="0" w:hanging="567"/>
    </w:pPr>
    <w:rPr>
      <w:sz w:val="26"/>
      <w:szCs w:val="26"/>
    </w:rPr>
  </w:style>
  <w:style w:type="paragraph" w:styleId="210">
    <w:name w:val="УРОВЕНЬ_Абзац_тип2"/>
    <w:basedOn w:val="Style41"/>
    <w:qFormat/>
    <w:pPr>
      <w:suppressAutoHyphens w:val="true"/>
      <w:spacing w:lineRule="exact" w:line="360" w:before="120" w:after="0"/>
      <w:jc w:val="both"/>
    </w:pPr>
    <w:rPr>
      <w:sz w:val="26"/>
      <w:szCs w:val="28"/>
      <w:lang w:eastAsia="en-US"/>
    </w:rPr>
  </w:style>
  <w:style w:type="paragraph" w:styleId="37">
    <w:name w:val="УРОВЕНЬ_Абзац_тип3"/>
    <w:basedOn w:val="Style41"/>
    <w:qFormat/>
    <w:pPr>
      <w:suppressAutoHyphens w:val="true"/>
      <w:spacing w:lineRule="exact" w:line="360" w:before="120" w:after="0"/>
      <w:jc w:val="both"/>
    </w:pPr>
    <w:rPr>
      <w:sz w:val="26"/>
      <w:szCs w:val="28"/>
      <w:lang w:eastAsia="en-US"/>
    </w:rPr>
  </w:style>
  <w:style w:type="paragraph" w:styleId="Style50">
    <w:name w:val="УРОВЕНЬ_Подпись"/>
    <w:basedOn w:val="Style41"/>
    <w:qFormat/>
    <w:pPr>
      <w:keepNext w:val="true"/>
      <w:numPr>
        <w:ilvl w:val="0"/>
        <w:numId w:val="4"/>
      </w:numPr>
      <w:suppressAutoHyphens w:val="true"/>
      <w:spacing w:lineRule="exact" w:line="360" w:before="120" w:after="120"/>
      <w:jc w:val="right"/>
      <w:outlineLvl w:val="3"/>
    </w:pPr>
    <w:rPr>
      <w:sz w:val="26"/>
      <w:szCs w:val="28"/>
      <w:lang w:eastAsia="en-US"/>
    </w:rPr>
  </w:style>
  <w:style w:type="paragraph" w:styleId="18">
    <w:name w:val="Стиль Заголовок 1 + по ширине"/>
    <w:basedOn w:val="Heading1"/>
    <w:qFormat/>
    <w:pPr>
      <w:keepLines/>
      <w:numPr>
        <w:ilvl w:val="0"/>
        <w:numId w:val="0"/>
      </w:numPr>
      <w:tabs>
        <w:tab w:val="left" w:pos="1134" w:leader="none"/>
        <w:tab w:val="left" w:pos="1224" w:leader="none"/>
      </w:tabs>
      <w:suppressAutoHyphens w:val="true"/>
      <w:spacing w:before="480" w:after="240"/>
      <w:ind w:left="567" w:right="0" w:hanging="567"/>
      <w:jc w:val="both"/>
    </w:pPr>
    <w:rPr>
      <w:rFonts w:ascii="Arial" w:hAnsi="Arial" w:eastAsia="Times New Roman" w:cs="Arial"/>
      <w:bCs/>
      <w:kern w:val="2"/>
      <w:sz w:val="40"/>
      <w:szCs w:val="20"/>
    </w:rPr>
  </w:style>
  <w:style w:type="paragraph" w:styleId="EndnoteText">
    <w:name w:val="Endnote Text"/>
    <w:basedOn w:val="Normal"/>
    <w:pPr>
      <w:suppressAutoHyphens w:val="true"/>
    </w:pPr>
    <w:rPr>
      <w:sz w:val="20"/>
      <w:szCs w:val="20"/>
    </w:rPr>
  </w:style>
  <w:style w:type="paragraph" w:styleId="211">
    <w:name w:val="Заголовок 2 КВВ"/>
    <w:basedOn w:val="Normal"/>
    <w:qFormat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</w:rPr>
  </w:style>
  <w:style w:type="paragraph" w:styleId="Style51">
    <w:name w:val="Таблица текст"/>
    <w:basedOn w:val="Normal"/>
    <w:qFormat/>
    <w:pPr>
      <w:tabs>
        <w:tab w:val="clear" w:pos="708"/>
      </w:tabs>
      <w:suppressAutoHyphens w:val="true"/>
      <w:spacing w:before="40" w:after="40"/>
      <w:ind w:left="57" w:right="57" w:hanging="0"/>
    </w:pPr>
    <w:rPr>
      <w:sz w:val="24"/>
      <w:szCs w:val="26"/>
    </w:rPr>
  </w:style>
  <w:style w:type="paragraph" w:styleId="Style52">
    <w:name w:val="Обычный (веб)"/>
    <w:basedOn w:val="Normal"/>
    <w:qFormat/>
    <w:pPr>
      <w:suppressAutoHyphens w:val="true"/>
      <w:spacing w:before="280" w:after="280"/>
    </w:pPr>
    <w:rPr>
      <w:sz w:val="24"/>
      <w:szCs w:val="24"/>
    </w:rPr>
  </w:style>
  <w:style w:type="paragraph" w:styleId="19">
    <w:name w:val="УРОВЕНЬ_1."/>
    <w:basedOn w:val="Style41"/>
    <w:qFormat/>
    <w:pPr>
      <w:keepNext w:val="true"/>
      <w:keepLines/>
      <w:numPr>
        <w:ilvl w:val="0"/>
        <w:numId w:val="0"/>
      </w:numPr>
      <w:suppressAutoHyphens w:val="true"/>
      <w:spacing w:lineRule="auto" w:line="276" w:before="240" w:after="120"/>
      <w:ind w:left="0" w:right="0" w:hanging="0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tabs>
        <w:tab w:val="clear" w:pos="708"/>
      </w:tabs>
      <w:suppressAutoHyphens w:val="true"/>
      <w:ind w:left="1120" w:right="0" w:hanging="0"/>
    </w:pPr>
    <w:rPr>
      <w:rFonts w:ascii="Calibri" w:hAnsi="Calibri" w:eastAsia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tabs>
        <w:tab w:val="clear" w:pos="708"/>
      </w:tabs>
      <w:suppressAutoHyphens w:val="true"/>
      <w:ind w:left="1400" w:right="0" w:hanging="0"/>
    </w:pPr>
    <w:rPr>
      <w:rFonts w:ascii="Calibri" w:hAnsi="Calibri" w:eastAsia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tabs>
        <w:tab w:val="clear" w:pos="708"/>
      </w:tabs>
      <w:suppressAutoHyphens w:val="true"/>
      <w:ind w:left="1680" w:right="0" w:hanging="0"/>
    </w:pPr>
    <w:rPr>
      <w:rFonts w:ascii="Calibri" w:hAnsi="Calibri" w:eastAsia="Calibri" w:cs="Calibri"/>
      <w:sz w:val="20"/>
      <w:szCs w:val="20"/>
    </w:rPr>
  </w:style>
  <w:style w:type="paragraph" w:styleId="Style53">
    <w:name w:val="Содержимое врезки"/>
    <w:basedOn w:val="Normal"/>
    <w:qFormat/>
    <w:pPr>
      <w:suppressAutoHyphens w:val="true"/>
    </w:pPr>
    <w:rPr/>
  </w:style>
  <w:style w:type="paragraph" w:styleId="Style54">
    <w:name w:val="Содержимое таблицы"/>
    <w:basedOn w:val="Normal"/>
    <w:qFormat/>
    <w:pPr>
      <w:widowControl w:val="false"/>
      <w:suppressLineNumbers/>
      <w:suppressAutoHyphens w:val="true"/>
    </w:pPr>
    <w:rPr/>
  </w:style>
  <w:style w:type="paragraph" w:styleId="Style55">
    <w:name w:val="Заголовок таблицы"/>
    <w:basedOn w:val="Style54"/>
    <w:qFormat/>
    <w:pPr>
      <w:suppressAutoHyphens w:val="true"/>
      <w:jc w:val="center"/>
    </w:pPr>
    <w:rPr>
      <w:b/>
      <w:bCs/>
    </w:rPr>
  </w:style>
  <w:style w:type="paragraph" w:styleId="Style56">
    <w:name w:val="Текст в заданном формате"/>
    <w:basedOn w:val="Normal"/>
    <w:qFormat/>
    <w:pPr>
      <w:suppressAutoHyphens w:val="true"/>
    </w:pPr>
    <w:rPr>
      <w:rFonts w:ascii="Liberation Mono" w:hAnsi="Liberation Mono" w:eastAsia="Liberation Mono" w:cs="Liberation Mono"/>
      <w:sz w:val="20"/>
      <w:szCs w:val="20"/>
    </w:rPr>
  </w:style>
  <w:style w:type="paragraph" w:styleId="NoSpacing">
    <w:name w:val="No Spacing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Calibri" w:hAnsi="Calibri"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zh-CN" w:bidi="ar-SA"/>
    </w:rPr>
  </w:style>
  <w:style w:type="numbering" w:styleId="110">
    <w:name w:val="Стиль1"/>
    <w:qFormat/>
  </w:style>
  <w:style w:type="numbering" w:styleId="212">
    <w:name w:val="Стиль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37</TotalTime>
  <Application>AlterOffice/3.4.0.9$Linux_X86_64 LibreOffice_project/b8daf9e823b1a5463a2f48435ddc2e8696e7d4fc</Application>
  <AppVersion>15.0000</AppVersion>
  <Pages>5</Pages>
  <Words>744</Words>
  <Characters>4952</Characters>
  <CharactersWithSpaces>6394</CharactersWithSpaces>
  <Paragraphs>159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2025-05-19T10:18:00Z</dcterms:created>
  <dc:creator>Быстров Олег Геннадьевич</dc:creator>
  <dc:description/>
  <dc:language>ru-RU</dc:language>
  <cp:lastModifiedBy>bichoevajt@corp.gidroogk.com</cp:lastModifiedBy>
  <cp:lastPrinted>2025-03-03T09:54:00Z</cp:lastPrinted>
  <dcterms:modified xsi:type="dcterms:W3CDTF">2026-07-30T12:19:04Z</dcterms:modified>
  <cp:revision>22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