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pStyle w:val="945"/>
        <w:jc w:val="center"/>
        <w:spacing w:line="276" w:lineRule="auto"/>
        <w:rPr>
          <w:rFonts w:eastAsia="Calibri"/>
          <w:b/>
          <w:bCs/>
          <w:sz w:val="26"/>
          <w:szCs w:val="26"/>
          <w:highlight w:val="none"/>
          <w:lang w:eastAsia="en-US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поставку МТР</w:t>
      </w:r>
      <w:r>
        <w:rPr>
          <w:rFonts w:eastAsia="Calibri"/>
          <w:b/>
          <w:bCs/>
          <w:sz w:val="26"/>
          <w:szCs w:val="26"/>
          <w:highlight w:val="none"/>
          <w:lang w:eastAsia="en-US"/>
        </w:rPr>
      </w:r>
      <w:r>
        <w:rPr>
          <w:rFonts w:eastAsia="Calibri"/>
          <w:b/>
          <w:bCs/>
          <w:sz w:val="26"/>
          <w:szCs w:val="26"/>
          <w:highlight w:val="none"/>
          <w:lang w:eastAsia="en-US"/>
        </w:rPr>
      </w:r>
    </w:p>
    <w:p>
      <w:pPr>
        <w:pStyle w:val="945"/>
        <w:jc w:val="center"/>
        <w:spacing w:line="276" w:lineRule="auto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</w:r>
      <w:r>
        <w:rPr>
          <w:rFonts w:eastAsia="Calibri"/>
          <w:b/>
          <w:bCs/>
          <w:sz w:val="26"/>
          <w:szCs w:val="26"/>
          <w:lang w:eastAsia="en-US"/>
        </w:rPr>
      </w:r>
      <w:r>
        <w:rPr>
          <w:rFonts w:eastAsia="Calibri"/>
          <w:b/>
          <w:bCs/>
          <w:sz w:val="26"/>
          <w:szCs w:val="26"/>
          <w:lang w:eastAsia="en-US"/>
        </w:rPr>
      </w:r>
    </w:p>
    <w:p>
      <w:pPr>
        <w:pStyle w:val="945"/>
        <w:jc w:val="center"/>
        <w:spacing w:line="276" w:lineRule="auto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</w:r>
      <w:r>
        <w:rPr>
          <w:rFonts w:eastAsia="Calibri"/>
          <w:b/>
          <w:bCs/>
          <w:sz w:val="26"/>
          <w:szCs w:val="26"/>
          <w:lang w:eastAsia="en-US"/>
        </w:rPr>
      </w:r>
      <w:r>
        <w:rPr>
          <w:rFonts w:eastAsia="Calibri"/>
          <w:b/>
          <w:bCs/>
          <w:sz w:val="26"/>
          <w:szCs w:val="26"/>
          <w:lang w:eastAsia="en-US"/>
        </w:rPr>
      </w:r>
    </w:p>
    <w:p>
      <w:pPr>
        <w:jc w:val="center"/>
        <w:spacing w:line="283" w:lineRule="atLeast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  <w:r>
        <w:rPr>
          <w:rFonts w:eastAsia="Calibri"/>
          <w:b/>
          <w:sz w:val="26"/>
          <w:szCs w:val="26"/>
          <w:lang w:eastAsia="en-US"/>
        </w:rPr>
        <w:t xml:space="preserve">ОКПД2 62.01.29.000 Предоставление права на использование программного обеспечени</w:t>
      </w:r>
      <w:r>
        <w:rPr>
          <w:rFonts w:eastAsia="Calibri"/>
          <w:b/>
          <w:bCs/>
          <w:sz w:val="26"/>
          <w:szCs w:val="26"/>
          <w:lang w:eastAsia="en-US"/>
        </w:rPr>
        <w:t xml:space="preserve">я </w:t>
      </w:r>
      <w:r>
        <w:rPr>
          <w:rFonts w:eastAsia="Calibri"/>
          <w:b/>
          <w:bCs/>
          <w:sz w:val="26"/>
          <w:szCs w:val="26"/>
          <w:lang w:eastAsia="en-US"/>
        </w:rPr>
        <w:t xml:space="preserve">Pilot-</w:t>
      </w:r>
      <w:r>
        <w:rPr>
          <w:rFonts w:eastAsia="Calibri"/>
          <w:b/>
          <w:bCs/>
          <w:sz w:val="26"/>
          <w:szCs w:val="26"/>
          <w:lang w:val="en-US" w:eastAsia="en-US"/>
        </w:rPr>
        <w:t xml:space="preserve">BIM</w:t>
      </w:r>
      <w:r>
        <w:rPr>
          <w:rFonts w:eastAsia="Calibri"/>
          <w:b/>
          <w:bCs/>
          <w:sz w:val="26"/>
          <w:szCs w:val="26"/>
          <w:lang w:eastAsia="en-US"/>
        </w:rPr>
        <w:t xml:space="preserve"> дл</w:t>
      </w:r>
      <w:r>
        <w:rPr>
          <w:rFonts w:eastAsia="Calibri"/>
          <w:b/>
          <w:sz w:val="26"/>
          <w:szCs w:val="26"/>
          <w:lang w:eastAsia="en-US"/>
        </w:rPr>
        <w:t xml:space="preserve">я нужд АО «ВНИИГ им. Б.Е. Веденеева»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</w:r>
      <w:r>
        <w:rPr>
          <w:rFonts w:eastAsia="Calibri"/>
          <w:b/>
          <w:sz w:val="26"/>
          <w:szCs w:val="26"/>
          <w:lang w:eastAsia="en-US"/>
        </w:rPr>
      </w:r>
    </w:p>
    <w:p>
      <w:pPr>
        <w:jc w:val="center"/>
        <w:spacing w:line="283" w:lineRule="atLeast"/>
        <w:rPr>
          <w:rFonts w:eastAsia="Calibri"/>
          <w:b/>
          <w:sz w:val="26"/>
          <w:szCs w:val="26"/>
          <w:lang w:eastAsia="en-US"/>
        </w:rPr>
      </w:pPr>
      <w:r>
        <w:rPr>
          <w:b/>
        </w:rPr>
        <w:t xml:space="preserve">Лот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>
        <w:rPr>
          <w:rFonts w:eastAsia="Calibri"/>
          <w:b/>
          <w:bCs/>
          <w:sz w:val="26"/>
          <w:szCs w:val="26"/>
          <w:lang w:eastAsia="en-US"/>
        </w:rPr>
        <w:t xml:space="preserve">№ </w:t>
      </w:r>
      <w:r>
        <w:rPr>
          <w:rFonts w:eastAsia="Calibri"/>
          <w:b/>
          <w:bCs/>
          <w:sz w:val="26"/>
          <w:szCs w:val="26"/>
          <w:lang w:eastAsia="en-US"/>
        </w:rPr>
        <w:t xml:space="preserve">___________________________</w:t>
      </w:r>
      <w:r>
        <w:rPr>
          <w:rFonts w:eastAsia="Calibri"/>
          <w:b/>
          <w:sz w:val="26"/>
          <w:szCs w:val="26"/>
          <w:lang w:eastAsia="en-US"/>
        </w:rPr>
      </w: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jc w:val="center"/>
        <w:spacing w:line="360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5"/>
        <w:shd w:val="nil" w:color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br w:type="page" w:clear="all"/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before="0" w:after="0"/>
      </w:pPr>
      <w:r>
        <w:rPr>
          <w:b/>
        </w:rPr>
        <w:t xml:space="preserve">СОДЕРЖАНИЕ</w:t>
      </w:r>
      <w:r/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45"/>
          </w:pPr>
          <w:r>
            <w:fldChar w:fldCharType="begin"/>
          </w:r>
          <w:r>
            <w:instrText xml:space="preserve"> TOC \z \o "1-4" \u \h</w:instrText>
          </w:r>
          <w:r>
            <w:fldChar w:fldCharType="separate"/>
          </w:r>
          <w:r>
            <w:t xml:space="preserve">1. </w:t>
          </w:r>
          <w:r>
            <w:rPr>
              <w:b/>
              <w:sz w:val="28"/>
              <w:lang w:val="ru-RU"/>
            </w:rPr>
            <w:t xml:space="preserve">Общие сведения</w:t>
          </w:r>
          <w:r>
            <w:rPr>
              <w:b/>
            </w:rPr>
            <w:t xml:space="preserve">............................................................................................................................</w:t>
          </w:r>
          <w:r>
            <w:rPr>
              <w:b/>
              <w:sz w:val="28"/>
              <w:lang w:val="ru-RU"/>
            </w:rPr>
            <w:t xml:space="preserve">3</w:t>
          </w:r>
          <w:r/>
        </w:p>
        <w:p>
          <w:pPr>
            <w:pStyle w:val="945"/>
          </w:pPr>
          <w:r>
            <w:rPr>
              <w:b w:val="0"/>
            </w:rPr>
            <w:t xml:space="preserve">1.1 Наименование закупаемой продукции............................................................................................3</w:t>
          </w:r>
          <w:r/>
        </w:p>
        <w:p>
          <w:pPr>
            <w:pStyle w:val="945"/>
          </w:pPr>
          <w:r>
            <w:rPr>
              <w:b w:val="0"/>
            </w:rPr>
            <w:t xml:space="preserve">1.2 Цель </w:t>
          </w:r>
          <w:r>
            <w:rPr>
              <w:b w:val="0"/>
              <w:lang w:val="ru-RU"/>
            </w:rPr>
            <w:t xml:space="preserve">использования закупаемой продукции</w:t>
          </w:r>
          <w:r>
            <w:rPr>
              <w:b w:val="0"/>
            </w:rPr>
            <w:t xml:space="preserve">..................................................................................3</w:t>
          </w:r>
          <w:r/>
        </w:p>
        <w:p>
          <w:pPr>
            <w:pStyle w:val="945"/>
          </w:pPr>
          <w:r>
            <w:rPr>
              <w:b/>
              <w:iCs/>
              <w:sz w:val="28"/>
              <w:lang w:val="ru-RU"/>
            </w:rPr>
            <w:t xml:space="preserve">2. Требования к продукции</w:t>
          </w:r>
          <w:r>
            <w:rPr>
              <w:b/>
            </w:rPr>
            <w:t xml:space="preserve">.........................................................................................................</w:t>
          </w:r>
          <w:r>
            <w:rPr>
              <w:b/>
              <w:sz w:val="28"/>
              <w:lang w:val="ru-RU"/>
            </w:rPr>
            <w:t xml:space="preserve">3</w:t>
          </w:r>
          <w:r/>
        </w:p>
        <w:p>
          <w:pPr>
            <w:pStyle w:val="945"/>
            <w:contextualSpacing/>
            <w:ind w:left="0" w:firstLine="0"/>
            <w:jc w:val="left"/>
            <w:spacing w:before="0" w:after="120" w:line="283" w:lineRule="atLeast"/>
          </w:pPr>
          <w:r>
            <w:rPr>
              <w:b w:val="0"/>
              <w:sz w:val="24"/>
            </w:rPr>
            <w:t xml:space="preserve">2.1 Требования к объемам и срокам </w:t>
          </w:r>
          <w:r>
            <w:rPr>
              <w:b w:val="0"/>
              <w:sz w:val="24"/>
              <w:lang w:val="ru-RU"/>
            </w:rPr>
            <w:t xml:space="preserve">поставки......................................................................................3</w:t>
          </w:r>
          <w:r/>
        </w:p>
        <w:p>
          <w:pPr>
            <w:pStyle w:val="945"/>
            <w:contextualSpacing/>
            <w:ind w:left="0" w:firstLine="0"/>
            <w:jc w:val="left"/>
            <w:spacing w:before="0" w:after="120" w:line="283" w:lineRule="atLeast"/>
          </w:pPr>
          <w:r>
            <w:rPr>
              <w:b w:val="0"/>
              <w:sz w:val="24"/>
              <w:lang w:val="ru-RU"/>
            </w:rPr>
            <w:t xml:space="preserve">2.1.1. Перечень и объем закупаемой продукции..................................................................................3</w:t>
          </w:r>
          <w:r/>
        </w:p>
        <w:p>
          <w:pPr>
            <w:pStyle w:val="945"/>
            <w:contextualSpacing/>
            <w:spacing w:before="0" w:after="0" w:line="283" w:lineRule="atLeast"/>
          </w:pPr>
          <w:r>
            <w:rPr>
              <w:b w:val="0"/>
              <w:szCs w:val="24"/>
              <w:lang w:val="ru-RU"/>
            </w:rPr>
            <w:t xml:space="preserve">Таблица 1.1 Перечень и объем закупаемой продукции</w:t>
          </w:r>
          <w:r>
            <w:rPr>
              <w:b w:val="0"/>
            </w:rPr>
            <w:t xml:space="preserve">.......................................................................3</w:t>
          </w:r>
          <w:r/>
        </w:p>
        <w:p>
          <w:pPr>
            <w:pStyle w:val="945"/>
            <w:contextualSpacing/>
            <w:ind w:left="0" w:firstLine="0"/>
            <w:jc w:val="left"/>
            <w:spacing w:before="0" w:after="120" w:line="283" w:lineRule="atLeast"/>
          </w:pPr>
          <w:r>
            <w:rPr>
              <w:b w:val="0"/>
              <w:sz w:val="24"/>
              <w:lang w:val="ru-RU"/>
            </w:rPr>
            <w:t xml:space="preserve">2.1.2 </w:t>
          </w:r>
          <w:r>
            <w:rPr>
              <w:b w:val="0"/>
              <w:sz w:val="24"/>
              <w:lang w:val="ru-RU"/>
            </w:rPr>
            <w:t xml:space="preserve">Требования к срокам поставки продукции .................................................................................3</w:t>
          </w:r>
          <w:r/>
        </w:p>
        <w:p>
          <w:pPr>
            <w:pStyle w:val="945"/>
            <w:contextualSpacing/>
            <w:spacing w:before="0" w:after="0" w:line="283" w:lineRule="atLeast"/>
          </w:pPr>
          <w:r>
            <w:rPr>
              <w:b w:val="0"/>
              <w:szCs w:val="24"/>
              <w:lang w:val="ru-RU"/>
            </w:rPr>
            <w:t xml:space="preserve">Таблица 2.1 Требования по срокам поставки продукции</w:t>
          </w:r>
          <w:r>
            <w:rPr>
              <w:b w:val="0"/>
            </w:rPr>
            <w:t xml:space="preserve">...................................................................3</w:t>
          </w:r>
          <w:r/>
        </w:p>
        <w:p>
          <w:pPr>
            <w:pStyle w:val="945"/>
            <w:contextualSpacing/>
            <w:ind w:left="0" w:firstLine="0"/>
            <w:jc w:val="left"/>
            <w:spacing w:before="0" w:after="120" w:line="283" w:lineRule="atLeast"/>
          </w:pPr>
          <w:r>
            <w:rPr>
              <w:b w:val="0"/>
              <w:sz w:val="24"/>
              <w:lang w:val="ru-RU"/>
            </w:rPr>
            <w:t xml:space="preserve">2.2 </w:t>
          </w:r>
          <w:r>
            <w:rPr>
              <w:b w:val="0"/>
              <w:sz w:val="24"/>
            </w:rPr>
            <w:t xml:space="preserve">Требования к </w:t>
          </w:r>
          <w:r>
            <w:rPr>
              <w:b w:val="0"/>
              <w:sz w:val="24"/>
              <w:lang w:val="ru-RU"/>
            </w:rPr>
            <w:t xml:space="preserve">качеству продукции..................................................................................................4</w:t>
          </w:r>
          <w:r/>
        </w:p>
        <w:p>
          <w:pPr>
            <w:pStyle w:val="945"/>
            <w:contextualSpacing/>
            <w:spacing w:before="0" w:after="0" w:line="283" w:lineRule="atLeast"/>
            <w:rPr>
              <w:b w:val="0"/>
              <w:bCs w:val="0"/>
              <w:highlight w:val="none"/>
              <w:lang w:val="ru-RU"/>
            </w:rPr>
          </w:pPr>
          <w:r>
            <w:rPr>
              <w:b w:val="0"/>
              <w:szCs w:val="24"/>
              <w:lang w:val="ru-RU"/>
            </w:rPr>
            <w:t xml:space="preserve">Таблица 3. Требования к продукции</w:t>
          </w:r>
          <w:r>
            <w:rPr>
              <w:b w:val="0"/>
              <w:lang w:val="ru-RU"/>
            </w:rPr>
            <w:t xml:space="preserve">.....................................................................................................4</w:t>
          </w:r>
          <w:r>
            <w:rPr>
              <w:b w:val="0"/>
              <w:bCs w:val="0"/>
              <w:highlight w:val="none"/>
              <w:lang w:val="ru-RU"/>
            </w:rPr>
          </w:r>
          <w:r>
            <w:rPr>
              <w:b w:val="0"/>
              <w:bCs w:val="0"/>
              <w:highlight w:val="none"/>
              <w:lang w:val="ru-RU"/>
            </w:rPr>
          </w:r>
        </w:p>
        <w:p>
          <w:pPr>
            <w:pStyle w:val="945"/>
            <w:contextualSpacing/>
            <w:spacing w:before="0" w:after="0" w:line="283" w:lineRule="atLeast"/>
          </w:pPr>
          <w:r>
            <w:rPr>
              <w:b w:val="0"/>
              <w:bCs w:val="0"/>
              <w:highlight w:val="white"/>
              <w:lang w:val="ru-RU"/>
            </w:rPr>
            <w:t xml:space="preserve">2.2.1 В составе заявки необходимо предоставить................................................................................</w:t>
          </w:r>
          <w:r>
            <w:rPr>
              <w:b w:val="0"/>
              <w:bCs w:val="0"/>
              <w:highlight w:val="white"/>
              <w:lang w:val="ru-RU"/>
            </w:rPr>
            <w:t xml:space="preserve">8</w:t>
          </w:r>
          <w:r>
            <w:rPr>
              <w:b w:val="0"/>
              <w:bCs w:val="0"/>
              <w:highlight w:val="white"/>
              <w:lang w:val="ru-RU"/>
            </w:rPr>
          </w:r>
          <w:r/>
        </w:p>
        <w:p>
          <w:pPr>
            <w:pStyle w:val="945"/>
          </w:pPr>
          <w:r>
            <w:rPr>
              <w:b/>
              <w:bCs/>
              <w:iCs/>
              <w:sz w:val="28"/>
              <w:szCs w:val="24"/>
              <w:lang w:val="ru-RU"/>
            </w:rPr>
            <w:t xml:space="preserve">3. Требования к документации по ценообразованию </w:t>
          </w:r>
          <w:r>
            <w:rPr>
              <w:b/>
              <w:sz w:val="28"/>
              <w:lang w:val="ru-RU"/>
            </w:rPr>
            <w:t xml:space="preserve"> на этапе закупки</w:t>
          </w:r>
          <w:r>
            <w:rPr>
              <w:b/>
              <w:bCs/>
              <w:iCs/>
              <w:sz w:val="28"/>
              <w:szCs w:val="24"/>
              <w:lang w:val="ru-RU"/>
            </w:rPr>
            <w:t xml:space="preserve">.</w:t>
          </w:r>
          <w:r>
            <w:rPr>
              <w:b/>
              <w:sz w:val="28"/>
              <w:lang w:val="ru-RU"/>
            </w:rPr>
            <w:t xml:space="preserve">...........9</w:t>
          </w:r>
          <w:r/>
        </w:p>
        <w:p>
          <w:pPr>
            <w:pStyle w:val="945"/>
          </w:pPr>
          <w:r>
            <w:rPr>
              <w:b/>
              <w:sz w:val="28"/>
              <w:lang w:val="ru-RU"/>
            </w:rPr>
            <w:t xml:space="preserve">4. Требования к документации по ценообразованию на этапе заключения (исполнения) договора......</w:t>
          </w:r>
          <w:r>
            <w:rPr>
              <w:b/>
              <w:bCs/>
              <w:sz w:val="28"/>
              <w:szCs w:val="28"/>
              <w:lang w:val="ru-RU"/>
            </w:rPr>
            <w:t xml:space="preserve">............................................................................................9</w:t>
          </w:r>
          <w:r/>
        </w:p>
        <w:p>
          <w:pPr>
            <w:pStyle w:val="945"/>
          </w:pPr>
          <w:r>
            <w:rPr>
              <w:b/>
              <w:bCs/>
              <w:sz w:val="28"/>
              <w:szCs w:val="28"/>
              <w:lang w:val="ru-RU"/>
            </w:rPr>
            <w:t xml:space="preserve">5. Приложения................................................................................................................9</w:t>
          </w:r>
          <w:r>
            <w:rPr>
              <w:b/>
              <w:bCs/>
              <w:sz w:val="28"/>
              <w:szCs w:val="28"/>
              <w:lang w:val="ru-RU"/>
            </w:rPr>
            <w:fldChar w:fldCharType="end"/>
          </w:r>
          <w:r/>
        </w:p>
      </w:sdtContent>
    </w:sdt>
    <w:p>
      <w:pPr>
        <w:pStyle w:val="945"/>
        <w:jc w:val="center"/>
        <w:spacing w:line="360" w:lineRule="auto"/>
        <w:rPr>
          <w:b/>
          <w:bCs/>
          <w:color w:val="000000"/>
          <w:highlight w:val="none"/>
        </w:rPr>
      </w:pPr>
      <w:r>
        <w:rPr>
          <w:b/>
          <w:bCs/>
          <w:color w:val="000000"/>
        </w:rPr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jc w:val="center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5"/>
        <w:shd w:val="nil" w:color="auto"/>
        <w:rPr>
          <w:b/>
          <w:bCs/>
          <w:color w:val="000000"/>
        </w:rPr>
      </w:pPr>
      <w:r>
        <w:rPr>
          <w:b/>
          <w:bCs/>
          <w:color w:val="000000"/>
        </w:rPr>
      </w:r>
      <w:r>
        <w:br w:type="page" w:clear="all"/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1024"/>
        <w:numPr>
          <w:ilvl w:val="0"/>
          <w:numId w:val="2"/>
        </w:numPr>
        <w:contextualSpacing/>
        <w:ind w:left="567" w:hanging="567"/>
        <w:jc w:val="center"/>
        <w:spacing w:before="0" w:after="120"/>
        <w:rPr>
          <w:b/>
          <w:bCs/>
          <w:sz w:val="28"/>
          <w:szCs w:val="28"/>
          <w:lang w:val="ru-RU"/>
        </w:rPr>
        <w:outlineLvl w:val="0"/>
      </w:pPr>
      <w:r>
        <w:rPr>
          <w:b/>
          <w:sz w:val="28"/>
          <w:lang w:val="ru-RU"/>
        </w:rPr>
        <w:t xml:space="preserve">Общие сведения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945"/>
        <w:numPr>
          <w:ilvl w:val="0"/>
          <w:numId w:val="0"/>
        </w:numPr>
        <w:jc w:val="center"/>
        <w:spacing w:before="0" w:after="120"/>
        <w:rPr>
          <w:b/>
          <w:bCs/>
          <w:sz w:val="28"/>
          <w:szCs w:val="28"/>
          <w:lang w:val="ru-RU"/>
        </w:rPr>
        <w:outlineLvl w:val="0"/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1024"/>
        <w:numPr>
          <w:ilvl w:val="1"/>
          <w:numId w:val="2"/>
        </w:numPr>
        <w:contextualSpacing/>
        <w:ind w:left="567" w:hanging="567"/>
        <w:jc w:val="left"/>
        <w:spacing w:before="0" w:after="120"/>
        <w:outlineLvl w:val="0"/>
      </w:pPr>
      <w:r>
        <w:rPr>
          <w:b/>
        </w:rPr>
        <w:t xml:space="preserve">Наименование закупаемой продукции</w:t>
      </w:r>
      <w:r/>
    </w:p>
    <w:p>
      <w:pPr>
        <w:ind w:firstLine="567"/>
        <w:jc w:val="both"/>
        <w:rPr>
          <w:b w:val="0"/>
          <w:bCs w:val="0"/>
          <w:sz w:val="24"/>
          <w:szCs w:val="24"/>
          <w:highlight w:val="none"/>
        </w:rPr>
        <w:outlineLvl w:val="0"/>
      </w:pPr>
      <w:r>
        <w:rPr>
          <w:b w:val="0"/>
          <w:bCs w:val="0"/>
          <w:sz w:val="24"/>
          <w:szCs w:val="24"/>
          <w:lang w:eastAsia="en-US"/>
        </w:rPr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ОКПД2 62.01.29.000 Предоставление права на использование программного обеспечени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я 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Pilot-</w:t>
      </w:r>
      <w:r>
        <w:rPr>
          <w:rFonts w:eastAsia="Calibri"/>
          <w:b w:val="0"/>
          <w:bCs w:val="0"/>
          <w:sz w:val="24"/>
          <w:szCs w:val="24"/>
          <w:lang w:val="en-US" w:eastAsia="en-US"/>
        </w:rPr>
        <w:t xml:space="preserve">BIM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 дл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я нужд АО «ВНИИГ им. Б.Е. Веденеева»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945"/>
        <w:numPr>
          <w:ilvl w:val="0"/>
          <w:numId w:val="0"/>
        </w:numPr>
        <w:ind w:left="567" w:right="0" w:firstLine="0"/>
        <w:outlineLvl w:val="0"/>
      </w:pPr>
      <w:r/>
      <w:r/>
    </w:p>
    <w:p>
      <w:pPr>
        <w:pStyle w:val="1024"/>
        <w:numPr>
          <w:ilvl w:val="1"/>
          <w:numId w:val="2"/>
        </w:numPr>
        <w:contextualSpacing/>
        <w:ind w:left="567" w:hanging="567"/>
        <w:jc w:val="left"/>
        <w:spacing w:before="0" w:after="120"/>
        <w:outlineLvl w:val="0"/>
      </w:pPr>
      <w:r>
        <w:rPr>
          <w:b/>
          <w:bCs/>
        </w:rPr>
        <w:t xml:space="preserve">Цель </w:t>
      </w:r>
      <w:r>
        <w:rPr>
          <w:b/>
          <w:bCs/>
          <w:lang w:val="ru-RU"/>
        </w:rPr>
        <w:t xml:space="preserve">использования закупаемой продукции</w:t>
      </w:r>
      <w:r/>
    </w:p>
    <w:p>
      <w:pPr>
        <w:pStyle w:val="945"/>
        <w:ind w:firstLine="567"/>
        <w:jc w:val="both"/>
        <w:rPr>
          <w:highlight w:val="white"/>
        </w:rPr>
      </w:pPr>
      <w:r>
        <w:rPr>
          <w:highlight w:val="white"/>
        </w:rPr>
        <w:t xml:space="preserve">Целью закупки является повышение качества в части управления</w:t>
      </w:r>
      <w:r>
        <w:rPr>
          <w:i/>
          <w:color w:val="ff0000"/>
          <w:highlight w:val="white"/>
        </w:rPr>
        <w:t xml:space="preserve"> </w:t>
      </w:r>
      <w:r>
        <w:rPr>
          <w:highlight w:val="white"/>
        </w:rPr>
        <w:t xml:space="preserve">информационными системами и автоматизация в реализации проектов, а именно:</w:t>
      </w:r>
      <w:r>
        <w:rPr>
          <w:highlight w:val="white"/>
        </w:rPr>
      </w:r>
      <w:r>
        <w:rPr>
          <w:highlight w:val="white"/>
        </w:rPr>
      </w:r>
    </w:p>
    <w:p>
      <w:pPr>
        <w:pStyle w:val="945"/>
        <w:numPr>
          <w:ilvl w:val="0"/>
          <w:numId w:val="3"/>
        </w:numPr>
        <w:spacing w:before="0" w:after="0"/>
        <w:rPr>
          <w:highlight w:val="white"/>
        </w:rPr>
      </w:pPr>
      <w:r>
        <w:rPr>
          <w:highlight w:val="white"/>
        </w:rPr>
        <w:t xml:space="preserve">Поставка общесистемного/прикладного ПО и/или лицензионных прав для повышения качества и оперативности реализации проектов</w:t>
      </w:r>
      <w:r>
        <w:rPr>
          <w:highlight w:val="white"/>
        </w:rPr>
      </w:r>
      <w:r>
        <w:rPr>
          <w:highlight w:val="white"/>
        </w:rPr>
      </w:r>
    </w:p>
    <w:p>
      <w:pPr>
        <w:pStyle w:val="945"/>
        <w:numPr>
          <w:ilvl w:val="0"/>
          <w:numId w:val="3"/>
        </w:numPr>
        <w:ind w:left="714" w:hanging="357"/>
        <w:spacing w:before="0" w:after="0"/>
        <w:rPr>
          <w:highlight w:val="white"/>
        </w:rPr>
      </w:pPr>
      <w:r>
        <w:rPr>
          <w:highlight w:val="white"/>
        </w:rPr>
        <w:t xml:space="preserve">Переход на новые версии программного обеспечения по мере их выхода в соответствии с современными требованиями;</w:t>
      </w:r>
      <w:r>
        <w:rPr>
          <w:highlight w:val="white"/>
        </w:rPr>
      </w:r>
      <w:r>
        <w:rPr>
          <w:highlight w:val="white"/>
        </w:rPr>
      </w:r>
    </w:p>
    <w:p>
      <w:pPr>
        <w:pStyle w:val="945"/>
        <w:numPr>
          <w:ilvl w:val="0"/>
          <w:numId w:val="3"/>
        </w:numPr>
        <w:ind w:left="714" w:hanging="357"/>
        <w:spacing w:before="0" w:after="0"/>
        <w:rPr>
          <w:highlight w:val="white"/>
        </w:rPr>
      </w:pPr>
      <w:r>
        <w:rPr>
          <w:highlight w:val="white"/>
        </w:rPr>
        <w:t xml:space="preserve">Расширение базы услуг при реализации проектов</w:t>
      </w:r>
      <w:r>
        <w:rPr>
          <w:highlight w:val="white"/>
        </w:rPr>
      </w:r>
      <w:r>
        <w:rPr>
          <w:highlight w:val="white"/>
        </w:rPr>
      </w:r>
    </w:p>
    <w:p>
      <w:pPr>
        <w:pStyle w:val="945"/>
        <w:numPr>
          <w:ilvl w:val="0"/>
          <w:numId w:val="3"/>
        </w:numPr>
        <w:ind w:left="714" w:hanging="357"/>
        <w:spacing w:before="0" w:after="0"/>
        <w:rPr>
          <w:highlight w:val="white"/>
        </w:rPr>
      </w:pPr>
      <w:r>
        <w:rPr>
          <w:highlight w:val="white"/>
        </w:rPr>
        <w:t xml:space="preserve">Обеспечения возможности сотрудникам Компании выполнять свои служебные обязанности и текущие бизнес задачи</w:t>
      </w:r>
      <w:r>
        <w:rPr>
          <w:highlight w:val="white"/>
        </w:rPr>
      </w:r>
      <w:r>
        <w:rPr>
          <w:highlight w:val="white"/>
        </w:rPr>
      </w:r>
    </w:p>
    <w:p>
      <w:pPr>
        <w:pStyle w:val="945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24"/>
        <w:numPr>
          <w:ilvl w:val="0"/>
          <w:numId w:val="2"/>
        </w:numPr>
        <w:contextualSpacing/>
        <w:ind w:left="567" w:hanging="567"/>
        <w:jc w:val="center"/>
        <w:spacing w:before="0" w:after="120"/>
      </w:pPr>
      <w:r>
        <w:rPr>
          <w:b/>
          <w:bCs/>
          <w:sz w:val="28"/>
          <w:szCs w:val="28"/>
          <w:lang w:val="ru-RU"/>
        </w:rPr>
        <w:t xml:space="preserve">Требования к продукции</w:t>
      </w:r>
      <w:r/>
    </w:p>
    <w:p>
      <w:pPr>
        <w:pStyle w:val="945"/>
        <w:ind w:left="567" w:firstLine="0"/>
        <w:jc w:val="center"/>
        <w:spacing w:before="0" w:after="120"/>
      </w:pPr>
      <w:r/>
      <w:r/>
    </w:p>
    <w:p>
      <w:pPr>
        <w:pStyle w:val="1024"/>
        <w:numPr>
          <w:ilvl w:val="1"/>
          <w:numId w:val="2"/>
        </w:numPr>
        <w:contextualSpacing/>
        <w:ind w:left="567" w:hanging="567"/>
        <w:jc w:val="left"/>
        <w:spacing w:before="0" w:after="0"/>
      </w:pPr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 xml:space="preserve">поставки</w:t>
      </w:r>
      <w:r/>
    </w:p>
    <w:p>
      <w:pPr>
        <w:pStyle w:val="1024"/>
        <w:numPr>
          <w:ilvl w:val="2"/>
          <w:numId w:val="2"/>
        </w:numPr>
        <w:contextualSpacing/>
        <w:ind w:left="567" w:hanging="567"/>
        <w:jc w:val="left"/>
        <w:spacing w:before="0" w:after="120"/>
      </w:pPr>
      <w:r>
        <w:rPr>
          <w:b/>
          <w:bCs/>
          <w:lang w:val="ru-RU"/>
        </w:rPr>
        <w:t xml:space="preserve">Перечень и объем закупаемой продукции</w:t>
      </w:r>
      <w:r/>
    </w:p>
    <w:p>
      <w:pPr>
        <w:pStyle w:val="945"/>
        <w:rPr>
          <w:highlight w:val="none"/>
        </w:rPr>
      </w:pPr>
      <w:r>
        <w:rPr>
          <w:b/>
          <w:szCs w:val="24"/>
          <w:lang w:val="ru-RU"/>
        </w:rPr>
        <w:t xml:space="preserve">Таблица 1.1 Перечень и объем закупаемой продукции</w:t>
      </w:r>
      <w:r>
        <w:rPr>
          <w:highlight w:val="none"/>
        </w:rPr>
      </w:r>
      <w:r>
        <w:rPr>
          <w:highlight w:val="none"/>
        </w:rPr>
      </w:r>
    </w:p>
    <w:tbl>
      <w:tblPr>
        <w:tblW w:w="9812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7"/>
        <w:gridCol w:w="6093"/>
        <w:gridCol w:w="1701"/>
        <w:gridCol w:w="145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45"/>
              <w:jc w:val="center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3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Наименование продукции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3" w:type="dxa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102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3" w:type="dxa"/>
            <w:vAlign w:val="center"/>
            <w:textDirection w:val="lrTb"/>
            <w:noWrap w:val="false"/>
          </w:tcPr>
          <w:p>
            <w:pPr>
              <w:spacing w:before="0" w:after="0" w:line="55" w:lineRule="atLeas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Лицензия на право использования програ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ммного обеспечения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en-US"/>
              </w:rPr>
              <w:t xml:space="preserve">Pilot-BIM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постоянная лицензия на 1 подключение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sz w:val="22"/>
                <w:szCs w:val="22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pStyle w:val="945"/>
      </w:pPr>
      <w:r/>
      <w:r/>
    </w:p>
    <w:p>
      <w:pPr>
        <w:pStyle w:val="945"/>
      </w:pPr>
      <w:r/>
      <w:r/>
    </w:p>
    <w:p>
      <w:pPr>
        <w:pStyle w:val="1024"/>
        <w:numPr>
          <w:ilvl w:val="2"/>
          <w:numId w:val="2"/>
        </w:numPr>
        <w:contextualSpacing/>
        <w:ind w:left="567" w:hanging="567"/>
        <w:jc w:val="left"/>
        <w:spacing w:before="0" w:after="120"/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Требования к срокам поставки продукции</w:t>
      </w:r>
      <w:r/>
    </w:p>
    <w:p>
      <w:pPr>
        <w:pStyle w:val="945"/>
        <w:rPr>
          <w:highlight w:val="none"/>
        </w:rPr>
      </w:pPr>
      <w:r>
        <w:rPr>
          <w:b/>
          <w:szCs w:val="24"/>
          <w:lang w:val="ru-RU"/>
        </w:rPr>
        <w:t xml:space="preserve">Таблица 2.1 </w:t>
      </w:r>
      <w:bookmarkStart w:id="0" w:name="undefined"/>
      <w:r>
        <w:rPr>
          <w:b/>
          <w:szCs w:val="24"/>
          <w:lang w:val="ru-RU"/>
        </w:rPr>
        <w:t xml:space="preserve">Требования по срокам </w:t>
      </w:r>
      <w:bookmarkEnd w:id="0"/>
      <w:r>
        <w:rPr>
          <w:b/>
          <w:szCs w:val="24"/>
          <w:lang w:val="ru-RU"/>
        </w:rPr>
        <w:t xml:space="preserve">поставки продукции</w:t>
      </w:r>
      <w:r>
        <w:rPr>
          <w:highlight w:val="none"/>
        </w:rPr>
      </w:r>
      <w:r>
        <w:rPr>
          <w:highlight w:val="none"/>
        </w:rPr>
      </w:r>
    </w:p>
    <w:tbl>
      <w:tblPr>
        <w:tblW w:w="977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4253"/>
        <w:gridCol w:w="2409"/>
        <w:gridCol w:w="2440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sz w:val="24"/>
                <w:szCs w:val="24"/>
              </w:rPr>
              <w:t xml:space="preserve">Наименование продукции / партии продукции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sz w:val="24"/>
                <w:szCs w:val="24"/>
              </w:rPr>
              <w:t xml:space="preserve">Требования к началу срока поставки продукции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0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sz w:val="24"/>
                <w:szCs w:val="24"/>
              </w:rPr>
              <w:t xml:space="preserve">Требования к окончанию срока поставки продукции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1030"/>
              <w:jc w:val="center"/>
              <w:keepNext w:val="0"/>
              <w:spacing w:before="40" w:after="40"/>
            </w:pPr>
            <w:r>
              <w:rPr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0" w:type="dxa"/>
            <w:textDirection w:val="lrTb"/>
            <w:noWrap w:val="false"/>
          </w:tcPr>
          <w:p>
            <w:pPr>
              <w:pStyle w:val="1030"/>
              <w:jc w:val="center"/>
              <w:keepNext w:val="0"/>
              <w:spacing w:before="40" w:after="40"/>
            </w:pPr>
            <w:r>
              <w:rPr>
                <w:b/>
                <w:sz w:val="24"/>
                <w:szCs w:val="24"/>
              </w:rPr>
              <w:t xml:space="preserve">4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24"/>
              <w:numPr>
                <w:ilvl w:val="0"/>
                <w:numId w:val="5"/>
              </w:numPr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pStyle w:val="945"/>
              <w:jc w:val="left"/>
              <w:keepNext/>
              <w:rPr>
                <w:highlight w:val="white"/>
              </w:rPr>
            </w:pPr>
            <w:r>
              <w:rPr>
                <w:b w:val="0"/>
                <w:bCs w:val="0"/>
                <w:highlight w:val="white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Лицензия на право использования програ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ммного обеспечения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en-US"/>
              </w:rPr>
              <w:t xml:space="preserve">Pilot-BIM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постоянная лицензия на 1 подключение</w:t>
            </w:r>
            <w:r>
              <w:rPr>
                <w:highlight w:val="white"/>
                <w:lang w:eastAsia="en-US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45"/>
              <w:rPr>
                <w:highlight w:val="white"/>
              </w:rPr>
            </w:pPr>
            <w:r>
              <w:rPr>
                <w:highlight w:val="white"/>
              </w:rPr>
              <w:t xml:space="preserve">Ср</w:t>
            </w:r>
            <w:r>
              <w:rPr>
                <w:highlight w:val="white"/>
              </w:rPr>
              <w:t xml:space="preserve">ок передачи права использования в соо</w:t>
            </w:r>
            <w:r>
              <w:rPr>
                <w:highlight w:val="white"/>
              </w:rPr>
              <w:t xml:space="preserve">тветствии с условиями Проекта договора</w:t>
            </w:r>
            <w:r>
              <w:rPr>
                <w:highlight w:val="white"/>
              </w:rPr>
            </w:r>
          </w:p>
        </w:tc>
      </w:tr>
    </w:tbl>
    <w:p>
      <w:pPr>
        <w:pStyle w:val="945"/>
      </w:pPr>
      <w:r/>
      <w:r/>
    </w:p>
    <w:p>
      <w:pPr>
        <w:pStyle w:val="945"/>
        <w:shd w:val="nil" w:color="000000"/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851" w:right="851" w:bottom="851" w:left="1134" w:header="0" w:footer="709" w:gutter="0"/>
          <w:cols w:num="1" w:sep="0" w:space="1701" w:equalWidth="1"/>
          <w:docGrid w:linePitch="360"/>
        </w:sectPr>
      </w:pPr>
      <w:r/>
      <w:r/>
    </w:p>
    <w:p>
      <w:pPr>
        <w:pStyle w:val="1024"/>
        <w:numPr>
          <w:ilvl w:val="1"/>
          <w:numId w:val="2"/>
        </w:numPr>
        <w:contextualSpacing/>
        <w:ind w:left="567" w:hanging="567"/>
        <w:jc w:val="left"/>
        <w:spacing w:before="0" w:after="120"/>
      </w:pPr>
      <w:r>
        <w:rPr>
          <w:b/>
          <w:bCs/>
        </w:rPr>
        <w:t xml:space="preserve">Требования к </w:t>
      </w:r>
      <w:r>
        <w:rPr>
          <w:b/>
          <w:bCs/>
          <w:lang w:val="ru-RU"/>
        </w:rPr>
        <w:t xml:space="preserve">качеству продукции</w:t>
      </w:r>
      <w:r/>
    </w:p>
    <w:p>
      <w:pPr>
        <w:pStyle w:val="945"/>
        <w:ind w:left="0" w:right="0" w:firstLine="0"/>
        <w:jc w:val="left"/>
        <w:spacing w:before="0" w:after="120"/>
      </w:pPr>
      <w:r>
        <w:rPr>
          <w:b/>
          <w:szCs w:val="24"/>
          <w:lang w:val="ru-RU"/>
        </w:rPr>
        <w:t xml:space="preserve">Таблица 3. Требования к продукции</w:t>
      </w:r>
      <w:r/>
    </w:p>
    <w:p>
      <w:pPr>
        <w:pStyle w:val="945"/>
        <w:rPr>
          <w:highlight w:val="white"/>
        </w:rPr>
      </w:pPr>
      <w:r>
        <w:rPr>
          <w:b/>
          <w:bCs/>
          <w:sz w:val="24"/>
          <w:szCs w:val="24"/>
        </w:rPr>
        <w:t xml:space="preserve">Наименование продукции (</w:t>
      </w:r>
      <w:r>
        <w:rPr>
          <w:b/>
          <w:bCs/>
          <w:sz w:val="24"/>
          <w:szCs w:val="24"/>
        </w:rPr>
        <w:t xml:space="preserve">Таблица 1.1</w:t>
      </w:r>
      <w:r>
        <w:rPr>
          <w:b/>
          <w:bCs/>
          <w:sz w:val="24"/>
          <w:szCs w:val="24"/>
          <w:highlight w:val="white"/>
        </w:rPr>
        <w:t xml:space="preserve">):</w:t>
      </w:r>
      <w:r>
        <w:rPr>
          <w:b/>
          <w:bCs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  <w:t xml:space="preserve">Лицензия на право использования програ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  <w:t xml:space="preserve">ммного обеспечения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  <w:lang w:eastAsia="en-US"/>
        </w:rPr>
        <w:t xml:space="preserve">Pilot-BIM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  <w:t xml:space="preserve">постоянная лицензия на 1 подключение</w:t>
      </w:r>
      <w:r>
        <w:rPr>
          <w:highlight w:val="white"/>
        </w:rPr>
      </w:r>
      <w:r>
        <w:rPr>
          <w:highlight w:val="white"/>
        </w:rPr>
      </w:r>
    </w:p>
    <w:tbl>
      <w:tblPr>
        <w:tblW w:w="1492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3"/>
        <w:gridCol w:w="2199"/>
        <w:gridCol w:w="493"/>
        <w:gridCol w:w="5245"/>
        <w:gridCol w:w="1843"/>
        <w:gridCol w:w="2976"/>
        <w:gridCol w:w="163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Наименование </w:t>
            </w:r>
            <w:r>
              <w:rPr>
                <w:b/>
                <w:sz w:val="22"/>
                <w:szCs w:val="22"/>
                <w:lang w:val="ru-RU" w:bidi="ar-SA"/>
              </w:rPr>
              <w:t xml:space="preserve">продукции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8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Требование заказчика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Merge w:val="continue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8" w:type="dxa"/>
            <w:vMerge w:val="continue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Согласие с требованием/ указание характеристик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Merge w:val="continue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1</w:t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2</w:t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8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3</w:t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  <w:r>
              <w:rPr>
                <w:b/>
                <w:i w:val="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4</w:t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5</w:t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center"/>
              <w:spacing w:before="0" w:after="120"/>
              <w:widowControl/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6</w:t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  <w:r>
              <w:rPr>
                <w:b/>
                <w:bCs w:val="0"/>
                <w:i w:val="0"/>
                <w:iCs/>
                <w:sz w:val="24"/>
                <w:szCs w:val="24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lang w:val="ru-RU" w:bidi="ar-SA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1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lang w:val="ru-RU" w:bidi="ar-SA"/>
              </w:rPr>
            </w:pPr>
            <w:r>
              <w:rPr>
                <w:rFonts w:cs="Times New Roman"/>
                <w:b/>
                <w:bCs/>
                <w:i w:val="0"/>
                <w:sz w:val="24"/>
                <w:szCs w:val="24"/>
                <w:lang w:val="ru-RU" w:bidi="ar-SA"/>
              </w:rPr>
              <w:t xml:space="preserve">Требования к техническим и функциональным характеристикам (включая гарантируемые показатели)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1.1</w:t>
            </w:r>
            <w:r>
              <w:rPr>
                <w:bCs w:val="0"/>
                <w:szCs w:val="22"/>
              </w:rPr>
            </w:r>
            <w:r>
              <w:rPr>
                <w:bCs w:val="0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highlight w:val="white"/>
              </w:rPr>
            </w:pPr>
            <w:r>
              <w:rPr>
                <w:sz w:val="22"/>
                <w:szCs w:val="22"/>
                <w:lang w:val="ru-RU" w:bidi="ar-SA"/>
              </w:rPr>
              <w:t xml:space="preserve">Все поставляемое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программное обеспечение должно быть в последней версии на момент </w:t>
            </w:r>
            <w:r>
              <w:rPr>
                <w:sz w:val="22"/>
                <w:szCs w:val="22"/>
                <w:lang w:val="ru-RU" w:bidi="ar-SA"/>
              </w:rPr>
              <w:t xml:space="preserve">его</w:t>
            </w:r>
            <w:r>
              <w:rPr>
                <w:sz w:val="22"/>
                <w:szCs w:val="22"/>
                <w:lang w:val="ru-RU" w:bidi="ar-SA"/>
              </w:rPr>
              <w:t xml:space="preserve"> передачи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sz w:val="22"/>
                <w:szCs w:val="22"/>
                <w:lang w:val="en-US" w:bidi="ar-SA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1.2</w:t>
            </w:r>
            <w:r>
              <w:rPr>
                <w:bCs w:val="0"/>
                <w:szCs w:val="22"/>
              </w:rPr>
            </w:r>
            <w:r>
              <w:rPr>
                <w:bCs w:val="0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bidi="ar-SA"/>
              </w:rPr>
              <w:t xml:space="preserve">Т</w:t>
            </w:r>
            <w:r>
              <w:rPr>
                <w:rFonts w:cs="Times New Roman"/>
                <w:b w:val="0"/>
                <w:i w:val="0"/>
                <w:iCs/>
                <w:sz w:val="22"/>
                <w:szCs w:val="24"/>
                <w:highlight w:val="white"/>
                <w:lang w:val="ru-RU" w:bidi="ar-SA"/>
              </w:rPr>
              <w:t xml:space="preserve">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требованиям.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Передача права использования программного обеспечения должна производиться с учетом информацией, указанной </w:t>
            </w:r>
            <w:r>
              <w:rPr>
                <w:rFonts w:cs="Times New Roman"/>
                <w:b w:val="0"/>
                <w:i w:val="0"/>
                <w:iCs/>
                <w:sz w:val="22"/>
                <w:szCs w:val="24"/>
                <w:highlight w:val="white"/>
                <w:lang w:val="ru-RU" w:bidi="ar-SA"/>
              </w:rPr>
              <w:t xml:space="preserve">в Приложении № 1 к настоящим Техническим требованиям.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Участник должен предоставить в составе заявки заполненное Приложение №1 к настоящим Техническим требованиям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>
          <w:trHeight w:val="10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1.3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bidi="ar-SA"/>
              </w:rPr>
              <w:t xml:space="preserve">Программное обеспечение, указанн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ое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в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Таблице 1.1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 «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Пе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речень и объем закупаемой продукции»,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 должно быть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совместимо с одной из отечественных операционных систем, включенных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 в </w:t>
            </w:r>
            <w:hyperlink r:id="rId23" w:tooltip="https://reestr.digital.gov.ru/" w:history="1">
              <w:r>
                <w:rPr>
                  <w:rStyle w:val="985"/>
                  <w:sz w:val="22"/>
                  <w:szCs w:val="22"/>
                  <w:highlight w:val="white"/>
                  <w:lang w:val="ru-RU" w:bidi="ar-SA"/>
                </w:rPr>
                <w:t xml:space="preserve">реестр российского программного обеспечения</w:t>
              </w:r>
            </w:hyperlink>
            <w:r>
              <w:rPr>
                <w:sz w:val="22"/>
                <w:szCs w:val="22"/>
                <w:highlight w:val="white"/>
                <w:lang w:val="ru-RU" w:bidi="ar-SA"/>
              </w:rPr>
              <w:t xml:space="preserve">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i/>
                <w:iCs/>
                <w:sz w:val="22"/>
                <w:szCs w:val="22"/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  <w:lang w:val="ru-RU" w:bidi="ar-SA"/>
              </w:rPr>
              <w:t xml:space="preserve">Согласие с требованием</w:t>
            </w: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 w:bidi="ar-SA"/>
              </w:rPr>
              <w:t xml:space="preserve">–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 w:val="0"/>
                <w:bCs w:val="0"/>
                <w:i w:val="0"/>
                <w:sz w:val="22"/>
                <w:lang w:val="ru-RU" w:bidi="ar-SA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1.4</w:t>
            </w:r>
            <w:r>
              <w:rPr>
                <w:b w:val="0"/>
                <w:bCs w:val="0"/>
                <w:i w:val="0"/>
                <w:sz w:val="22"/>
                <w:lang w:val="ru-RU" w:bidi="ar-SA"/>
              </w:rPr>
            </w:r>
            <w:r>
              <w:rPr>
                <w:b w:val="0"/>
                <w:bCs w:val="0"/>
                <w:i w:val="0"/>
                <w:sz w:val="22"/>
                <w:lang w:val="ru-RU" w:bidi="ar-SA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Требования к программному обеспече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нию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создания СОД (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среды общих данных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)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: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right="0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Унификация структуры хранения документации объектов капитального строительства.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Автоматизация процессов получения от подрядных организаций и загрузки в ПО СОД скомплектованных (в соответствии с требованиями СОД) инженерной документации совместно с исходными файлами в оригинальных форматах программ раз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работки.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b w:val="0"/>
                <w:bCs w:val="0"/>
                <w:i w:val="0"/>
                <w:color w:val="000000" w:themeColor="text1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Поиск документов в ПО СОД по их атрибутам и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т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екстовому содержимому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на 2D электронных документах.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Организация процессов отработки замечаний и комплектов инженерной документации с исправлениями.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Хранение всех создаваемых в рамках отработки замечаний версий инженерной документации с привязкой к пользователю, вносившему изменения.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Автоматизация процессов контроля устранения замечаний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к документам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с использованием современных средств автоматизации (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а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втоматическое сравнение версий текстовых и графических документов с выявлением и отображением различий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).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Формирование аналитических отчетов по бизнес-процессам, автоматизируемым ПО СОД.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Ведение электронного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архива инженерной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документации.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Документация должн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а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храниться в единой базе данных с разграничением доступа согласно настройке прав отдельных пользователей и групп.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иметь функционал оповещения пользователей о событиях в системе в виде всплывающих окон, обеспечивая связь с объектами СОД на основе системы гиперссылок.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Уведомления должны быть структурированы в диспетчере уведомлений.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В ПО СОД должна быть обеспечена возможность отключения всплывающих окон с любого рабочего места, в том числе пользователя.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Для минимизации трафика между сервером ПО СОД и рабочими местами пользователей должны использоваться следующие технологии: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Кэширование всех получаемых данных (метаданных, файлов, документов) в базах данных клиентских приложений на компьютерах пользователей.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При работе пользователей с файлами проектов должно быть обеспечено монтирование (подключение в клиентском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приложении) файловых структур только востребованных пользовател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ем проектов. Пользователь должен получать данные только по тем проектам, в которых он участвует. По окончанию работы наиболее неактуальный проект может быть размонтирован (отключен), файлы такого проекта должны быть удалены из локального кэша пользователя;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При загрузке на клиентские рабочие места с сервера любых данных должны применяться технологии ленивой загрузки (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lazy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loading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), обеспечивающие загрузку на компьютер пользователя только востребованного контента и только по мере обращения к нему. Превентивная загрузка невостребованных данных должна быть исключена во всех случаях, когда это возможно;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Должна быть реализована потоковая загрузка файлов. С сервера ПО СОД на клиентские рабочие места должен загружаться только востребованный контент (необходимое для работы пользователей содержимое файла по мере обращения к нему используемых пол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ьзователем программ и приложений). Принудительная загрузка файлов целиком должна быть опциональной (выполняться принудительно по запросу пользователя). Например, для обеспечения работы без подключения к серверу на ноутбуке при выездной работе специалистов;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Передача данных между клиентским приложением и сервером должна осуществляться в режиме обмена изменениями во всех случаях, когда это возможно. Повторная отправка файлов электронных документов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 сервера на клиентское приложение и с клиентского приложения на сервер должна быть исключена при выполнении операций просмотра документов, простановки замечаний, переписки по замечаниям, подписания документов, управления статусами и атрибутами документов;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Отправка данных пользователя с клиентского приложения на сервер должна осуществляться в фоновом режиме без блокирования функционала работы пользователя с данными. Ожидание пользователем завершения отправки данных на сервер должно быть исключено.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В ПО СОД должны быть реализованы механизмы временного и/или постоянного замещения одних пользователей другими с возможностью передачи всей истории информационных моделей, файлов, документов, замечаний, процессов, заданий и т.д. заместителю.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автоматизированное формирование пакета данных для экспорта по выбранному проекту с получением структуры файлов (для записи на CD/DVD либо съемный носитель информации). У функционала экспорта должна быть в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озможность создания интерактивной HTML-оболочки, наполненной электронными документами, накопленными пользователями во время работы над проектом. Данные должны выгружаться в том формате, в котором они накапливались (по умолчанию для накопления документации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и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спользуются форматы PDF и XPS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), исходные файлы могут храниться в любом формате. XML схема выгрузки должна включать выгрузку в соответствии со схемой ГОСТ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Р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21.101- 2020.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СОД должн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о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 обеспечивать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назначение ответственных за замечание (при необходимости) с автоматической отправкой ответственным уведомления;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сохранение переписки пользователей по замечаниям с возможностью обмена активными ссылками, управление статусами замечаний;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возможность организации структуры хранения информации с разграничением прав доступа к определенным типам разделов, папок, документов, файлов;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возможность загрузки, хранения исходно-разрешительной документации и передачи этой информации в качестве базовых бизнес-процессов «Задача» и «Процесс согласования».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возможность загрузки, хранения проектно-сметной документации стадии «П», стадии «Р», информационной модели и передачи этой информации в качестве базовых бизнес-процессов «Задача» и «Процесс согласования».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  <w:p>
            <w:pPr>
              <w:pStyle w:val="1024"/>
              <w:numPr>
                <w:ilvl w:val="0"/>
                <w:numId w:val="16"/>
              </w:numPr>
              <w:ind w:left="709" w:hanging="360"/>
              <w:jc w:val="left"/>
              <w:spacing w:before="0" w:after="120"/>
              <w:widowControl/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</w:rPr>
              <w:t xml:space="preserve">ПО СОД должно обеспечивать контроль согласования проектно-сметной документации стадии «П», стадии «Р», информационной модели согласно процессам предприятия, с контролем изменений по документу, модели.</w:t>
            </w:r>
            <w:r>
              <w:rPr>
                <w:rFonts w:cs="Times New Roman"/>
                <w:b w:val="0"/>
                <w:bCs w:val="0"/>
                <w:i w:val="0"/>
                <w:iCs w:val="0"/>
                <w:sz w:val="22"/>
                <w:szCs w:val="22"/>
                <w:highlight w:val="white"/>
                <w:lang w:val="ru-RU" w:eastAsia="en-US" w:bidi="ar-SA"/>
                <w14:ligatures w14:val="none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  <w:highlight w:val="white"/>
                <w:lang w:val="ru-RU" w:eastAsia="en-US" w:bidi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i/>
                <w:iCs/>
                <w:sz w:val="22"/>
                <w:szCs w:val="22"/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  <w:lang w:val="ru-RU" w:bidi="ar-SA"/>
              </w:rPr>
              <w:t xml:space="preserve">Согласие с требованием</w:t>
            </w: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 w:bidi="ar-SA"/>
              </w:rPr>
              <w:t xml:space="preserve">–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Merge w:val="restart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2</w:t>
            </w:r>
            <w:r>
              <w:rPr>
                <w:bCs w:val="0"/>
              </w:rPr>
            </w:r>
            <w:r>
              <w:rPr>
                <w:bCs w:val="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bidi="ar-SA"/>
              </w:rPr>
              <w:t xml:space="preserve">Требования к</w:t>
            </w: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lang w:val="ru-RU" w:bidi="ar-SA"/>
              </w:rPr>
              <w:t xml:space="preserve">доставке, маркировке, упаковке, транспортировке,  перемещению, условиям хранения, приемке и испытаниям</w:t>
            </w:r>
            <w:r>
              <w:rPr>
                <w:bCs w:val="0"/>
                <w:szCs w:val="22"/>
                <w:lang w:val="ru-RU"/>
              </w:rPr>
            </w:r>
            <w:r>
              <w:rPr>
                <w:bCs w:val="0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2.1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bidi="ar-SA"/>
              </w:rPr>
              <w:t xml:space="preserve">Лицензиат своими силами либо с привлечением третьих лиц осуществляет доставку программного обеспечения по указанным адресам. В случае если общесистемное/прикладное ПО и/или лицензионные права представляют со</w:t>
            </w:r>
            <w:r>
              <w:rPr>
                <w:sz w:val="22"/>
                <w:szCs w:val="22"/>
                <w:lang w:val="ru-RU" w:bidi="ar-SA"/>
              </w:rPr>
              <w:t xml:space="preserve">бой электронные экземпляры, такие экземпляры направляются Сублицензиату средствами электронной связи, либо путем направления уведомления о возможности Сублицензиату самостоятельно скачать электронные экземпляры с Интернет-ресурса, указанного в уведомлении.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sz w:val="22"/>
                <w:szCs w:val="22"/>
                <w:lang w:val="en-US" w:bidi="ar-SA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2.2</w:t>
            </w:r>
            <w:r>
              <w:rPr>
                <w:bCs w:val="0"/>
                <w:szCs w:val="22"/>
              </w:rPr>
            </w:r>
            <w:r>
              <w:rPr>
                <w:bCs w:val="0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  <w:lang w:val="ru-RU"/>
              </w:rPr>
            </w:pPr>
            <w:r>
              <w:rPr>
                <w:sz w:val="22"/>
                <w:szCs w:val="22"/>
                <w:lang w:val="ru-RU" w:bidi="ar-SA"/>
              </w:rPr>
              <w:t xml:space="preserve">Адрес доставки продукции согласно Спецификации №1</w:t>
            </w:r>
            <w:r>
              <w:rPr>
                <w:bCs w:val="0"/>
                <w:szCs w:val="22"/>
                <w:lang w:val="ru-RU"/>
              </w:rPr>
            </w:r>
            <w:r>
              <w:rPr>
                <w:bCs w:val="0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Продукция согласно Спецификации №1 должна быть доставлена по адресу: 195220, г. Санкт-Петербург, ул. Гжатская, д.21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sz w:val="22"/>
                <w:szCs w:val="22"/>
                <w:lang w:val="en-US" w:bidi="ar-SA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</w:rPr>
            </w:pPr>
            <w:r>
              <w:rPr>
                <w:b/>
                <w:i w:val="0"/>
                <w:sz w:val="24"/>
                <w:szCs w:val="24"/>
                <w:lang w:val="ru-RU" w:bidi="ar-SA"/>
              </w:rPr>
              <w:t xml:space="preserve">3</w:t>
            </w:r>
            <w:r>
              <w:rPr>
                <w:bCs w:val="0"/>
              </w:rPr>
            </w:r>
            <w:r>
              <w:rPr>
                <w:bCs w:val="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bidi="ar-SA"/>
              </w:rPr>
              <w:t xml:space="preserve">Требования к гарантиям, гарантийному и послегарантийному обслуживанию</w:t>
            </w:r>
            <w:r>
              <w:rPr>
                <w:bCs w:val="0"/>
              </w:rPr>
            </w:r>
            <w:r>
              <w:rPr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i/>
                <w:iCs/>
                <w:lang w:val="en-US" w:bidi="ar-SA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</w:rPr>
            </w:pPr>
            <w:r>
              <w:rPr>
                <w:b w:val="0"/>
                <w:bCs w:val="0"/>
                <w:i w:val="0"/>
                <w:sz w:val="22"/>
                <w:lang w:val="ru-RU" w:bidi="ar-SA"/>
              </w:rPr>
              <w:t xml:space="preserve">3.1</w:t>
            </w:r>
            <w:r>
              <w:rPr>
                <w:bCs w:val="0"/>
                <w:szCs w:val="22"/>
              </w:rPr>
            </w:r>
            <w:r>
              <w:rPr>
                <w:bCs w:val="0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bCs w:val="0"/>
                <w:szCs w:val="22"/>
                <w:lang w:val="ru-RU"/>
              </w:rPr>
            </w:pPr>
            <w:r>
              <w:rPr>
                <w:sz w:val="22"/>
                <w:szCs w:val="22"/>
                <w:lang w:val="ru-RU" w:bidi="ar-SA"/>
              </w:rPr>
              <w:t xml:space="preserve">Техническая поддержка</w:t>
            </w:r>
            <w:r>
              <w:rPr>
                <w:bCs w:val="0"/>
                <w:szCs w:val="22"/>
                <w:lang w:val="ru-RU"/>
              </w:rPr>
            </w:r>
            <w:r>
              <w:rPr>
                <w:bCs w:val="0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945"/>
              <w:jc w:val="left"/>
              <w:spacing w:before="0" w:after="120"/>
              <w:widowControl/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lang w:val="ru-RU" w:bidi="ar-SA"/>
              </w:rPr>
              <w:t xml:space="preserve">В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дополнение к настоящим Техническим требованиям в комплект поставки общесистемного / прикладного ПО и/или лицензионных прав должно входить: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  <w:p>
            <w:pPr>
              <w:pStyle w:val="945"/>
              <w:jc w:val="left"/>
              <w:spacing w:before="0" w:after="120"/>
              <w:widowControl/>
              <w:rPr>
                <w:highlight w:val="yellow"/>
              </w:rPr>
            </w:pPr>
            <w:r>
              <w:rPr>
                <w:sz w:val="22"/>
                <w:szCs w:val="22"/>
                <w:highlight w:val="white"/>
                <w:lang w:val="ru-RU" w:bidi="ar-SA"/>
              </w:rPr>
              <w:t xml:space="preserve">Ин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формационная поддержка, которая включает в себя бесплатную дистанционную информационно – техническую поддержку пользователей по телефону, e-mail и интернет в течение 1 года с момента получения лицензии к каждой программе, если больший срок не предоставляет</w:t>
            </w:r>
            <w:r>
              <w:rPr>
                <w:sz w:val="22"/>
                <w:szCs w:val="22"/>
                <w:lang w:val="ru-RU" w:bidi="ar-SA"/>
              </w:rPr>
              <w:t xml:space="preserve">ся Правообладателем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i/>
                <w:i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5"/>
              <w:jc w:val="center"/>
              <w:spacing w:before="0" w:after="0"/>
              <w:widowControl/>
              <w:rPr>
                <w:lang w:val="en-US"/>
              </w:rPr>
            </w:pPr>
            <w:r>
              <w:rPr>
                <w:sz w:val="22"/>
                <w:szCs w:val="22"/>
                <w:lang w:val="en-US" w:bidi="ar-SA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45"/>
              <w:jc w:val="left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4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Прочие (дополнительные) требования к продукции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 w:val="0"/>
                <w:bCs w:val="0"/>
                <w:i w:val="0"/>
                <w:sz w:val="22"/>
                <w:lang w:val="ru-RU"/>
              </w:rPr>
              <w:t xml:space="preserve">4.1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vMerge w:val="restart"/>
            <w:textDirection w:val="lrTb"/>
            <w:noWrap w:val="false"/>
          </w:tcPr>
          <w:p>
            <w:pPr>
              <w:jc w:val="left"/>
              <w:spacing w:before="0" w:after="120"/>
              <w:widowControl/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pPr>
            <w:r>
              <w:rPr>
                <w:sz w:val="22"/>
                <w:szCs w:val="22"/>
                <w:highlight w:val="white"/>
                <w:lang w:val="ru-RU" w:bidi="ar-SA"/>
              </w:rPr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Требования к происхождению поставляемой продукции</w:t>
            </w:r>
            <w:r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r>
            <w:r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Merge w:val="restart"/>
            <w:textDirection w:val="lrTb"/>
            <w:noWrap w:val="false"/>
          </w:tcPr>
          <w:p>
            <w:pPr>
              <w:jc w:val="left"/>
              <w:spacing w:before="0" w:after="120"/>
              <w:widowControl/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pPr>
            <w:r>
              <w:rPr>
                <w:sz w:val="22"/>
                <w:szCs w:val="22"/>
                <w:highlight w:val="white"/>
                <w:lang w:val="ru-RU" w:bidi="ar-SA"/>
              </w:rPr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Поставляемое программное обеспечен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ие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Об утверждении Правил формирования и ведения 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ации</w:t>
            </w:r>
            <w:r>
              <w:rPr>
                <w:sz w:val="22"/>
                <w:szCs w:val="22"/>
                <w:highlight w:val="white"/>
                <w:lang w:val="ru-RU" w:bidi="ar-SA"/>
              </w:rPr>
              <w:t xml:space="preserve">». </w:t>
            </w:r>
            <w:r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r>
            <w:r>
              <w:rPr>
                <w:sz w:val="22"/>
                <w:szCs w:val="22"/>
                <w:highlight w:val="white"/>
                <w:lang w:val="ru-RU" w:bidi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Учас</w:t>
            </w:r>
            <w:r>
              <w:rPr>
                <w:i/>
                <w:iCs/>
                <w:sz w:val="22"/>
                <w:szCs w:val="22"/>
                <w:highlight w:val="white"/>
              </w:rPr>
              <w:t xml:space="preserve">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pStyle w:val="945"/>
      </w:pPr>
      <w:r/>
      <w:r/>
    </w:p>
    <w:p>
      <w:pPr>
        <w:pStyle w:val="1024"/>
        <w:numPr>
          <w:ilvl w:val="2"/>
          <w:numId w:val="2"/>
        </w:numPr>
        <w:contextualSpacing/>
        <w:ind w:left="567" w:hanging="567"/>
        <w:jc w:val="left"/>
        <w:spacing w:before="0" w:after="120"/>
        <w:rPr>
          <w:b/>
          <w:bCs/>
          <w:highlight w:val="white"/>
          <w14:ligatures w14:val="none"/>
        </w:rPr>
      </w:pPr>
      <w:r>
        <w:rPr>
          <w:b/>
          <w:bCs/>
          <w:highlight w:val="white"/>
        </w:rPr>
        <w:t xml:space="preserve">В</w:t>
      </w:r>
      <w:r>
        <w:rPr>
          <w:b/>
          <w:bCs/>
        </w:rPr>
        <w:t xml:space="preserve"> составе заявки необ</w:t>
      </w:r>
      <w:r>
        <w:rPr>
          <w:b/>
          <w:bCs/>
          <w:highlight w:val="white"/>
        </w:rPr>
        <w:t xml:space="preserve">ходимо предоставить</w:t>
      </w:r>
      <w:r>
        <w:rPr>
          <w:b/>
          <w:bCs/>
          <w:highlight w:val="white"/>
          <w:lang w:val="ru-RU"/>
        </w:rPr>
        <w:t xml:space="preserve">:</w:t>
      </w:r>
      <w:r>
        <w:rPr>
          <w:b/>
          <w:bCs/>
          <w:highlight w:val="white"/>
          <w14:ligatures w14:val="none"/>
        </w:rPr>
      </w:r>
      <w:r>
        <w:rPr>
          <w:b/>
          <w:bCs/>
          <w:highlight w:val="white"/>
          <w14:ligatures w14:val="none"/>
        </w:rPr>
      </w:r>
    </w:p>
    <w:p>
      <w:pPr>
        <w:pStyle w:val="1024"/>
        <w:numPr>
          <w:ilvl w:val="0"/>
          <w:numId w:val="7"/>
        </w:numPr>
        <w:contextualSpacing/>
        <w:jc w:val="left"/>
        <w:spacing w:before="0" w:after="0"/>
        <w:rPr>
          <w:b w:val="0"/>
          <w:bCs w:val="0"/>
          <w:highlight w:val="white"/>
          <w14:ligatures w14:val="none"/>
        </w:rPr>
      </w:pPr>
      <w:r>
        <w:rPr>
          <w:b w:val="0"/>
          <w:bCs w:val="0"/>
          <w:szCs w:val="24"/>
          <w:highlight w:val="white"/>
          <w:lang w:val="ru-RU"/>
        </w:rPr>
        <w:t xml:space="preserve">Техническое предложение с з</w:t>
      </w:r>
      <w:r>
        <w:rPr>
          <w:b w:val="0"/>
          <w:bCs w:val="0"/>
          <w:highlight w:val="white"/>
          <w:lang w:val="ru-RU"/>
        </w:rPr>
        <w:t xml:space="preserve">аполненным Приложением №1 к настоящим Техническим требованиям</w:t>
      </w:r>
      <w:r>
        <w:rPr>
          <w:b w:val="0"/>
          <w:bCs w:val="0"/>
          <w:highlight w:val="white"/>
          <w14:ligatures w14:val="none"/>
        </w:rPr>
      </w:r>
      <w:r>
        <w:rPr>
          <w:b w:val="0"/>
          <w:bCs w:val="0"/>
          <w:highlight w:val="white"/>
          <w14:ligatures w14:val="none"/>
        </w:rPr>
      </w:r>
    </w:p>
    <w:p>
      <w:pPr>
        <w:pStyle w:val="945"/>
        <w:ind w:left="0" w:firstLine="0"/>
        <w:jc w:val="left"/>
        <w:spacing w:before="0" w:after="120"/>
        <w:sectPr>
          <w:footerReference w:type="default" r:id="rId12"/>
          <w:footerReference w:type="first" r:id="rId13"/>
          <w:footnotePr/>
          <w:endnotePr/>
          <w:type w:val="nextPage"/>
          <w:pgSz w:w="16838" w:h="11906" w:orient="landscape"/>
          <w:pgMar w:top="1134" w:right="851" w:bottom="851" w:left="851" w:header="0" w:footer="709" w:gutter="0"/>
          <w:cols w:num="1" w:sep="0" w:space="1701" w:equalWidth="1"/>
          <w:docGrid w:linePitch="360"/>
        </w:sectPr>
      </w:pPr>
      <w:r/>
      <w:r/>
    </w:p>
    <w:p>
      <w:pPr>
        <w:pStyle w:val="1024"/>
        <w:numPr>
          <w:ilvl w:val="0"/>
          <w:numId w:val="2"/>
        </w:numPr>
        <w:contextualSpacing/>
        <w:ind w:left="567" w:hanging="567"/>
        <w:jc w:val="center"/>
        <w:spacing w:before="0" w:after="120"/>
      </w:pPr>
      <w:r>
        <w:rPr>
          <w:b/>
          <w:bCs/>
          <w:sz w:val="28"/>
          <w:szCs w:val="28"/>
          <w:lang w:val="ru-RU"/>
        </w:rPr>
        <w:t xml:space="preserve">Требования к документации по ценообразованию  на этапе закупки.</w:t>
      </w:r>
      <w:r/>
    </w:p>
    <w:p>
      <w:pPr>
        <w:pStyle w:val="945"/>
        <w:numPr>
          <w:ilvl w:val="1"/>
          <w:numId w:val="6"/>
        </w:numPr>
        <w:jc w:val="both"/>
        <w:spacing w:before="0" w:after="0"/>
      </w:pPr>
      <w:r>
        <w:rPr>
          <w:bCs/>
          <w:i w:val="0"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bCs/>
          <w:i w:val="0"/>
          <w:iCs/>
          <w:sz w:val="24"/>
          <w:szCs w:val="24"/>
        </w:rPr>
        <w:t xml:space="preserve">.</w:t>
      </w:r>
      <w:r/>
    </w:p>
    <w:p>
      <w:pPr>
        <w:pStyle w:val="945"/>
        <w:numPr>
          <w:ilvl w:val="1"/>
          <w:numId w:val="6"/>
        </w:numPr>
        <w:jc w:val="both"/>
        <w:spacing w:before="0" w:after="120"/>
      </w:pPr>
      <w:r>
        <w:rPr>
          <w:bCs/>
          <w:i w:val="0"/>
          <w:iCs/>
          <w:sz w:val="24"/>
          <w:szCs w:val="24"/>
        </w:rPr>
        <w:t xml:space="preserve">Дополнительные документы по ценообразованию в состав заявки не включаются.</w:t>
      </w:r>
      <w:r/>
    </w:p>
    <w:p>
      <w:pPr>
        <w:pStyle w:val="1024"/>
        <w:numPr>
          <w:ilvl w:val="0"/>
          <w:numId w:val="2"/>
        </w:numPr>
        <w:contextualSpacing/>
        <w:ind w:left="567" w:hanging="567"/>
        <w:jc w:val="center"/>
        <w:spacing w:before="0" w:after="120"/>
      </w:pPr>
      <w:r>
        <w:rPr>
          <w:b/>
          <w:bCs/>
          <w:sz w:val="28"/>
          <w:szCs w:val="28"/>
          <w:lang w:val="ru-RU"/>
        </w:rPr>
        <w:t xml:space="preserve">Требования к документации по ценообразованию на этапе заключения (исполнения) договора.</w:t>
      </w:r>
      <w:r/>
    </w:p>
    <w:p>
      <w:pPr>
        <w:pStyle w:val="945"/>
        <w:ind w:left="1134" w:right="0" w:hanging="425"/>
        <w:jc w:val="left"/>
        <w:spacing w:before="0" w:after="120"/>
      </w:pPr>
      <w:r>
        <w:rPr>
          <w:b w:val="0"/>
          <w:sz w:val="24"/>
          <w:lang w:val="ru-RU"/>
        </w:rPr>
        <w:t xml:space="preserve">4.1 </w:t>
      </w:r>
      <w:r>
        <w:rPr>
          <w:i w:val="0"/>
          <w:sz w:val="24"/>
        </w:rPr>
        <w:t xml:space="preserve">В цену поставки включаются все расходы Исполнителя, производимые им в процессе поставки, в том числе расходы на доставку, уплату налогов, сборов, иных обязательных платежей</w:t>
      </w:r>
      <w:r>
        <w:rPr>
          <w:bCs/>
          <w:i w:val="0"/>
          <w:iCs/>
          <w:sz w:val="24"/>
          <w:szCs w:val="24"/>
        </w:rPr>
        <w:t xml:space="preserve">.</w:t>
      </w:r>
      <w:r/>
    </w:p>
    <w:p>
      <w:pPr>
        <w:pStyle w:val="1024"/>
        <w:numPr>
          <w:ilvl w:val="0"/>
          <w:numId w:val="2"/>
        </w:numPr>
        <w:contextualSpacing/>
        <w:ind w:left="567" w:hanging="567"/>
        <w:jc w:val="center"/>
        <w:spacing w:before="0" w:after="120"/>
      </w:pPr>
      <w:r>
        <w:rPr>
          <w:b/>
          <w:bCs/>
          <w:sz w:val="28"/>
          <w:szCs w:val="28"/>
          <w:lang w:val="ru-RU"/>
        </w:rPr>
        <w:t xml:space="preserve">Приложения</w:t>
      </w:r>
      <w:r/>
    </w:p>
    <w:p>
      <w:pPr>
        <w:pStyle w:val="945"/>
        <w:ind w:left="1134" w:right="0" w:firstLine="0"/>
        <w:jc w:val="left"/>
        <w:spacing w:before="0" w:after="120"/>
      </w:pPr>
      <w:r>
        <w:rPr>
          <w:i w:val="0"/>
          <w:sz w:val="24"/>
          <w:lang w:val="ru-RU"/>
        </w:rPr>
        <w:t xml:space="preserve">Приложение №1 </w:t>
      </w:r>
      <w:r>
        <w:rPr>
          <w:rFonts w:cs="Times New Roman"/>
          <w:b w:val="0"/>
          <w:bCs w:val="0"/>
          <w:i w:val="0"/>
          <w:sz w:val="24"/>
          <w:szCs w:val="24"/>
        </w:rPr>
        <w:t xml:space="preserve">Требования к техническим и функциональным характеристикам (включая гарантируемые показатели)</w:t>
      </w:r>
      <w:r/>
    </w:p>
    <w:p>
      <w:pPr>
        <w:pStyle w:val="945"/>
      </w:pPr>
      <w:r/>
      <w:r/>
    </w:p>
    <w:p>
      <w:pPr>
        <w:pStyle w:val="945"/>
      </w:pPr>
      <w:r/>
      <w:r/>
    </w:p>
    <w:p>
      <w:pPr>
        <w:pStyle w:val="945"/>
        <w:shd w:val="nil" w:color="auto"/>
        <w:sectPr>
          <w:footerReference w:type="default" r:id="rId14"/>
          <w:footerReference w:type="first" r:id="rId15"/>
          <w:footnotePr/>
          <w:endnotePr/>
          <w:type w:val="nextPage"/>
          <w:pgSz w:w="11906" w:h="16838" w:orient="portrait"/>
          <w:pgMar w:top="851" w:right="851" w:bottom="851" w:left="1134" w:header="0" w:footer="709" w:gutter="0"/>
          <w:cols w:num="1" w:sep="0" w:space="1701" w:equalWidth="1"/>
          <w:docGrid w:linePitch="360"/>
        </w:sectPr>
      </w:pPr>
      <w:r>
        <w:br w:type="page" w:clear="all"/>
      </w:r>
      <w:r/>
    </w:p>
    <w:p>
      <w:pPr>
        <w:pStyle w:val="1024"/>
        <w:ind w:left="360"/>
        <w:jc w:val="right"/>
      </w:pPr>
      <w:r>
        <w:rPr>
          <w:b/>
          <w:bCs/>
        </w:rPr>
        <w:t xml:space="preserve">Приложение №1 </w:t>
      </w:r>
      <w:r/>
    </w:p>
    <w:p>
      <w:pPr>
        <w:pStyle w:val="1024"/>
        <w:ind w:left="360"/>
        <w:jc w:val="right"/>
      </w:pPr>
      <w:r>
        <w:rPr>
          <w:b/>
          <w:bCs/>
        </w:rPr>
        <w:t xml:space="preserve">к Техническим требованиям</w:t>
      </w:r>
      <w:r/>
    </w:p>
    <w:p>
      <w:pPr>
        <w:pStyle w:val="1024"/>
        <w:ind w:left="360"/>
        <w:jc w:val="center"/>
      </w:pPr>
      <w:r/>
      <w:r/>
    </w:p>
    <w:p>
      <w:pPr>
        <w:pStyle w:val="945"/>
        <w:jc w:val="center"/>
        <w:tabs>
          <w:tab w:val="left" w:pos="374" w:leader="none"/>
          <w:tab w:val="clear" w:pos="708" w:leader="none"/>
        </w:tabs>
      </w:pPr>
      <w:r>
        <w:rPr>
          <w:rFonts w:cs="Times New Roman"/>
          <w:b w:val="0"/>
          <w:bCs w:val="0"/>
          <w:i w:val="0"/>
          <w:sz w:val="24"/>
          <w:szCs w:val="24"/>
        </w:rPr>
        <w:t xml:space="preserve">Требования к техническим и функциональным характеристикам (включая гарантируемые показатели)</w:t>
      </w:r>
      <w:r/>
    </w:p>
    <w:p>
      <w:pPr>
        <w:pStyle w:val="945"/>
        <w:jc w:val="center"/>
        <w:tabs>
          <w:tab w:val="left" w:pos="374" w:leader="none"/>
          <w:tab w:val="clear" w:pos="708" w:leader="none"/>
        </w:tabs>
      </w:pPr>
      <w:r/>
      <w:r/>
    </w:p>
    <w:tbl>
      <w:tblPr>
        <w:tblW w:w="15023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418"/>
        <w:gridCol w:w="5101"/>
        <w:gridCol w:w="1276"/>
        <w:gridCol w:w="1843"/>
        <w:gridCol w:w="1701"/>
        <w:gridCol w:w="1701"/>
        <w:gridCol w:w="1984"/>
      </w:tblGrid>
      <w:tr>
        <w:tblPrEx/>
        <w:trPr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t xml:space="preserve">№ 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t xml:space="preserve">позиции 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br w:type="textWrapping" w:clear="all"/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t xml:space="preserve">Таблицы 1.1. «Перечень и объем закупаемой продукции»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1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4"/>
                <w:u w:val="none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t xml:space="preserve">Требования заказчика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0"/>
                <w:u w:val="none"/>
              </w:rPr>
              <w:t xml:space="preserve">Предложения участника*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4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1" w:type="dxa"/>
            <w:vAlign w:val="center"/>
            <w:vMerge w:val="continue"/>
            <w:textDirection w:val="lrTb"/>
            <w:noWrap w:val="false"/>
          </w:tcPr>
          <w:p>
            <w:pPr>
              <w:pStyle w:val="94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Начало действия лицензии / права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bCs w:val="0"/>
                <w:color w:val="000000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Срок предоставления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лицензии / права</w:t>
            </w:r>
            <w:r>
              <w:rPr>
                <w:rFonts w:ascii="Times New Roman" w:hAnsi="Times New Roman" w:eastAsia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C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4"/>
                <w:u w:val="none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Начало действия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лицензии / права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Срок предоставления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лицензии / права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1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45"/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5"/>
              <w:jc w:val="center"/>
            </w:pPr>
            <w:r>
              <w:rPr>
                <w:b/>
                <w:sz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45"/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7</w: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1024"/>
              <w:numPr>
                <w:ilvl w:val="0"/>
                <w:numId w:val="8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1" w:type="dxa"/>
            <w:textDirection w:val="lrTb"/>
            <w:noWrap w:val="false"/>
          </w:tcPr>
          <w:p>
            <w:pPr>
              <w:spacing w:before="0" w:after="0" w:line="55" w:lineRule="atLeas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Лицензия на право использования програ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ммного обеспечения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en-US"/>
              </w:rPr>
              <w:t xml:space="preserve">Pilot-BIM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постоянная лицензия на 1 подключение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14:ligatures w14:val="none"/>
              </w:rPr>
            </w:pPr>
            <w:r>
              <w:rPr>
                <w:sz w:val="20"/>
                <w:szCs w:val="20"/>
                <w:highlight w:val="white"/>
              </w:rPr>
              <w:t xml:space="preserve">По условиям договора</w:t>
            </w:r>
            <w:r>
              <w:rPr>
                <w:sz w:val="20"/>
                <w:szCs w:val="20"/>
                <w:highlight w:val="white"/>
                <w14:ligatures w14:val="none"/>
              </w:rPr>
            </w:r>
            <w:r>
              <w:rPr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Бессрочно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наименования продукции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начала действия права</w:t>
            </w:r>
            <w:r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срока предоставления права</w:t>
            </w:r>
            <w:r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r>
          </w:p>
        </w:tc>
      </w:tr>
    </w:tbl>
    <w:p>
      <w:pPr>
        <w:pStyle w:val="945"/>
        <w:jc w:val="left"/>
        <w:tabs>
          <w:tab w:val="left" w:pos="374" w:leader="none"/>
          <w:tab w:val="clear" w:pos="708" w:leader="none"/>
        </w:tabs>
      </w:pPr>
      <w:r>
        <w:rPr>
          <w:b w:val="0"/>
          <w:bCs w:val="0"/>
        </w:rPr>
        <w:t xml:space="preserve">*</w:t>
      </w:r>
      <w:r>
        <w:rPr>
          <w:i/>
          <w:iCs/>
          <w:sz w:val="22"/>
          <w:szCs w:val="22"/>
        </w:rPr>
        <w:t xml:space="preserve">Способ подтверждения участником соответствия требованиям указан в таблице в отношении каждой позиции закупаемой продукции</w:t>
      </w:r>
      <w:r/>
    </w:p>
    <w:p>
      <w:pPr>
        <w:pStyle w:val="945"/>
        <w:jc w:val="left"/>
        <w:tabs>
          <w:tab w:val="left" w:pos="374" w:leader="none"/>
          <w:tab w:val="clear" w:pos="708" w:leader="none"/>
        </w:tabs>
      </w:pPr>
      <w:r/>
      <w:r/>
    </w:p>
    <w:sectPr>
      <w:footerReference w:type="default" r:id="rId16"/>
      <w:footerReference w:type="first" r:id="rId17"/>
      <w:footnotePr/>
      <w:endnotePr/>
      <w:type w:val="nextPage"/>
      <w:pgSz w:w="16838" w:h="11906" w:orient="landscape"/>
      <w:pgMar w:top="1134" w:right="680" w:bottom="850" w:left="850" w:header="0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Open Sans">
    <w:panose1 w:val="020B0606030504020204"/>
  </w:font>
  <w:font w:name="Droid Sans">
    <w:panose1 w:val="020B0606030804020204"/>
  </w:font>
  <w:font w:name="TimesNewRomanPSMT">
    <w:panose1 w:val="02020603050405020304"/>
  </w:font>
  <w:font w:name="Tahoma">
    <w:panose1 w:val="020B0606040504020204"/>
  </w:font>
  <w:font w:name="DejaVu Sans">
    <w:panose1 w:val="020B0603030804020204"/>
  </w:font>
  <w:font w:name="Segoe UI">
    <w:panose1 w:val="020B0502040504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  <w:p>
    <w:pPr>
      <w:pStyle w:val="100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  <w:p>
    <w:pPr>
      <w:pStyle w:val="1005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1005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8</w:t>
    </w:r>
    <w:r>
      <w:fldChar w:fldCharType="end"/>
    </w:r>
    <w:r/>
  </w:p>
  <w:p>
    <w:pPr>
      <w:pStyle w:val="1005"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11</w:t>
    </w:r>
    <w:r>
      <w:fldChar w:fldCharType="end"/>
    </w:r>
    <w:r/>
  </w:p>
  <w:p>
    <w:pPr>
      <w:pStyle w:val="1005"/>
    </w:pPr>
    <w:r/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26"/>
      <w:isLgl/>
      <w:suff w:val="tab"/>
      <w:lvlText w:val="%1."/>
      <w:lvlJc w:val="left"/>
      <w:pPr>
        <w:ind w:left="3479" w:hanging="360"/>
        <w:tabs>
          <w:tab w:val="num" w:pos="0" w:leader="none"/>
        </w:tabs>
      </w:pPr>
    </w:lvl>
    <w:lvl w:ilvl="1">
      <w:start w:val="1"/>
      <w:numFmt w:val="decimal"/>
      <w:pStyle w:val="1027"/>
      <w:isLgl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792" w:hanging="432"/>
        <w:tabs>
          <w:tab w:val="num" w:pos="0" w:leader="none"/>
        </w:tabs>
      </w:pPr>
      <w:rPr>
        <w:b/>
        <w:i w:val="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b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bullet"/>
      <w:isLgl/>
      <w:suff w:val="tab"/>
      <w:lvlText w:val="•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sz w:val="22"/>
      </w:rPr>
    </w:lvl>
    <w:lvl w:ilvl="1">
      <w:start w:val="1"/>
      <w:numFmt w:val="decimal"/>
      <w:isLgl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/>
      <w:suff w:val="tab"/>
      <w:lvlText w:val="%1."/>
      <w:lvlJc w:val="left"/>
      <w:pPr>
        <w:ind w:left="108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20"/>
        <w:tabs>
          <w:tab w:val="num" w:pos="0" w:leader="none"/>
        </w:tabs>
      </w:pPr>
      <w:rPr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  <w:tabs>
          <w:tab w:val="num" w:pos="0" w:leader="none"/>
        </w:tabs>
      </w:pPr>
      <w:rPr>
        <w:b w:val="0"/>
        <w:bCs w:val="0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bullet"/>
      <w:isLgl/>
      <w:suff w:val="tab"/>
      <w:lvlText w:val="Ø"/>
      <w:lvlJc w:val="left"/>
      <w:pPr>
        <w:ind w:left="10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1">
      <w:start w:val="1"/>
      <w:numFmt w:val="bullet"/>
      <w:isLgl/>
      <w:suff w:val="tab"/>
      <w:lvlText w:val="o"/>
      <w:lvlJc w:val="left"/>
      <w:pPr>
        <w:ind w:left="17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§"/>
      <w:lvlJc w:val="left"/>
      <w:pPr>
        <w:ind w:left="25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·"/>
      <w:lvlJc w:val="left"/>
      <w:pPr>
        <w:ind w:left="322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9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§"/>
      <w:lvlJc w:val="left"/>
      <w:pPr>
        <w:ind w:left="46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·"/>
      <w:lvlJc w:val="left"/>
      <w:pPr>
        <w:ind w:left="538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61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§"/>
      <w:lvlJc w:val="left"/>
      <w:pPr>
        <w:ind w:left="682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decimal"/>
      <w:isLgl/>
      <w:suff w:val="tab"/>
      <w:lvlText w:val="%1."/>
      <w:lvlJc w:val="right"/>
      <w:pPr>
        <w:ind w:left="709" w:hanging="36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color w:val="000000" w:themeColor="text1"/>
      </w:rPr>
    </w:lvl>
    <w:lvl w:ilvl="1">
      <w:start w:val="1"/>
      <w:numFmt w:val="lowerLetter"/>
      <w:isLgl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/>
      <w:suff w:val="tab"/>
      <w:lvlText w:val="%1."/>
      <w:lvlJc w:val="right"/>
      <w:pPr>
        <w:ind w:left="709" w:hanging="360"/>
        <w:tabs>
          <w:tab w:val="num" w:pos="0" w:leader="none"/>
        </w:tabs>
      </w:pPr>
      <w:rPr>
        <w:rFonts w:ascii="Times New Roman" w:hAnsi="Times New Roman" w:eastAsia="Times New Roman" w:cs="Times New Roman"/>
        <w:b/>
        <w:color w:val="000000" w:themeColor="text1"/>
      </w:rPr>
    </w:lvl>
    <w:lvl w:ilvl="1">
      <w:start w:val="1"/>
      <w:numFmt w:val="lowerLetter"/>
      <w:isLgl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/>
      <w:suff w:val="tab"/>
      <w:lvlText w:val="%1."/>
      <w:lvlJc w:val="right"/>
      <w:pPr>
        <w:ind w:left="709" w:hanging="36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color w:val="000000" w:themeColor="text1"/>
      </w:rPr>
    </w:lvl>
    <w:lvl w:ilvl="1">
      <w:start w:val="1"/>
      <w:numFmt w:val="lowerLetter"/>
      <w:isLgl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4"/>
  </w:num>
  <w:num w:numId="16">
    <w:abstractNumId w:val="15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818">
    <w:name w:val="No List"/>
    <w:uiPriority w:val="99"/>
    <w:semiHidden/>
    <w:unhideWhenUsed/>
  </w:style>
  <w:style w:type="table" w:styleId="8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2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2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2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2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5" w:default="1">
    <w:name w:val="Normal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946">
    <w:name w:val="Heading 1"/>
    <w:basedOn w:val="9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47">
    <w:name w:val="Heading 2"/>
    <w:basedOn w:val="9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48">
    <w:name w:val="Heading 3"/>
    <w:basedOn w:val="9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49">
    <w:name w:val="Heading 4"/>
    <w:basedOn w:val="9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50">
    <w:name w:val="Heading 5"/>
    <w:basedOn w:val="9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51">
    <w:name w:val="Heading 6"/>
    <w:basedOn w:val="9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52">
    <w:name w:val="Heading 7"/>
    <w:basedOn w:val="9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53">
    <w:name w:val="Heading 8"/>
    <w:basedOn w:val="9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54">
    <w:name w:val="Heading 9"/>
    <w:basedOn w:val="945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styleId="955">
    <w:name w:val="Heading 1 Char"/>
    <w:basedOn w:val="977"/>
    <w:uiPriority w:val="9"/>
    <w:qFormat/>
    <w:rPr>
      <w:rFonts w:ascii="Arial" w:hAnsi="Arial" w:eastAsia="Arial" w:cs="Arial"/>
      <w:sz w:val="40"/>
      <w:szCs w:val="40"/>
    </w:rPr>
  </w:style>
  <w:style w:type="character" w:styleId="956">
    <w:name w:val="Heading 2 Char"/>
    <w:basedOn w:val="977"/>
    <w:uiPriority w:val="9"/>
    <w:qFormat/>
    <w:rPr>
      <w:rFonts w:ascii="Arial" w:hAnsi="Arial" w:eastAsia="Arial" w:cs="Arial"/>
      <w:sz w:val="34"/>
    </w:rPr>
  </w:style>
  <w:style w:type="character" w:styleId="957">
    <w:name w:val="Heading 3 Char"/>
    <w:basedOn w:val="977"/>
    <w:uiPriority w:val="9"/>
    <w:qFormat/>
    <w:rPr>
      <w:rFonts w:ascii="Arial" w:hAnsi="Arial" w:eastAsia="Arial" w:cs="Arial"/>
      <w:sz w:val="30"/>
      <w:szCs w:val="30"/>
    </w:rPr>
  </w:style>
  <w:style w:type="character" w:styleId="958">
    <w:name w:val="Heading 4 Char"/>
    <w:basedOn w:val="97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59">
    <w:name w:val="Heading 5 Char"/>
    <w:basedOn w:val="97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60">
    <w:name w:val="Heading 6 Char"/>
    <w:basedOn w:val="97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61">
    <w:name w:val="Heading 7 Char"/>
    <w:basedOn w:val="97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62">
    <w:name w:val="Heading 8 Char"/>
    <w:basedOn w:val="97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63">
    <w:name w:val="Heading 9 Char"/>
    <w:basedOn w:val="97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64">
    <w:name w:val="Title Char"/>
    <w:basedOn w:val="977"/>
    <w:uiPriority w:val="10"/>
    <w:qFormat/>
    <w:rPr>
      <w:sz w:val="48"/>
      <w:szCs w:val="48"/>
    </w:rPr>
  </w:style>
  <w:style w:type="character" w:styleId="965">
    <w:name w:val="Subtitle Char"/>
    <w:basedOn w:val="977"/>
    <w:uiPriority w:val="11"/>
    <w:qFormat/>
    <w:rPr>
      <w:sz w:val="24"/>
      <w:szCs w:val="24"/>
    </w:rPr>
  </w:style>
  <w:style w:type="character" w:styleId="966">
    <w:name w:val="Quote Char"/>
    <w:uiPriority w:val="29"/>
    <w:qFormat/>
    <w:rPr>
      <w:i/>
    </w:rPr>
  </w:style>
  <w:style w:type="character" w:styleId="967">
    <w:name w:val="Intense Quote Char"/>
    <w:uiPriority w:val="30"/>
    <w:qFormat/>
    <w:rPr>
      <w:i/>
    </w:rPr>
  </w:style>
  <w:style w:type="character" w:styleId="968">
    <w:name w:val="Header Char"/>
    <w:basedOn w:val="977"/>
    <w:uiPriority w:val="99"/>
    <w:qFormat/>
  </w:style>
  <w:style w:type="character" w:styleId="969">
    <w:name w:val="Footer Char"/>
    <w:basedOn w:val="977"/>
    <w:uiPriority w:val="99"/>
    <w:qFormat/>
  </w:style>
  <w:style w:type="character" w:styleId="970">
    <w:name w:val="Caption Char"/>
    <w:uiPriority w:val="99"/>
    <w:qFormat/>
  </w:style>
  <w:style w:type="character" w:styleId="971">
    <w:name w:val="Footnote Text Char"/>
    <w:uiPriority w:val="99"/>
    <w:qFormat/>
    <w:rPr>
      <w:sz w:val="18"/>
    </w:rPr>
  </w:style>
  <w:style w:type="character" w:styleId="972">
    <w:name w:val="Символ сноски"/>
    <w:uiPriority w:val="99"/>
    <w:unhideWhenUsed/>
    <w:qFormat/>
    <w:rPr>
      <w:vertAlign w:val="superscript"/>
    </w:rPr>
  </w:style>
  <w:style w:type="character" w:styleId="973">
    <w:name w:val="footnote reference"/>
    <w:rPr>
      <w:vertAlign w:val="superscript"/>
    </w:rPr>
  </w:style>
  <w:style w:type="character" w:styleId="974">
    <w:name w:val="Endnote Text Char"/>
    <w:uiPriority w:val="99"/>
    <w:qFormat/>
    <w:rPr>
      <w:sz w:val="20"/>
    </w:rPr>
  </w:style>
  <w:style w:type="character" w:styleId="97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76">
    <w:name w:val="endnote reference"/>
    <w:rPr>
      <w:vertAlign w:val="superscript"/>
    </w:rPr>
  </w:style>
  <w:style w:type="character" w:styleId="977" w:default="1">
    <w:name w:val="Default Paragraph Font"/>
    <w:uiPriority w:val="1"/>
    <w:semiHidden/>
    <w:unhideWhenUsed/>
    <w:qFormat/>
  </w:style>
  <w:style w:type="character" w:styleId="978">
    <w:name w:val="annotation reference"/>
    <w:basedOn w:val="977"/>
    <w:uiPriority w:val="99"/>
    <w:unhideWhenUsed/>
    <w:qFormat/>
    <w:rPr>
      <w:sz w:val="16"/>
      <w:szCs w:val="16"/>
    </w:rPr>
  </w:style>
  <w:style w:type="character" w:styleId="979" w:customStyle="1">
    <w:name w:val="Текст примечания Знак"/>
    <w:basedOn w:val="977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80" w:customStyle="1">
    <w:name w:val="Текст выноски Знак"/>
    <w:basedOn w:val="977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981" w:customStyle="1">
    <w:name w:val="Заголовок №1_"/>
    <w:qFormat/>
    <w:rPr>
      <w:b/>
      <w:bCs/>
      <w:sz w:val="28"/>
      <w:szCs w:val="28"/>
      <w:shd w:val="clear" w:color="auto" w:fill="ffffff"/>
    </w:rPr>
  </w:style>
  <w:style w:type="character" w:styleId="982" w:customStyle="1">
    <w:name w:val="Заголовок №2_"/>
    <w:qFormat/>
    <w:rPr>
      <w:b/>
      <w:bCs/>
      <w:sz w:val="23"/>
      <w:szCs w:val="23"/>
      <w:shd w:val="clear" w:color="auto" w:fill="ffffff"/>
    </w:rPr>
  </w:style>
  <w:style w:type="character" w:styleId="983" w:customStyle="1">
    <w:name w:val="Основной текст Знак"/>
    <w:qFormat/>
    <w:rPr>
      <w:sz w:val="23"/>
      <w:szCs w:val="23"/>
      <w:shd w:val="clear" w:color="auto" w:fill="ffffff"/>
    </w:rPr>
  </w:style>
  <w:style w:type="character" w:styleId="984" w:customStyle="1">
    <w:name w:val="Основной текст Знак1"/>
    <w:basedOn w:val="977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5">
    <w:name w:val="Hyperlink"/>
    <w:uiPriority w:val="99"/>
    <w:semiHidden/>
    <w:unhideWhenUsed/>
    <w:rPr>
      <w:color w:val="0000ff"/>
      <w:u w:val="single"/>
    </w:rPr>
  </w:style>
  <w:style w:type="character" w:styleId="986" w:customStyle="1">
    <w:name w:val="Заголовок 9 Знак"/>
    <w:basedOn w:val="977"/>
    <w:uiPriority w:val="9"/>
    <w:semiHidden/>
    <w:qFormat/>
    <w:rPr>
      <w:rFonts w:ascii="Cambria" w:hAnsi="Cambria" w:eastAsia="Times New Roman" w:cs="Times New Roman"/>
      <w:sz w:val="20"/>
      <w:szCs w:val="20"/>
    </w:rPr>
  </w:style>
  <w:style w:type="character" w:styleId="987" w:customStyle="1">
    <w:name w:val="Заголовок 1 ДИТ Знак"/>
    <w:qFormat/>
    <w:rPr>
      <w:rFonts w:ascii="Times New Roman" w:hAnsi="Times New Roman" w:eastAsia="Times New Roman" w:cs="Times New Roman"/>
      <w:b/>
      <w:sz w:val="28"/>
      <w:szCs w:val="28"/>
    </w:rPr>
  </w:style>
  <w:style w:type="character" w:styleId="988" w:customStyle="1">
    <w:name w:val="Заголовок 2 ДИТ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989" w:customStyle="1">
    <w:name w:val="Заголовок 3 ДИ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990" w:customStyle="1">
    <w:name w:val="Стиль вставки"/>
    <w:uiPriority w:val="1"/>
    <w:qFormat/>
    <w:rPr>
      <w:rFonts w:ascii="Tahoma" w:hAnsi="Tahoma"/>
      <w:color w:val="000000"/>
      <w:sz w:val="20"/>
    </w:rPr>
  </w:style>
  <w:style w:type="character" w:styleId="991" w:customStyle="1">
    <w:name w:val="Тема примечания Знак"/>
    <w:basedOn w:val="979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92" w:customStyle="1">
    <w:name w:val="fontstyle01"/>
    <w:basedOn w:val="977"/>
    <w:qFormat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993">
    <w:name w:val="Заголовок"/>
    <w:basedOn w:val="945"/>
    <w:next w:val="994"/>
    <w:qFormat/>
    <w:pPr>
      <w:keepNext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994">
    <w:name w:val="Body Text"/>
    <w:basedOn w:val="945"/>
    <w:pPr>
      <w:ind w:hanging="1020"/>
      <w:jc w:val="both"/>
      <w:spacing w:before="180" w:after="180" w:line="322" w:lineRule="exact"/>
      <w:shd w:val="clear" w:color="auto" w:fill="ffffff"/>
    </w:pPr>
    <w:rPr>
      <w:rFonts w:ascii="Calibri" w:hAnsi="Calibri" w:eastAsia="Calibri" w:cs="Arial" w:asciiTheme="minorHAnsi" w:hAnsiTheme="minorHAnsi" w:eastAsiaTheme="minorHAnsi" w:cstheme="minorBidi"/>
      <w:sz w:val="23"/>
      <w:szCs w:val="23"/>
      <w:lang w:eastAsia="en-US"/>
    </w:rPr>
  </w:style>
  <w:style w:type="paragraph" w:styleId="995">
    <w:name w:val="List"/>
    <w:basedOn w:val="994"/>
    <w:rPr>
      <w:rFonts w:cs="Droid Sans"/>
    </w:rPr>
  </w:style>
  <w:style w:type="paragraph" w:styleId="996">
    <w:name w:val="Caption"/>
    <w:basedOn w:val="945"/>
    <w:link w:val="9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997">
    <w:name w:val="Указатель"/>
    <w:basedOn w:val="945"/>
    <w:qFormat/>
    <w:pPr>
      <w:suppressLineNumbers/>
    </w:pPr>
    <w:rPr>
      <w:rFonts w:cs="Droid Sans"/>
    </w:rPr>
  </w:style>
  <w:style w:type="paragraph" w:styleId="998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99">
    <w:name w:val="Title"/>
    <w:basedOn w:val="94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00">
    <w:name w:val="Subtitle"/>
    <w:basedOn w:val="945"/>
    <w:uiPriority w:val="11"/>
    <w:qFormat/>
    <w:pPr>
      <w:spacing w:before="200" w:after="200"/>
    </w:pPr>
    <w:rPr>
      <w:sz w:val="24"/>
      <w:szCs w:val="24"/>
    </w:rPr>
  </w:style>
  <w:style w:type="paragraph" w:styleId="1001">
    <w:name w:val="Quote"/>
    <w:basedOn w:val="945"/>
    <w:uiPriority w:val="29"/>
    <w:qFormat/>
    <w:pPr>
      <w:ind w:left="720" w:right="720"/>
    </w:pPr>
    <w:rPr>
      <w:i/>
    </w:rPr>
  </w:style>
  <w:style w:type="paragraph" w:styleId="1002">
    <w:name w:val="Intense Quote"/>
    <w:basedOn w:val="945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03">
    <w:name w:val="Header and Footer"/>
    <w:basedOn w:val="945"/>
    <w:qFormat/>
  </w:style>
  <w:style w:type="paragraph" w:styleId="1004">
    <w:name w:val="Header"/>
    <w:basedOn w:val="945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005">
    <w:name w:val="Footer"/>
    <w:basedOn w:val="945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006">
    <w:name w:val="footnote text"/>
    <w:basedOn w:val="94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1007">
    <w:name w:val="endnote text"/>
    <w:basedOn w:val="94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008">
    <w:name w:val="toc 1"/>
    <w:basedOn w:val="945"/>
    <w:uiPriority w:val="39"/>
    <w:unhideWhenUsed/>
    <w:pPr>
      <w:ind w:left="0" w:right="0" w:firstLine="0"/>
      <w:spacing w:before="0" w:after="57"/>
    </w:pPr>
  </w:style>
  <w:style w:type="paragraph" w:styleId="1009">
    <w:name w:val="toc 2"/>
    <w:basedOn w:val="945"/>
    <w:uiPriority w:val="39"/>
    <w:unhideWhenUsed/>
    <w:pPr>
      <w:ind w:left="283" w:right="0" w:firstLine="0"/>
      <w:spacing w:before="0" w:after="57"/>
    </w:pPr>
  </w:style>
  <w:style w:type="paragraph" w:styleId="1010">
    <w:name w:val="toc 3"/>
    <w:basedOn w:val="945"/>
    <w:uiPriority w:val="39"/>
    <w:unhideWhenUsed/>
    <w:pPr>
      <w:ind w:left="567" w:right="0" w:firstLine="0"/>
      <w:spacing w:before="0" w:after="57"/>
    </w:pPr>
  </w:style>
  <w:style w:type="paragraph" w:styleId="1011">
    <w:name w:val="toc 4"/>
    <w:basedOn w:val="945"/>
    <w:uiPriority w:val="39"/>
    <w:unhideWhenUsed/>
    <w:pPr>
      <w:ind w:left="850" w:right="0" w:firstLine="0"/>
      <w:spacing w:before="0" w:after="57"/>
    </w:pPr>
  </w:style>
  <w:style w:type="paragraph" w:styleId="1012">
    <w:name w:val="toc 5"/>
    <w:basedOn w:val="945"/>
    <w:uiPriority w:val="39"/>
    <w:unhideWhenUsed/>
    <w:pPr>
      <w:ind w:left="1134" w:right="0" w:firstLine="0"/>
      <w:spacing w:before="0" w:after="57"/>
    </w:pPr>
  </w:style>
  <w:style w:type="paragraph" w:styleId="1013">
    <w:name w:val="toc 6"/>
    <w:basedOn w:val="945"/>
    <w:uiPriority w:val="39"/>
    <w:unhideWhenUsed/>
    <w:pPr>
      <w:ind w:left="1417" w:right="0" w:firstLine="0"/>
      <w:spacing w:before="0" w:after="57"/>
    </w:pPr>
  </w:style>
  <w:style w:type="paragraph" w:styleId="1014">
    <w:name w:val="toc 7"/>
    <w:basedOn w:val="945"/>
    <w:uiPriority w:val="39"/>
    <w:unhideWhenUsed/>
    <w:pPr>
      <w:ind w:left="1701" w:right="0" w:firstLine="0"/>
      <w:spacing w:before="0" w:after="57"/>
    </w:pPr>
  </w:style>
  <w:style w:type="paragraph" w:styleId="1015">
    <w:name w:val="toc 8"/>
    <w:basedOn w:val="945"/>
    <w:uiPriority w:val="39"/>
    <w:unhideWhenUsed/>
    <w:pPr>
      <w:ind w:left="1984" w:right="0" w:firstLine="0"/>
      <w:spacing w:before="0" w:after="57"/>
    </w:pPr>
  </w:style>
  <w:style w:type="paragraph" w:styleId="1016">
    <w:name w:val="toc 9"/>
    <w:basedOn w:val="945"/>
    <w:uiPriority w:val="39"/>
    <w:unhideWhenUsed/>
    <w:pPr>
      <w:ind w:left="2268" w:right="0" w:firstLine="0"/>
      <w:spacing w:before="0" w:after="57"/>
    </w:pPr>
  </w:style>
  <w:style w:type="paragraph" w:styleId="1017">
    <w:name w:val="index heading"/>
    <w:basedOn w:val="993"/>
  </w:style>
  <w:style w:type="paragraph" w:styleId="1018">
    <w:name w:val="TOC Heading"/>
    <w:uiPriority w:val="39"/>
    <w:unhideWhenUsed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1019">
    <w:name w:val="table of figures"/>
    <w:basedOn w:val="945"/>
    <w:uiPriority w:val="99"/>
    <w:unhideWhenUsed/>
    <w:pPr>
      <w:spacing w:before="0" w:after="0" w:afterAutospacing="0"/>
    </w:pPr>
  </w:style>
  <w:style w:type="paragraph" w:styleId="1020">
    <w:name w:val="annotation text"/>
    <w:basedOn w:val="945"/>
    <w:uiPriority w:val="99"/>
    <w:unhideWhenUsed/>
    <w:rPr>
      <w:sz w:val="20"/>
      <w:szCs w:val="20"/>
    </w:rPr>
  </w:style>
  <w:style w:type="paragraph" w:styleId="1021">
    <w:name w:val="Balloon Text"/>
    <w:basedOn w:val="94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1022" w:customStyle="1">
    <w:name w:val="Заголовок №1"/>
    <w:basedOn w:val="945"/>
    <w:qFormat/>
    <w:pPr>
      <w:ind w:hanging="520"/>
      <w:jc w:val="center"/>
      <w:spacing w:before="0" w:after="1020" w:line="240" w:lineRule="atLeast"/>
      <w:shd w:val="clear" w:color="auto" w:fill="ffffff"/>
      <w:outlineLvl w:val="0"/>
    </w:pPr>
    <w:rPr>
      <w:rFonts w:ascii="Calibri" w:hAnsi="Calibri" w:eastAsia="Calibri" w:cs="Arial" w:asciiTheme="minorHAnsi" w:hAnsiTheme="minorHAnsi" w:eastAsiaTheme="minorHAnsi" w:cstheme="minorBidi"/>
      <w:b/>
      <w:bCs/>
      <w:sz w:val="28"/>
      <w:szCs w:val="28"/>
      <w:lang w:eastAsia="en-US"/>
    </w:rPr>
  </w:style>
  <w:style w:type="paragraph" w:styleId="1023" w:customStyle="1">
    <w:name w:val="Заголовок №2"/>
    <w:basedOn w:val="945"/>
    <w:qFormat/>
    <w:pPr>
      <w:ind w:hanging="1300"/>
      <w:jc w:val="both"/>
      <w:spacing w:before="360" w:after="180" w:line="240" w:lineRule="atLeast"/>
      <w:shd w:val="clear" w:color="auto" w:fill="ffffff"/>
      <w:outlineLvl w:val="1"/>
    </w:pPr>
    <w:rPr>
      <w:rFonts w:ascii="Calibri" w:hAnsi="Calibri" w:eastAsia="Calibri" w:cs="Arial" w:asciiTheme="minorHAnsi" w:hAnsiTheme="minorHAnsi" w:eastAsiaTheme="minorHAnsi" w:cstheme="minorBidi"/>
      <w:b/>
      <w:bCs/>
      <w:sz w:val="23"/>
      <w:szCs w:val="23"/>
      <w:lang w:eastAsia="en-US"/>
    </w:rPr>
  </w:style>
  <w:style w:type="paragraph" w:styleId="1024">
    <w:name w:val="List Paragraph"/>
    <w:basedOn w:val="945"/>
    <w:uiPriority w:val="34"/>
    <w:qFormat/>
    <w:pPr>
      <w:contextualSpacing/>
      <w:ind w:left="720"/>
      <w:spacing w:before="0" w:after="0"/>
    </w:pPr>
  </w:style>
  <w:style w:type="paragraph" w:styleId="1025" w:customStyle="1">
    <w:name w:val="Default"/>
    <w:basedOn w:val="945"/>
    <w:qFormat/>
    <w:rPr>
      <w:rFonts w:eastAsia="Calibri" w:eastAsiaTheme="minorHAnsi"/>
      <w:color w:val="000000"/>
    </w:rPr>
  </w:style>
  <w:style w:type="paragraph" w:styleId="1026" w:customStyle="1">
    <w:name w:val="Заголовок 1 ДИТ"/>
    <w:basedOn w:val="945"/>
    <w:qFormat/>
    <w:pPr>
      <w:numPr>
        <w:ilvl w:val="0"/>
        <w:numId w:val="1"/>
      </w:numPr>
      <w:jc w:val="center"/>
    </w:pPr>
    <w:rPr>
      <w:b/>
      <w:sz w:val="28"/>
      <w:szCs w:val="28"/>
    </w:rPr>
  </w:style>
  <w:style w:type="paragraph" w:styleId="1027" w:customStyle="1">
    <w:name w:val="Заголовок 2 ДИТ"/>
    <w:basedOn w:val="945"/>
    <w:qFormat/>
    <w:pPr>
      <w:numPr>
        <w:ilvl w:val="1"/>
        <w:numId w:val="1"/>
      </w:numPr>
    </w:pPr>
    <w:rPr>
      <w:b/>
    </w:rPr>
  </w:style>
  <w:style w:type="paragraph" w:styleId="1028" w:customStyle="1">
    <w:name w:val="Заголовок 3 ДИТ"/>
    <w:basedOn w:val="1027"/>
    <w:qFormat/>
    <w:rPr>
      <w:b w:val="0"/>
    </w:rPr>
  </w:style>
  <w:style w:type="paragraph" w:styleId="1029">
    <w:name w:val="annotation subject"/>
    <w:basedOn w:val="1020"/>
    <w:uiPriority w:val="99"/>
    <w:semiHidden/>
    <w:unhideWhenUsed/>
    <w:qFormat/>
    <w:rPr>
      <w:b/>
      <w:bCs/>
    </w:rPr>
  </w:style>
  <w:style w:type="paragraph" w:styleId="1030" w:customStyle="1">
    <w:name w:val="Таблица шапка"/>
    <w:qFormat/>
    <w:pPr>
      <w:ind w:left="57" w:right="57" w:firstLine="0"/>
      <w:jc w:val="left"/>
      <w:keepLines w:val="0"/>
      <w:keepNext/>
      <w:pageBreakBefore w:val="0"/>
      <w:spacing w:before="40" w:beforeAutospacing="0" w:after="4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6"/>
      <w:u w:val="none"/>
      <w:vertAlign w:val="baseline"/>
      <w:lang w:val="ru-RU" w:eastAsia="ru-RU" w:bidi="ar-SA"/>
      <w14:ligatures w14:val="none"/>
    </w:rPr>
  </w:style>
  <w:style w:type="numbering" w:styleId="1031" w:default="1">
    <w:name w:val="Без списка"/>
    <w:uiPriority w:val="99"/>
    <w:semiHidden/>
    <w:unhideWhenUsed/>
    <w:qFormat/>
  </w:style>
  <w:style w:type="table" w:styleId="10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customXml" Target="../customXml/item1.xml" /><Relationship Id="rId19" Type="http://schemas.openxmlformats.org/officeDocument/2006/relationships/customXml" Target="../customXml/item2.xml" /><Relationship Id="rId20" Type="http://schemas.openxmlformats.org/officeDocument/2006/relationships/customXml" Target="../customXml/item3.xml" /><Relationship Id="rId21" Type="http://schemas.openxmlformats.org/officeDocument/2006/relationships/customXml" Target="../customXml/item4.xml" /><Relationship Id="rId22" Type="http://schemas.openxmlformats.org/officeDocument/2006/relationships/customXml" Target="../customXml/item5.xml" /><Relationship Id="rId23" Type="http://schemas.openxmlformats.org/officeDocument/2006/relationships/hyperlink" Target="https://reestr.digital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ac92ed-aea8-45a8-b3be-5d9d4ddabf7d">PHSVHREUDMNN-98698068-501</_dlc_DocId>
    <_dlc_DocIdUrl xmlns="62ac92ed-aea8-45a8-b3be-5d9d4ddabf7d">
      <Url>http://dup-apd:20000/OtdelIT/dogovor_soft/_layouts/15/DocIdRedir.aspx?ID=PHSVHREUDMNN-98698068-501</Url>
      <Description>PHSVHREUDMNN-98698068-501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318F7F0A7127448CF567ED9F05059A" ma:contentTypeVersion="0" ma:contentTypeDescription="Создание документа." ma:contentTypeScope="" ma:versionID="bcd0e5b75b0cff7795fdcdcf05a0809f">
  <xsd:schema xmlns:xsd="http://www.w3.org/2001/XMLSchema" xmlns:xs="http://www.w3.org/2001/XMLSchema" xmlns:p="http://schemas.microsoft.com/office/2006/metadata/properties" xmlns:ns2="62ac92ed-aea8-45a8-b3be-5d9d4ddabf7d" targetNamespace="http://schemas.microsoft.com/office/2006/metadata/properties" ma:root="true" ma:fieldsID="4c16031b3cacb9273819abc06e18fd4a" ns2:_="">
    <xsd:import namespace="62ac92ed-aea8-45a8-b3be-5d9d4ddabf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c92ed-aea8-45a8-b3be-5d9d4ddabf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4EB05-65AB-4F56-89AB-D762D2C9F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872453-E03C-4794-84E2-6F9B2286CD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5FD36-FA0A-40BA-B601-B2CF9BB3EF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8FC6C0-2856-4DB6-9026-2C8307D8A7E3}">
  <ds:schemaRefs>
    <ds:schemaRef ds:uri="62ac92ed-aea8-45a8-b3be-5d9d4ddabf7d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18B71E7D-D109-4299-8ABD-6C96C1CFA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ac92ed-aea8-45a8-b3be-5d9d4dd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RusHydro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Андрей</dc:creator>
  <dc:description/>
  <dc:language>ru-RU</dc:language>
  <cp:lastModifiedBy>kuzeevanv</cp:lastModifiedBy>
  <cp:revision>52</cp:revision>
  <dcterms:created xsi:type="dcterms:W3CDTF">2022-08-05T08:11:00Z</dcterms:created>
  <dcterms:modified xsi:type="dcterms:W3CDTF">2026-07-31T07:36:19Z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0x01010025318F7F0A7127448CF567ED9F05059A</vt:lpwstr>
  </property>
  <property fmtid="{D5CDD505-2E9C-101B-9397-08002B2CF9AE}" pid="3" name="_dlc_DocIdItemGuid">
    <vt:lpwstr>d9a2bbab-32b2-46dd-bbe8-de174b0f12f3</vt:lpwstr>
  </property>
</Properties>
</file>