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 Т В Е Р Ж Д А Ю»</w:t>
      </w:r>
    </w:p>
    <w:p>
      <w:pPr>
        <w:pStyle w:val="Normal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b w:val="false"/>
          <w:bCs w:val="false"/>
          <w:sz w:val="24"/>
          <w:szCs w:val="24"/>
        </w:rPr>
        <w:t>Директор Южного филиала</w:t>
      </w:r>
    </w:p>
    <w:p>
      <w:pPr>
        <w:pStyle w:val="Normal"/>
        <w:jc w:val="right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b w:val="false"/>
          <w:bCs w:val="false"/>
          <w:sz w:val="24"/>
          <w:szCs w:val="24"/>
        </w:rPr>
        <w:t>АО «ТК РусГидро»</w:t>
      </w:r>
    </w:p>
    <w:p>
      <w:pPr>
        <w:pStyle w:val="Normal"/>
        <w:jc w:val="right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 xml:space="preserve">                                                                                                   </w:t>
      </w:r>
      <w:r>
        <w:rPr>
          <w:b w:val="false"/>
          <w:bCs w:val="false"/>
          <w:sz w:val="24"/>
          <w:szCs w:val="24"/>
        </w:rPr>
        <w:t>_____________ В.А. Изотов</w:t>
      </w:r>
    </w:p>
    <w:p>
      <w:pPr>
        <w:pStyle w:val="Normal"/>
        <w:jc w:val="right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 xml:space="preserve">                                                                                                    </w:t>
      </w:r>
      <w:r>
        <w:rPr>
          <w:b w:val="false"/>
          <w:bCs w:val="false"/>
          <w:sz w:val="24"/>
          <w:szCs w:val="24"/>
        </w:rPr>
        <w:t>«____»______________ 2027 г.</w:t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jc w:val="center"/>
        <w:rPr>
          <w:b w:val="false"/>
          <w:bCs w:val="false"/>
        </w:rPr>
      </w:pPr>
      <w:r>
        <w:rPr>
          <w:rFonts w:eastAsia="Calibri"/>
          <w:b w:val="false"/>
          <w:bCs w:val="false"/>
          <w:sz w:val="24"/>
          <w:szCs w:val="24"/>
        </w:rPr>
        <w:t>ОКПД2 86.10.15.000. Услуги по проведению предрейсовых и  послерейсовых медосмотров водителей Кабардино-Балкарского транспортного участка Южного филиала АО «ТК РусГидро»</w:t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6011-ЭКСП ПРОД-2027-ТК_Южный_фил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</w:rPr>
          </w:pPr>
          <w:r>
            <w:fldChar w:fldCharType="begin"/>
          </w:r>
          <w:r>
            <w:rPr/>
            <w:instrText xml:space="preserve"> TOC \z \o "1-4" \u \h</w:instrText>
          </w:r>
          <w:r>
            <w:rPr/>
            <w:fldChar w:fldCharType="separate"/>
          </w:r>
          <w:r>
            <w:rPr/>
            <w:t>1.</w:t>
            <w:tab/>
            <w:t>Общие сведения</w:t>
            <w:tab/>
            <w:t>3</w:t>
          </w:r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r>
            <w:rPr/>
            <w:t>1.1.</w:t>
            <w:tab/>
            <w:t>Обозначения и сокращения</w:t>
            <w:tab/>
            <w:t>3</w:t>
          </w:r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6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Наименование закупаемых услуг</w:t>
              <w:tab/>
            </w:r>
          </w:hyperlink>
          <w:r>
            <w:rPr>
              <w:sz w:val="24"/>
              <w:szCs w:val="24"/>
            </w:rPr>
            <w:t>3</w:t>
          </w:r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7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Цель оказания услуг</w:t>
              <w:tab/>
            </w:r>
          </w:hyperlink>
          <w:r>
            <w:rPr>
              <w:sz w:val="24"/>
              <w:szCs w:val="24"/>
            </w:rPr>
            <w:t>3</w:t>
          </w:r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</w:rPr>
          </w:pPr>
          <w:hyperlink w:anchor="_Toc54643699"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</w:r>
          </w:hyperlink>
          <w:r>
            <w:rPr/>
            <w:t>3</w:t>
          </w:r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</w:rPr>
          </w:pPr>
          <w:hyperlink w:anchor="_Toc54643702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</w:rPr>
              <w:tab/>
            </w:r>
            <w:r>
              <w:rPr>
                <w:rStyle w:val="Style14"/>
                <w:iCs/>
              </w:rPr>
              <w:t>Требования к услуге</w:t>
            </w:r>
            <w:r>
              <w:rPr>
                <w:rStyle w:val="Style14"/>
              </w:rPr>
              <w:tab/>
            </w:r>
          </w:hyperlink>
          <w:r>
            <w:rPr/>
            <w:t>3</w:t>
          </w:r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3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Требования к объемам и срокам оказания услуг</w:t>
              <w:tab/>
            </w:r>
          </w:hyperlink>
          <w:r>
            <w:rPr>
              <w:sz w:val="24"/>
              <w:szCs w:val="24"/>
            </w:rPr>
            <w:t>3</w:t>
          </w:r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r>
            <w:rPr/>
            <w:t xml:space="preserve">     </w:t>
          </w:r>
          <w:r>
            <w:rPr/>
            <w:t>2.2.</w:t>
            <w:tab/>
            <w:t>Требования к перечню и объему услуг</w:t>
            <w:tab/>
            <w:t>4</w:t>
          </w:r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8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2.3.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Требования к качеству услуг</w:t>
              <w:tab/>
            </w:r>
          </w:hyperlink>
          <w:r>
            <w:rPr>
              <w:sz w:val="24"/>
              <w:szCs w:val="24"/>
            </w:rPr>
            <w:t>5</w:t>
          </w:r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</w:rPr>
          </w:pPr>
          <w:hyperlink w:anchor="_Toc54643709">
            <w:r>
              <w:rPr>
                <w:webHidden/>
                <w:rStyle w:val="Style14"/>
                <w:vanish w:val="false"/>
              </w:rPr>
              <w:t>Таблица 2. Требования к качеству услуг</w:t>
              <w:tab/>
            </w:r>
          </w:hyperlink>
          <w:r>
            <w:rPr/>
            <w:t>4</w:t>
          </w:r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</w:rPr>
          </w:pPr>
          <w:hyperlink w:anchor="_Toc54643710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</w:rPr>
              <w:tab/>
            </w:r>
            <w:r>
              <w:rPr>
                <w:rStyle w:val="Style14"/>
              </w:rPr>
              <w:t>Требования к участникам</w:t>
              <w:tab/>
            </w:r>
          </w:hyperlink>
          <w:r>
            <w:rPr>
              <w:rFonts w:eastAsia="新細明體" w:cs="Arial" w:ascii="Calibri" w:hAnsi="Calibri" w:asciiTheme="minorHAnsi" w:cstheme="minorBidi" w:eastAsiaTheme="minorEastAsia" w:hAnsiTheme="minorHAnsi"/>
            </w:rPr>
            <w:t xml:space="preserve">8 </w:t>
          </w:r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</w:rPr>
          </w:pPr>
          <w:hyperlink w:anchor="_Toc54643712">
            <w:r>
              <w:rPr>
                <w:webHidden/>
                <w:rStyle w:val="Style14"/>
                <w:iCs/>
                <w:vanish w:val="false"/>
              </w:rPr>
              <w:t>Требования к документации по ценообразованию на этапе закупки</w:t>
            </w:r>
            <w:r>
              <w:rPr>
                <w:rStyle w:val="Style14"/>
              </w:rPr>
              <w:tab/>
            </w:r>
          </w:hyperlink>
          <w:r>
            <w:rPr/>
            <w:t>8 Приложение……………………………………………………………………………………  8</w:t>
          </w:r>
          <w:r>
            <w:rPr/>
            <w:fldChar w:fldCharType="end"/>
          </w:r>
        </w:p>
      </w:sdtContent>
    </w:sdt>
    <w:p>
      <w:pPr>
        <w:pStyle w:val="Normal"/>
        <w:rPr>
          <w:caps/>
        </w:rPr>
      </w:pPr>
      <w:r>
        <w:br w:type="page"/>
      </w:r>
      <w:bookmarkStart w:id="0" w:name="_Toc54643694"/>
      <w:r>
        <w:rPr>
          <w:rFonts w:eastAsia="Calibri"/>
        </w:rPr>
        <w:t xml:space="preserve">1. </w:t>
      </w:r>
      <w:r>
        <w:rPr/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54643695"/>
      <w:bookmarkStart w:id="2" w:name="_Toc46743505"/>
      <w:r>
        <w:rPr/>
        <w:t>Обозначения и сокращения</w:t>
      </w:r>
      <w:bookmarkEnd w:id="1"/>
      <w:bookmarkEnd w:id="2"/>
    </w:p>
    <w:tbl>
      <w:tblPr>
        <w:tblW w:w="963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848"/>
      </w:tblGrid>
      <w:tr>
        <w:trPr>
          <w:trHeight w:val="389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ТТ</w:t>
            </w:r>
          </w:p>
        </w:tc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ТС</w:t>
            </w:r>
          </w:p>
        </w:tc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Транспортное средство</w:t>
            </w:r>
          </w:p>
        </w:tc>
      </w:tr>
    </w:tbl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widowControl w:val="false"/>
        <w:numPr>
          <w:ilvl w:val="1"/>
          <w:numId w:val="3"/>
        </w:numPr>
        <w:tabs>
          <w:tab w:val="left" w:pos="0" w:leader="none"/>
          <w:tab w:val="left" w:pos="426" w:leader="none"/>
        </w:tabs>
        <w:spacing w:before="120" w:after="120"/>
        <w:jc w:val="both"/>
        <w:rPr>
          <w:b w:val="false"/>
          <w:i/>
          <w:i/>
          <w:shd w:fill="FFFF99" w:val="clear"/>
        </w:rPr>
      </w:pPr>
      <w:bookmarkStart w:id="3" w:name="_Toc54643696"/>
      <w:r>
        <w:rPr/>
        <w:t xml:space="preserve">Наименование закупаемых </w:t>
      </w:r>
      <w:bookmarkStart w:id="4" w:name="_Toc46743507"/>
      <w:bookmarkEnd w:id="3"/>
      <w:r>
        <w:rPr>
          <w:lang w:val="ru-RU"/>
        </w:rPr>
        <w:t>услуг</w:t>
      </w:r>
    </w:p>
    <w:p>
      <w:pPr>
        <w:pStyle w:val="Heading4"/>
        <w:widowControl w:val="false"/>
        <w:tabs>
          <w:tab w:val="left" w:pos="0" w:leader="none"/>
          <w:tab w:val="left" w:pos="426" w:leader="none"/>
        </w:tabs>
        <w:spacing w:before="120" w:after="120"/>
        <w:ind w:lef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>ОКПД2 86.10.15.000. Услуги по проведению предрейсовых и послерейсовых медосмотров водителей Кабардино-Балкарского транспортного участка Южного филиала АО «ТК РусГидро»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5" w:name="_Toc54643697"/>
      <w:r>
        <w:rPr/>
        <w:t xml:space="preserve">Цель </w:t>
      </w:r>
      <w:bookmarkEnd w:id="4"/>
      <w:r>
        <w:rPr>
          <w:lang w:val="ru-RU"/>
        </w:rPr>
        <w:t>оказания услуг</w:t>
      </w:r>
      <w:r>
        <w:rPr/>
        <w:t xml:space="preserve"> </w:t>
      </w:r>
      <w:bookmarkEnd w:id="5"/>
    </w:p>
    <w:p>
      <w:pPr>
        <w:pStyle w:val="Normal"/>
        <w:ind w:firstLine="431"/>
        <w:jc w:val="both"/>
        <w:rPr>
          <w:rFonts w:eastAsia="Calibri"/>
          <w:sz w:val="24"/>
          <w:szCs w:val="24"/>
          <w:lang w:eastAsia="x-none"/>
        </w:rPr>
      </w:pPr>
      <w:bookmarkStart w:id="6" w:name="_Toc54643699"/>
      <w:r>
        <w:rPr>
          <w:bCs/>
          <w:sz w:val="24"/>
          <w:szCs w:val="24"/>
        </w:rPr>
        <w:t>Выявление лиц, которые по медицинским показаниям не могут быть допущены к управлению автомобилем как с позиции обеспечения безопасности дорожного движения, так и охраны здоровья водителя и пассажиров, а именно: выявление у водителя признаков различных заболеваний, признаков употребления алкоголя, наркотиков, запрещенных лекарственных препаратов, остаточных явлений алкогольной интоксикации (похмельного синдрома), утомления.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  <w:lang w:val="ru-RU"/>
        </w:rPr>
      </w:pPr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6"/>
    </w:p>
    <w:tbl>
      <w:tblPr>
        <w:tblW w:w="96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6"/>
        <w:gridCol w:w="4394"/>
        <w:gridCol w:w="2322"/>
        <w:gridCol w:w="2211"/>
      </w:tblGrid>
      <w:tr>
        <w:trPr>
          <w:trHeight w:val="691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>
          <w:trHeight w:val="228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732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4"/>
              <w:widowControl w:val="false"/>
              <w:tabs>
                <w:tab w:val="clear" w:pos="0"/>
              </w:tabs>
              <w:spacing w:before="0" w:after="0"/>
              <w:ind w:left="0" w:hanging="0"/>
              <w:rPr>
                <w:highlight w:val="none"/>
                <w:shd w:fill="auto" w:val="clear"/>
              </w:rPr>
            </w:pPr>
            <w:r>
              <w:rPr>
                <w:b w:val="false"/>
                <w:shd w:fill="auto" w:val="clear"/>
              </w:rPr>
              <w:t>Кабардино-Балкарский транспортный участок Южного филиала АО «ТК РусГидро».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color w:val="000000" w:themeColor="text1"/>
                <w:sz w:val="24"/>
                <w:szCs w:val="24"/>
                <w:shd w:fill="auto" w:val="clear"/>
              </w:rPr>
              <w:t>КБР,  Чегемский р-н, 9 км. ж/д станции База «Нартан»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-</w:t>
            </w:r>
          </w:p>
        </w:tc>
      </w:tr>
    </w:tbl>
    <w:p>
      <w:pPr>
        <w:pStyle w:val="Heading1"/>
        <w:keepLines/>
        <w:numPr>
          <w:ilvl w:val="0"/>
          <w:numId w:val="3"/>
        </w:numPr>
        <w:ind w:left="357" w:hanging="357"/>
        <w:rPr>
          <w:iCs/>
          <w:sz w:val="24"/>
          <w:szCs w:val="24"/>
        </w:rPr>
      </w:pPr>
      <w:bookmarkStart w:id="7" w:name="_Toc51339693"/>
      <w:bookmarkStart w:id="8" w:name="_Toc54643702"/>
      <w:r>
        <w:rPr>
          <w:iCs/>
          <w:sz w:val="24"/>
          <w:szCs w:val="24"/>
          <w:lang w:val="ru-RU"/>
        </w:rPr>
        <w:t>Требования</w:t>
      </w:r>
      <w:r>
        <w:rPr>
          <w:iCs/>
          <w:sz w:val="24"/>
          <w:szCs w:val="24"/>
        </w:rPr>
        <w:t xml:space="preserve"> к </w:t>
      </w:r>
      <w:bookmarkEnd w:id="7"/>
      <w:bookmarkEnd w:id="8"/>
      <w:r>
        <w:rPr>
          <w:iCs/>
          <w:sz w:val="24"/>
          <w:szCs w:val="24"/>
        </w:rPr>
        <w:t>услугам</w:t>
      </w:r>
    </w:p>
    <w:p>
      <w:pPr>
        <w:pStyle w:val="Heading4"/>
        <w:numPr>
          <w:ilvl w:val="1"/>
          <w:numId w:val="3"/>
        </w:numPr>
        <w:rPr/>
      </w:pPr>
      <w:bookmarkStart w:id="9" w:name="_Toc54643703"/>
      <w:r>
        <w:rPr/>
        <w:t>Требования к перечню и объему услуг</w:t>
      </w:r>
    </w:p>
    <w:tbl>
      <w:tblPr>
        <w:tblpPr w:bottomFromText="0" w:horzAnchor="margin" w:leftFromText="181" w:rightFromText="181" w:tblpX="-44" w:tblpY="97" w:topFromText="0" w:vertAnchor="text"/>
        <w:tblW w:w="969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9"/>
        <w:gridCol w:w="6797"/>
        <w:gridCol w:w="2214"/>
      </w:tblGrid>
      <w:tr>
        <w:trPr>
          <w:trHeight w:val="238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lineRule="auto" w:line="228"/>
              <w:ind w:left="142" w:right="27" w:hanging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28"/>
              <w:ind w:right="177" w:hanging="0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 xml:space="preserve">Перечень работ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28"/>
              <w:ind w:right="177" w:hanging="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Кол-во</w:t>
            </w:r>
          </w:p>
        </w:tc>
      </w:tr>
      <w:tr>
        <w:trPr>
          <w:trHeight w:val="102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lineRule="auto" w:line="228"/>
              <w:ind w:left="142" w:right="27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1.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eastAsia="x-none"/>
              </w:rPr>
              <w:t xml:space="preserve">Предрейсовый медицинский осмотр водителей </w:t>
            </w: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  <w:t>Кабардино-Балкарского транспортного участка Южного филиала АО «ТК РусГидро».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2400</w:t>
            </w:r>
          </w:p>
        </w:tc>
      </w:tr>
      <w:tr>
        <w:trPr>
          <w:trHeight w:val="102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lineRule="auto" w:line="228"/>
              <w:ind w:left="142" w:right="27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2.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eastAsia="x-none"/>
              </w:rPr>
              <w:t xml:space="preserve"> </w:t>
            </w:r>
            <w:r>
              <w:rPr>
                <w:sz w:val="24"/>
                <w:szCs w:val="24"/>
                <w:shd w:fill="auto" w:val="clear"/>
                <w:lang w:eastAsia="x-none"/>
              </w:rPr>
              <w:t xml:space="preserve">Послерейсовый медицинский осмотр водителей </w:t>
            </w: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  <w:t xml:space="preserve"> Кабардино-Балкарского транспортного участка Южного филиала АО «ТК РусГидро».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2400</w:t>
            </w:r>
          </w:p>
        </w:tc>
      </w:tr>
      <w:tr>
        <w:trPr>
          <w:trHeight w:val="102" w:hRule="atLeast"/>
        </w:trPr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lineRule="auto" w:line="228"/>
              <w:ind w:left="142" w:right="27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3.</w:t>
            </w: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eastAsia="x-none"/>
              </w:rPr>
              <w:t xml:space="preserve">Предрейсовый медицинский осмотр водителей </w:t>
            </w: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  <w:t xml:space="preserve"> Кабардино-Балкарского </w:t>
            </w:r>
            <w:r>
              <w:rPr>
                <w:sz w:val="24"/>
                <w:szCs w:val="24"/>
                <w:shd w:fill="auto" w:val="clear"/>
                <w:lang w:eastAsia="x-none"/>
              </w:rPr>
              <w:t>транспортного участка Южного фили</w:t>
            </w:r>
            <w:bookmarkStart w:id="10" w:name="_GoBack"/>
            <w:bookmarkEnd w:id="10"/>
            <w:r>
              <w:rPr>
                <w:sz w:val="24"/>
                <w:szCs w:val="24"/>
                <w:shd w:fill="auto" w:val="clear"/>
                <w:lang w:eastAsia="x-none"/>
              </w:rPr>
              <w:t>ала АО «ТК РусГидро».(в выходные и праздничные дни)</w:t>
            </w:r>
          </w:p>
        </w:tc>
        <w:tc>
          <w:tcPr>
            <w:tcW w:w="2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336</w:t>
            </w:r>
          </w:p>
        </w:tc>
      </w:tr>
      <w:tr>
        <w:trPr>
          <w:trHeight w:val="102" w:hRule="atLeast"/>
        </w:trPr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lineRule="auto" w:line="228"/>
              <w:ind w:left="142" w:right="27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4.</w:t>
            </w: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eastAsia="x-none"/>
              </w:rPr>
              <w:t xml:space="preserve">Послерейсовый медицинский осмотр водителей </w:t>
            </w: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  <w:t xml:space="preserve"> Кабардино-Балкарского </w:t>
            </w:r>
            <w:r>
              <w:rPr>
                <w:sz w:val="24"/>
                <w:szCs w:val="24"/>
                <w:shd w:fill="auto" w:val="clear"/>
                <w:lang w:eastAsia="x-none"/>
              </w:rPr>
              <w:t>транспортного участка Южного филиала АО «ТК РусГидро».(в выходные и праздничные дни)</w:t>
            </w:r>
          </w:p>
        </w:tc>
        <w:tc>
          <w:tcPr>
            <w:tcW w:w="2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336</w:t>
            </w:r>
          </w:p>
        </w:tc>
      </w:tr>
    </w:tbl>
    <w:p>
      <w:pPr>
        <w:pStyle w:val="Heading4"/>
        <w:numPr>
          <w:ilvl w:val="1"/>
          <w:numId w:val="3"/>
        </w:numPr>
        <w:rPr>
          <w:lang w:val="ru-RU"/>
        </w:rPr>
      </w:pPr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9"/>
    </w:p>
    <w:tbl>
      <w:tblPr>
        <w:tblW w:w="96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6"/>
        <w:gridCol w:w="2977"/>
        <w:gridCol w:w="2976"/>
        <w:gridCol w:w="2974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firstLine="43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4"/>
              <w:widowControl w:val="false"/>
              <w:tabs>
                <w:tab w:val="left" w:pos="0" w:leader="none"/>
                <w:tab w:val="left" w:pos="426" w:leader="none"/>
              </w:tabs>
              <w:spacing w:before="0" w:after="0"/>
              <w:ind w:left="0" w:hanging="0"/>
              <w:rPr>
                <w:b w:val="false"/>
                <w:bCs w:val="false"/>
              </w:rPr>
            </w:pPr>
            <w:r>
              <w:rPr>
                <w:b w:val="false"/>
              </w:rPr>
              <w:t>ОКПД2 86.10.15.000. Услуги по проведению предрейсовых и послерейсовых медосмотров водителей Кабардино-Балкарского транспортного участка Южного филиала АО «ТК РусГидро»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01.01.202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 по 31.12.202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г. </w:t>
            </w:r>
          </w:p>
        </w:tc>
      </w:tr>
    </w:tbl>
    <w:p>
      <w:pPr>
        <w:pStyle w:val="Heading4"/>
        <w:numPr>
          <w:ilvl w:val="1"/>
          <w:numId w:val="3"/>
        </w:numPr>
        <w:spacing w:before="240" w:after="60"/>
        <w:ind w:left="454" w:firstLine="227"/>
        <w:rPr/>
      </w:pPr>
      <w:r>
        <w:rPr/>
        <w:t xml:space="preserve">  </w:t>
      </w:r>
      <w:bookmarkStart w:id="11" w:name="_Toc54643704"/>
      <w:r>
        <w:rPr/>
        <w:t>Требования к перечню и объему услуг</w:t>
      </w:r>
      <w:bookmarkStart w:id="12" w:name="_Toc50125131"/>
      <w:bookmarkEnd w:id="11"/>
    </w:p>
    <w:p>
      <w:pPr>
        <w:pStyle w:val="Normal"/>
        <w:ind w:firstLine="737"/>
        <w:jc w:val="both"/>
        <w:rPr/>
      </w:pPr>
      <w:bookmarkStart w:id="13" w:name="sub_203"/>
      <w:r>
        <w:rPr>
          <w:rFonts w:eastAsia="Calibri"/>
          <w:sz w:val="24"/>
          <w:szCs w:val="24"/>
          <w:lang w:eastAsia="x-none"/>
        </w:rPr>
        <w:t xml:space="preserve">2.3.1. </w:t>
      </w:r>
      <w:r>
        <w:rPr>
          <w:sz w:val="24"/>
        </w:rPr>
        <w:t xml:space="preserve">Предрейсовые, послерейсовые медицинские осмотры, </w:t>
      </w:r>
      <w:r>
        <w:rPr>
          <w:rFonts w:eastAsia="Calibri"/>
          <w:sz w:val="24"/>
          <w:szCs w:val="24"/>
          <w:lang w:eastAsia="x-none"/>
        </w:rPr>
        <w:t>проводятся медицинским</w:t>
      </w:r>
      <w:bookmarkEnd w:id="13"/>
      <w:r>
        <w:rPr>
          <w:rFonts w:eastAsia="Calibri"/>
          <w:sz w:val="24"/>
          <w:szCs w:val="24"/>
          <w:lang w:eastAsia="x-none"/>
        </w:rPr>
        <w:t xml:space="preserve"> работником на территории Исполнителя.</w:t>
      </w:r>
    </w:p>
    <w:p>
      <w:pPr>
        <w:pStyle w:val="Normal"/>
        <w:ind w:firstLine="737"/>
        <w:jc w:val="both"/>
        <w:rPr/>
      </w:pPr>
      <w:bookmarkStart w:id="14" w:name="sub_204"/>
      <w:r>
        <w:rPr>
          <w:rFonts w:eastAsia="Calibri"/>
          <w:sz w:val="24"/>
          <w:szCs w:val="24"/>
          <w:lang w:eastAsia="x-none"/>
        </w:rPr>
        <w:t xml:space="preserve">2.3.2. </w:t>
      </w:r>
      <w:r>
        <w:rPr>
          <w:sz w:val="24"/>
        </w:rPr>
        <w:t xml:space="preserve">Предрейсовые, послерейсовые медицинские осмотры, медицинские осмотры </w:t>
      </w:r>
      <w:bookmarkEnd w:id="14"/>
      <w:r>
        <w:rPr>
          <w:rFonts w:eastAsia="Calibri"/>
          <w:sz w:val="24"/>
          <w:szCs w:val="24"/>
          <w:lang w:eastAsia="x-none"/>
        </w:rPr>
        <w:t xml:space="preserve">проводятся строго в соответствии с </w:t>
      </w:r>
      <w:r>
        <w:rPr>
          <w:sz w:val="24"/>
        </w:rPr>
        <w:t>Приказом Минздрава России от 30.05.2023 №266н "Об утверждении Порядка и периодичности проведения, предрейсовых, послерейсовых медицинских осмотров, медицинских осмотров в течение рабочего дня (смены) и перечня включаемых в них исследований"</w:t>
      </w:r>
      <w:r>
        <w:rPr>
          <w:rFonts w:eastAsia="Calibri"/>
          <w:sz w:val="24"/>
          <w:szCs w:val="24"/>
          <w:lang w:eastAsia="x-none"/>
        </w:rPr>
        <w:t>.</w:t>
      </w:r>
      <w:bookmarkStart w:id="15" w:name="sub_206"/>
      <w:bookmarkEnd w:id="15"/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701" w:right="566" w:gutter="0" w:header="680" w:top="1134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ind w:firstLine="737"/>
        <w:jc w:val="both"/>
        <w:rPr/>
      </w:pPr>
      <w:r>
        <w:rPr>
          <w:rFonts w:eastAsia="Calibri"/>
          <w:sz w:val="24"/>
          <w:szCs w:val="24"/>
          <w:lang w:eastAsia="x-none"/>
        </w:rPr>
        <w:t xml:space="preserve">2.3.3. </w:t>
      </w:r>
      <w:r>
        <w:rPr>
          <w:sz w:val="24"/>
        </w:rPr>
        <w:t>По результатам прохождения медицинского осмотра при вынесении медицинских заключений, в путевом листе медицинским работником, проводившим соответствующий медицинский осмотр, проставляются дата, время и результат проведения медицинского осмотра в виде отметки "прошел предсменный медицинский осмотр, к исполнению трудовых обязанностей допущен", "прошел послесменный медицинский осмотр" или "прошел послесменный медицинский осмотр, выявлены признаки" с указанием воздействия вредных и (или) опасных производственных факторов рабочей среды и трудового процесса на состояние здоровья работника, острого профессионального заболевания или отравления, признаков алкогольного, наркотического или иного токсического опьянения и заверяются его собственноручной подписью на бумажном носителе.</w:t>
      </w:r>
    </w:p>
    <w:p>
      <w:pPr>
        <w:pStyle w:val="Heading4"/>
        <w:numPr>
          <w:ilvl w:val="1"/>
          <w:numId w:val="3"/>
        </w:numPr>
        <w:rPr/>
      </w:pPr>
      <w:bookmarkStart w:id="16" w:name="_Toc54643709"/>
      <w:bookmarkStart w:id="17" w:name="_Toc51339698"/>
      <w:bookmarkStart w:id="18" w:name="_Toc54643708"/>
      <w:bookmarkStart w:id="19" w:name="_Toc46743511"/>
      <w:r>
        <w:rPr/>
        <w:t xml:space="preserve">Требования к </w:t>
      </w:r>
      <w:bookmarkEnd w:id="19"/>
      <w:r>
        <w:rPr>
          <w:lang w:val="ru-RU"/>
        </w:rPr>
        <w:t>качеству услуг</w:t>
      </w:r>
      <w:bookmarkEnd w:id="18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Требования к </w:t>
      </w:r>
      <w:bookmarkEnd w:id="12"/>
      <w:bookmarkEnd w:id="17"/>
      <w:r>
        <w:rPr>
          <w:sz w:val="24"/>
          <w:szCs w:val="24"/>
          <w:lang w:val="ru-RU"/>
        </w:rPr>
        <w:t>качеству услуг</w:t>
      </w:r>
      <w:bookmarkEnd w:id="16"/>
      <w:r>
        <w:rPr>
          <w:sz w:val="24"/>
          <w:szCs w:val="24"/>
        </w:rPr>
        <w:t xml:space="preserve"> </w:t>
      </w:r>
    </w:p>
    <w:p>
      <w:pPr>
        <w:pStyle w:val="Normal"/>
        <w:rPr>
          <w:rFonts w:eastAsia="Calibri"/>
          <w:sz w:val="24"/>
          <w:szCs w:val="24"/>
          <w:lang w:eastAsia="x-none"/>
        </w:rPr>
      </w:pPr>
      <w:r>
        <w:rPr>
          <w:b/>
          <w:bCs/>
          <w:sz w:val="24"/>
          <w:szCs w:val="24"/>
        </w:rPr>
        <w:t xml:space="preserve">Наименование услуг: </w:t>
      </w:r>
      <w:r>
        <w:rPr>
          <w:rFonts w:eastAsia="Calibri"/>
          <w:sz w:val="24"/>
          <w:szCs w:val="24"/>
          <w:lang w:eastAsia="x-none"/>
        </w:rPr>
        <w:t>ОКПД2 86.10.15.000. Услуги по проведению предрейсовых и послерейсовых медосмотров водителей Кабардино-Балкарского транспортного участка Южного филиала АО «ТК РусГидро»</w:t>
      </w:r>
    </w:p>
    <w:p>
      <w:pPr>
        <w:pStyle w:val="Normal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tbl>
      <w:tblPr>
        <w:tblStyle w:val="affff7"/>
        <w:tblW w:w="1502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76"/>
        <w:gridCol w:w="6210"/>
        <w:gridCol w:w="2978"/>
        <w:gridCol w:w="2828"/>
        <w:gridCol w:w="2134"/>
      </w:tblGrid>
      <w:tr>
        <w:trPr/>
        <w:tc>
          <w:tcPr>
            <w:tcW w:w="87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621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80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1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7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621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0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0"/>
          </w:p>
        </w:tc>
        <w:tc>
          <w:tcPr>
            <w:tcW w:w="62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1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62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97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82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13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527" w:hRule="atLeast"/>
        </w:trPr>
        <w:tc>
          <w:tcPr>
            <w:tcW w:w="87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2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297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82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13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right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62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должен оказывать медицинские услуги в соответствии с </w:t>
            </w: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 xml:space="preserve">Приказом Минздрава России от 30.05.2023 №266н "Об утверждении Порядка и периодичности проведения предрейсовых, , послерейсовых медицинских осмотров, медицинских осмотров в течение рабочего дня (смены) и перечня включаемых в них исследований" </w:t>
            </w:r>
          </w:p>
        </w:tc>
        <w:tc>
          <w:tcPr>
            <w:tcW w:w="297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28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  <w:tc>
          <w:tcPr>
            <w:tcW w:w="21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62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Исполнитель оказывает услуги по проведению, предрейсового и, послерейсового медицинского осмотра водителей ежедневно с 6 час. 00 мин. до 10 час. 00 мин. и с 18 час. 00 мин. до 22 час. 00 мин., в случае более раннего выезда и позднего заезда обеспечить прохождение медицинского осмотра водителей.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2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62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Наличие стационарного кабинета, оборудованного согласно требований к кабинетам для проведения, предрейсовых и, прослерейсовых медицинских осмотров.</w:t>
            </w:r>
          </w:p>
        </w:tc>
        <w:tc>
          <w:tcPr>
            <w:tcW w:w="2978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28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62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Предрейсовый и, послерейсовый медицинский осмотр водителей должен проводиться протяженностью пути не далее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 км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по дорогам общего пользования от фактического местонахождения водительского состава Заказчика, расположенных по адресу: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РСО-Алания, г.Владикавказ ул.В.Абаева 63</w:t>
            </w:r>
          </w:p>
        </w:tc>
        <w:tc>
          <w:tcPr>
            <w:tcW w:w="2978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828" w:type="dxa"/>
            <w:tcBorders>
              <w:top w:val="nil"/>
            </w:tcBorders>
          </w:tcPr>
          <w:p>
            <w:pPr>
              <w:pStyle w:val="15"/>
              <w:keepNext w:val="true"/>
              <w:widowControl w:val="false"/>
              <w:shd w:val="clear" w:color="auto" w:fill="FFFFFF" w:themeFill="background1"/>
              <w:suppressAutoHyphens w:val="true"/>
              <w:spacing w:beforeAutospacing="0" w:before="0" w:afterAutospacing="0" w:after="0"/>
              <w:ind w:left="44" w:hanging="0"/>
              <w:jc w:val="left"/>
              <w:rPr>
                <w:i/>
                <w:i/>
                <w:iCs/>
              </w:rPr>
            </w:pPr>
            <w:r>
              <w:rPr>
                <w:rFonts w:cs="Times New Roman" w:ascii="Times New Roman" w:hAnsi="Times New Roman"/>
                <w:i/>
                <w:iCs/>
                <w:kern w:val="0"/>
                <w:lang w:val="ru-RU" w:eastAsia="ru-RU" w:bidi="ar-SA"/>
              </w:rPr>
              <w:t>Выписки из реестра лицензий по состоянию на ноябрь 2024 года.</w:t>
            </w:r>
          </w:p>
        </w:tc>
        <w:tc>
          <w:tcPr>
            <w:tcW w:w="2134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6210" w:type="dxa"/>
            <w:tcBorders>
              <w:top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shd w:val="clear" w:color="auto" w:fill="FFFFFF" w:themeFill="background1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Наличии лицензии на осуществление медицинской деятельности, предусматривающей выполнение работ (услуг) по медицинским осмотрам (предсменным, предрейсовым, послесменным, послерейсовым), в соответствии с Приказом Минздрава России от 30.05.2023 №266н.</w:t>
            </w:r>
          </w:p>
        </w:tc>
        <w:tc>
          <w:tcPr>
            <w:tcW w:w="2978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828" w:type="dxa"/>
            <w:tcBorders>
              <w:top w:val="nil"/>
            </w:tcBorders>
          </w:tcPr>
          <w:p>
            <w:pPr>
              <w:pStyle w:val="15"/>
              <w:keepNext w:val="true"/>
              <w:widowControl w:val="false"/>
              <w:shd w:val="clear" w:color="auto" w:fill="FFFFFF" w:themeFill="background1"/>
              <w:suppressAutoHyphens w:val="true"/>
              <w:spacing w:beforeAutospacing="0" w:before="0" w:afterAutospacing="0" w:after="0"/>
              <w:ind w:left="44" w:hanging="0"/>
              <w:jc w:val="left"/>
              <w:rPr>
                <w:i/>
                <w:i/>
                <w:iCs/>
              </w:rPr>
            </w:pPr>
            <w:r>
              <w:rPr>
                <w:rFonts w:cs="Times New Roman" w:ascii="Times New Roman" w:hAnsi="Times New Roman"/>
                <w:i/>
                <w:iCs/>
                <w:kern w:val="0"/>
                <w:lang w:val="ru-RU" w:eastAsia="ru-RU" w:bidi="ar-SA"/>
              </w:rPr>
              <w:t>Выписки из реестра лицензий по состоянию на ноябрь 2024 года.</w:t>
            </w:r>
          </w:p>
        </w:tc>
        <w:tc>
          <w:tcPr>
            <w:tcW w:w="2134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6210" w:type="dxa"/>
            <w:tcBorders>
              <w:top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shd w:val="clear" w:color="auto" w:fill="FFFFFF" w:themeFill="background1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Услуги должны оказываться медицинскими работниками, имеющие высшее и (или) среднее профессиональное медицинское образование. </w:t>
            </w:r>
          </w:p>
        </w:tc>
        <w:tc>
          <w:tcPr>
            <w:tcW w:w="2978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28" w:type="dxa"/>
            <w:tcBorders>
              <w:top w:val="nil"/>
            </w:tcBorders>
          </w:tcPr>
          <w:p>
            <w:pPr>
              <w:pStyle w:val="15"/>
              <w:keepNext w:val="true"/>
              <w:widowControl w:val="false"/>
              <w:shd w:val="clear" w:color="auto" w:fill="FFFFFF" w:themeFill="background1"/>
              <w:suppressAutoHyphens w:val="true"/>
              <w:spacing w:beforeAutospacing="0" w:before="0" w:afterAutospacing="0" w:after="0"/>
              <w:ind w:left="44" w:hanging="0"/>
              <w:jc w:val="left"/>
              <w:rPr>
                <w:rFonts w:ascii="Times New Roman" w:hAnsi="Times New Roman" w:cs="Times New Roman"/>
                <w:i/>
                <w:i/>
                <w:iCs/>
              </w:rPr>
            </w:pPr>
            <w:r>
              <w:rPr>
                <w:rFonts w:cs="Times New Roman" w:ascii="Times New Roman" w:hAnsi="Times New Roman"/>
                <w:i/>
                <w:iCs/>
              </w:rPr>
            </w:r>
          </w:p>
        </w:tc>
        <w:tc>
          <w:tcPr>
            <w:tcW w:w="2134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62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97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82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13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1.2.1</w:t>
            </w:r>
          </w:p>
        </w:tc>
        <w:tc>
          <w:tcPr>
            <w:tcW w:w="621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обязан ежедневно вести Журналы «Предсменного, предрейсового и послесменного, послерейсового медицинского осмотра водителей», а также ставить отметку в путевом листе осматриваемого водителя согласно требованиям Приказа Минздрава России от 30.05.2023 №266н "Об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исследований" 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2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708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1.2.3</w:t>
            </w:r>
          </w:p>
        </w:tc>
        <w:tc>
          <w:tcPr>
            <w:tcW w:w="621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Журнал ведется на бумажном носителе, страницы которого должны быть прошнурованы, пронумерованы, скреплены печатью медицинской организации (при наличии), на оттиске которой идентифицируется название медицинской организации в соответствии с учредительными документами. По запросу Заказчика Исполнитель должен предоставить копии страниц Журналов.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28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1.2.3.</w:t>
            </w:r>
          </w:p>
        </w:tc>
        <w:tc>
          <w:tcPr>
            <w:tcW w:w="62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 xml:space="preserve">При выявления медицинским работником по результатам медицинских осмотров признаков и (или) остаточных явлений,  осматриваемому медицинским работником выдается справка о выявлении признаков и (или) остаточных явлений. В справке указываются порядковый номер, дата (число, месяц, год) и время (часы, минуты) проведения соответствующего медицинского осмотра, предварительный диагноз.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540"/>
              <w:contextualSpacing/>
              <w:jc w:val="both"/>
              <w:rPr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 xml:space="preserve">Справка подписывается медицинским работником, проводившим медицинский осмотр, с указанием фамилии, имени и отчества (при наличии) медицинского работника, либо усиленной квалифицированной электронной подписью медицинского работника, в случае формирования справки в форме электронного документа.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540"/>
              <w:contextualSpacing/>
              <w:jc w:val="both"/>
              <w:rPr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Медицинские организации, проводящие соответствующие медицинские осмотры, обеспечивают учет всех выданных справок.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28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1.2.4.</w:t>
            </w:r>
          </w:p>
        </w:tc>
        <w:tc>
          <w:tcPr>
            <w:tcW w:w="621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 xml:space="preserve">Результаты проведенных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предсменных, предрейсовых, послесменных, послерейсовых </w:t>
            </w: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 xml:space="preserve">медицинских осмотров, медицинский работник сообщает осматриваемому и работодателю (уполномоченному представителю работодателя). 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2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1652" w:hRule="atLeast"/>
        </w:trPr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1.2.5</w:t>
            </w:r>
          </w:p>
        </w:tc>
        <w:tc>
          <w:tcPr>
            <w:tcW w:w="621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Медицинский работник Исполнителя несет дисциплинарную, а в случаях, предусмотренных законодательством, и иную ответственность за качество проведенного предрейсового, предсменного / послерейсового, послесменного медицинского осмотра и при вынесении медицинского заключения.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2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62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97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82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13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1.3.1</w:t>
            </w:r>
          </w:p>
        </w:tc>
        <w:tc>
          <w:tcPr>
            <w:tcW w:w="62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en-US" w:bidi="ar-SA"/>
              </w:rPr>
              <w:t>Для оказания услуг Исполнитель использует своё медицинское оборудование, инструментарий для проведения обследований и процедур, штамп.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 Услуги должны быть оказаны своевременно, надлежащего качества, в полном объеме, соответствовать стандартам, которые устанавливают обязательные требования к качеству данного вида услуг.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2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1.3.2.</w:t>
            </w:r>
          </w:p>
        </w:tc>
        <w:tc>
          <w:tcPr>
            <w:tcW w:w="62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Услуги должны оказываться способом, не причиняющим вреда здоровью, при оказании услуг должен использоваться  не просроченный расходный материал.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2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tabs>
          <w:tab w:val="clear" w:pos="708"/>
          <w:tab w:val="left" w:pos="4335" w:leader="none"/>
        </w:tabs>
        <w:rPr>
          <w:sz w:val="24"/>
          <w:szCs w:val="24"/>
        </w:rPr>
      </w:pPr>
      <w:r>
        <w:rPr>
          <w:sz w:val="24"/>
          <w:szCs w:val="24"/>
        </w:rPr>
        <w:tab/>
        <w:tab/>
      </w:r>
    </w:p>
    <w:p>
      <w:pPr>
        <w:pStyle w:val="Heading1"/>
        <w:keepLines/>
        <w:numPr>
          <w:ilvl w:val="0"/>
          <w:numId w:val="3"/>
        </w:numPr>
        <w:ind w:left="357" w:firstLine="494"/>
        <w:rPr>
          <w:sz w:val="24"/>
          <w:szCs w:val="24"/>
          <w:lang w:val="ru-RU"/>
        </w:rPr>
      </w:pPr>
      <w:bookmarkStart w:id="21" w:name="_Toc54643710"/>
      <w:bookmarkStart w:id="22" w:name="_Toc53395937"/>
      <w:bookmarkStart w:id="23" w:name="_Toc53393312"/>
      <w:r>
        <w:rPr>
          <w:sz w:val="24"/>
          <w:szCs w:val="24"/>
          <w:lang w:val="ru-RU"/>
        </w:rPr>
        <w:t>Требования к документации по ценообразованию</w:t>
      </w:r>
      <w:bookmarkEnd w:id="22"/>
      <w:bookmarkEnd w:id="23"/>
      <w:r>
        <w:rPr>
          <w:sz w:val="24"/>
          <w:szCs w:val="24"/>
          <w:lang w:val="ru-RU"/>
        </w:rPr>
        <w:t xml:space="preserve"> на этапе закупки</w:t>
      </w:r>
      <w:bookmarkEnd w:id="21"/>
    </w:p>
    <w:p>
      <w:pPr>
        <w:pStyle w:val="Heading4"/>
        <w:numPr>
          <w:ilvl w:val="1"/>
          <w:numId w:val="3"/>
        </w:numPr>
        <w:ind w:left="0" w:firstLine="851"/>
        <w:jc w:val="both"/>
        <w:rPr>
          <w:b w:val="false"/>
        </w:rPr>
      </w:pPr>
      <w:r>
        <w:rPr>
          <w:b w:val="false"/>
        </w:rPr>
        <w:t xml:space="preserve">В стоимость услуг входят затраты Исполнителя, связанные с оказанием Услуг, в том числе налоги, сборы, пошлины и другие обязательные платежи, расходы на содержание, эксплуатацию, и прочие расходы, которые Исполнитель оплачивает в соответствии с условиями Договора или на иных основаниях. Цены остаются фиксированными и не подлежат изменению с момента заключения Договора. </w:t>
      </w:r>
    </w:p>
    <w:p>
      <w:pPr>
        <w:pStyle w:val="Heading4"/>
        <w:tabs>
          <w:tab w:val="clear" w:pos="0"/>
        </w:tabs>
        <w:ind w:left="0" w:hanging="0"/>
        <w:jc w:val="both"/>
        <w:rPr/>
      </w:pPr>
      <w:r>
        <w:rPr/>
      </w:r>
    </w:p>
    <w:p>
      <w:pPr>
        <w:pStyle w:val="Normal"/>
        <w:jc w:val="both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  <w:t xml:space="preserve">      </w:t>
      </w:r>
      <w:r>
        <w:rPr>
          <w:rFonts w:eastAsia="Calibri"/>
          <w:b/>
          <w:sz w:val="24"/>
          <w:szCs w:val="24"/>
          <w:lang w:eastAsia="x-none"/>
        </w:rPr>
        <w:t xml:space="preserve">4. </w:t>
      </w:r>
      <w:bookmarkStart w:id="24" w:name="_Toc54281228"/>
      <w:bookmarkStart w:id="25" w:name="_Toc54643711"/>
      <w:r>
        <w:rPr>
          <w:rFonts w:eastAsia="Calibri"/>
          <w:b/>
          <w:sz w:val="24"/>
          <w:szCs w:val="24"/>
          <w:lang w:eastAsia="x-none"/>
        </w:rPr>
        <w:t>Требования к документации по ценообразованию на этапе заключения (исполнения) договора</w:t>
      </w:r>
      <w:bookmarkEnd w:id="24"/>
      <w:bookmarkEnd w:id="25"/>
      <w:r>
        <w:rPr>
          <w:rFonts w:eastAsia="Calibri"/>
          <w:b/>
          <w:sz w:val="24"/>
          <w:szCs w:val="24"/>
          <w:lang w:eastAsia="x-none"/>
        </w:rPr>
        <w:t>.</w:t>
      </w:r>
    </w:p>
    <w:p>
      <w:pPr>
        <w:pStyle w:val="Normal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Отсутствуют.</w:t>
      </w:r>
    </w:p>
    <w:p>
      <w:pPr>
        <w:pStyle w:val="Normal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bCs/>
          <w:sz w:val="24"/>
          <w:szCs w:val="24"/>
          <w:lang w:eastAsia="x-none"/>
        </w:rPr>
      </w:pPr>
      <w:r>
        <w:rPr>
          <w:rFonts w:eastAsia="Calibri"/>
          <w:b/>
          <w:bCs/>
          <w:sz w:val="24"/>
          <w:szCs w:val="24"/>
          <w:lang w:eastAsia="x-none"/>
        </w:rPr>
        <w:t xml:space="preserve">              </w:t>
      </w:r>
      <w:r>
        <w:rPr>
          <w:rFonts w:eastAsia="Calibri"/>
          <w:b/>
          <w:bCs/>
          <w:sz w:val="24"/>
          <w:szCs w:val="24"/>
          <w:lang w:eastAsia="x-none"/>
        </w:rPr>
        <w:t xml:space="preserve">5. </w:t>
      </w:r>
      <w:r>
        <w:rPr>
          <w:rFonts w:eastAsia="Calibri"/>
          <w:b/>
          <w:bCs/>
          <w:iCs/>
          <w:sz w:val="24"/>
          <w:szCs w:val="24"/>
          <w:lang w:eastAsia="x-none"/>
        </w:rPr>
        <w:t>Приложения.</w:t>
      </w:r>
    </w:p>
    <w:p>
      <w:pPr>
        <w:pStyle w:val="Normal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iCs/>
          <w:sz w:val="24"/>
          <w:szCs w:val="24"/>
          <w:lang w:eastAsia="x-none"/>
        </w:rPr>
        <w:t>Отсутствуют.</w:t>
      </w:r>
    </w:p>
    <w:p>
      <w:pPr>
        <w:pStyle w:val="Heading1"/>
        <w:tabs>
          <w:tab w:val="clear" w:pos="0"/>
        </w:tabs>
        <w:ind w:left="0" w:hanging="0"/>
        <w:rPr>
          <w:rStyle w:val="Style8"/>
          <w:b/>
          <w:i w:val="false"/>
          <w:i w:val="false"/>
          <w:shd w:fill="auto" w:val="clear"/>
          <w:lang w:val="ru-RU"/>
        </w:rPr>
      </w:pPr>
      <w:r>
        <w:rPr>
          <w:b/>
          <w:i w:val="false"/>
          <w:shd w:fill="auto" w:val="clear"/>
          <w:lang w:val="ru-RU"/>
        </w:rPr>
      </w:r>
    </w:p>
    <w:p>
      <w:pPr>
        <w:pStyle w:val="Normal"/>
        <w:rPr>
          <w:rStyle w:val="Style8"/>
          <w:i w:val="false"/>
          <w:i w:val="false"/>
          <w:shd w:fill="auto" w:val="clear"/>
        </w:rPr>
      </w:pPr>
      <w:r>
        <w:rPr>
          <w:i w:val="false"/>
          <w:shd w:fill="auto" w:val="clear"/>
        </w:rPr>
      </w:r>
    </w:p>
    <w:p>
      <w:pPr>
        <w:pStyle w:val="NoSpacing"/>
        <w:tabs>
          <w:tab w:val="clear" w:pos="708"/>
          <w:tab w:val="left" w:pos="567" w:leader="none"/>
        </w:tabs>
        <w:spacing w:before="0" w:after="16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/>
          <w:sz w:val="24"/>
        </w:rPr>
        <w:t>Ответственный исполнитель</w:t>
      </w:r>
    </w:p>
    <w:p>
      <w:pPr>
        <w:pStyle w:val="NoSpacing"/>
        <w:tabs>
          <w:tab w:val="clear" w:pos="708"/>
          <w:tab w:val="left" w:pos="567" w:leader="none"/>
        </w:tabs>
        <w:spacing w:before="0" w:after="16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/>
          <w:sz w:val="24"/>
        </w:rPr>
        <w:t xml:space="preserve">Начальник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 xml:space="preserve">Кабардино-Балкарского </w:t>
      </w:r>
    </w:p>
    <w:p>
      <w:pPr>
        <w:pStyle w:val="NoSpacing"/>
        <w:tabs>
          <w:tab w:val="clear" w:pos="708"/>
          <w:tab w:val="left" w:pos="567" w:leader="none"/>
        </w:tabs>
        <w:spacing w:before="0" w:after="16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транспортного участка</w:t>
      </w:r>
      <w:r>
        <w:rPr>
          <w:rFonts w:cs="Times New Roman"/>
          <w:sz w:val="24"/>
        </w:rPr>
        <w:t xml:space="preserve">                                                                                            А.Н. Токмаков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/>
          <w:sz w:val="24"/>
          <w:lang w:eastAsia="zh-CN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/>
          <w:sz w:val="24"/>
          <w:lang w:eastAsia="zh-CN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/>
          <w:sz w:val="24"/>
          <w:lang w:eastAsia="zh-CN"/>
        </w:rPr>
        <w:t>Технический куратор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/>
          <w:sz w:val="24"/>
          <w:lang w:eastAsia="zh-CN"/>
        </w:rPr>
        <w:t>Ведущий инженер по охране труда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/>
          <w:bCs/>
          <w:sz w:val="24"/>
          <w:szCs w:val="24"/>
          <w:lang w:eastAsia="zh-CN"/>
        </w:rPr>
        <w:t>и безопасности движения                                                                                       А.А. Васильева</w:t>
      </w:r>
    </w:p>
    <w:p>
      <w:pPr>
        <w:pStyle w:val="Normal"/>
        <w:rPr>
          <w:bCs/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ab/>
      </w:r>
    </w:p>
    <w:p>
      <w:pPr>
        <w:pStyle w:val="Normal"/>
        <w:rPr>
          <w:sz w:val="24"/>
          <w:szCs w:val="24"/>
          <w:lang w:eastAsia="x-none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701" w:right="707" w:gutter="0" w:header="680" w:top="1134" w:footer="0" w:bottom="992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1">
    <w:name w:val="Strong1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2e318d"/>
    <w:pPr>
      <w:tabs>
        <w:tab w:val="clear" w:pos="708"/>
        <w:tab w:val="left" w:pos="560" w:leader="none"/>
        <w:tab w:val="right" w:pos="9465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465" w:leader="dot"/>
      </w:tabs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465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Default" w:customStyle="1">
    <w:name w:val="Default"/>
    <w:qFormat/>
    <w:rsid w:val="002b091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ru-RU" w:eastAsia="en-US" w:bidi="ar-SA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DEEF5-02A5-45E8-B6E2-D3D045CF4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Application>AlterOffice/3.4.0.9$Linux_X86_64 LibreOffice_project/b8daf9e823b1a5463a2f48435ddc2e8696e7d4fc</Application>
  <AppVersion>15.0000</AppVersion>
  <Pages>9</Pages>
  <Words>1233</Words>
  <Characters>8885</Characters>
  <CharactersWithSpaces>10609</CharactersWithSpaces>
  <Paragraphs>161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2023-10-31T05:49:00Z</dcterms:created>
  <dc:creator>Быстров Олег Геннадьевич</dc:creator>
  <dc:description/>
  <dc:language>ru-RU</dc:language>
  <cp:lastModifiedBy>bichoevajt@corp.gidroogk.com</cp:lastModifiedBy>
  <cp:lastPrinted>2024-12-25T13:20:00Z</cp:lastPrinted>
  <dcterms:modified xsi:type="dcterms:W3CDTF">2026-07-30T12:13:06Z</dcterms:modified>
  <cp:revision>30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