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64" w:before="0" w:after="0"/>
        <w:ind w:firstLine="851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ru-RU"/>
        </w:rPr>
        <w:tab/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/>
      </w:r>
    </w:p>
    <w:p>
      <w:pPr>
        <w:pStyle w:val="Normal"/>
        <w:widowControl w:val="false"/>
        <w:spacing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/>
      </w:r>
    </w:p>
    <w:p>
      <w:pPr>
        <w:pStyle w:val="Normal"/>
        <w:widowControl w:val="false"/>
        <w:spacing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/>
      </w:r>
    </w:p>
    <w:p>
      <w:pPr>
        <w:pStyle w:val="Normal"/>
        <w:widowControl w:val="false"/>
        <w:spacing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/>
      </w:r>
    </w:p>
    <w:p>
      <w:pPr>
        <w:pStyle w:val="Normal"/>
        <w:widowControl w:val="false"/>
        <w:spacing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/>
      </w:r>
    </w:p>
    <w:p>
      <w:pPr>
        <w:pStyle w:val="Normal"/>
        <w:widowControl w:val="false"/>
        <w:spacing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/>
      </w:r>
    </w:p>
    <w:p>
      <w:pPr>
        <w:pStyle w:val="Normal"/>
        <w:widowControl w:val="false"/>
        <w:spacing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/>
      </w:r>
    </w:p>
    <w:p>
      <w:pPr>
        <w:pStyle w:val="Normal"/>
        <w:widowControl w:val="false"/>
        <w:spacing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/>
      </w:r>
    </w:p>
    <w:p>
      <w:pPr>
        <w:pStyle w:val="Normal"/>
        <w:widowControl w:val="false"/>
        <w:spacing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/>
      </w:r>
    </w:p>
    <w:p>
      <w:pPr>
        <w:pStyle w:val="Normal"/>
        <w:widowControl w:val="false"/>
        <w:spacing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/>
      </w:r>
    </w:p>
    <w:p>
      <w:pPr>
        <w:pStyle w:val="Normal"/>
        <w:widowControl w:val="false"/>
        <w:spacing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/>
      </w:r>
    </w:p>
    <w:p>
      <w:pPr>
        <w:pStyle w:val="Normal"/>
        <w:widowControl w:val="false"/>
        <w:spacing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/>
      </w:r>
    </w:p>
    <w:p>
      <w:pPr>
        <w:pStyle w:val="Normal"/>
        <w:widowControl w:val="false"/>
        <w:spacing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/>
      </w:r>
    </w:p>
    <w:p>
      <w:pPr>
        <w:pStyle w:val="Normal"/>
        <w:widowControl w:val="false"/>
        <w:spacing w:before="0" w:after="0"/>
        <w:ind w:firstLine="851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ТЕХНИЧЕСКИЕ ТРЕБОВАНИЯ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134" w:leader="none"/>
        </w:tabs>
        <w:spacing w:before="0" w:after="0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ОКПД2 [19.20.21] Поставка горюче-смазочных материалов для нужд Чиркейская ГЭС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134" w:leader="none"/>
        </w:tabs>
        <w:spacing w:before="0" w:after="0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ЛОТ</w:t>
      </w:r>
      <w:r>
        <w:rPr>
          <w:rFonts w:eastAsia="Calibri" w:cs="Times New Roman" w:ascii="Times New Roman" w:hAnsi="Times New Roman"/>
          <w:sz w:val="24"/>
          <w:szCs w:val="24"/>
          <w:lang w:val="en-US" w:eastAsia="ru-RU"/>
        </w:rPr>
        <w:t>№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val="en-US" w:eastAsia="ru-RU"/>
        </w:rPr>
        <w:t xml:space="preserve">         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>ЭКСП ПРОД-2027-ГРВКК-УМР</w:t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hanging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sdt>
      <w:sdtPr>
        <w:docPartObj>
          <w:docPartGallery w:val="Table of Contents"/>
          <w:docPartUnique w:val="true"/>
        </w:docPartObj>
        <w:id w:val="354223872"/>
      </w:sdtPr>
      <w:sdtContent>
        <w:p>
          <w:pPr>
            <w:pStyle w:val="Normal"/>
            <w:widowControl w:val="false"/>
            <w:numPr>
              <w:ilvl w:val="0"/>
              <w:numId w:val="0"/>
            </w:numPr>
            <w:spacing w:lineRule="auto" w:line="264" w:before="0" w:after="0"/>
            <w:ind w:firstLine="851"/>
            <w:jc w:val="center"/>
            <w:outlineLvl w:val="1"/>
            <w:rPr>
              <w:rFonts w:ascii="Times New Roman" w:hAnsi="Times New Roman" w:eastAsia="Times New Roman" w:cs="Times New Roman"/>
              <w:b/>
              <w:bCs/>
              <w:sz w:val="28"/>
              <w:szCs w:val="28"/>
              <w:lang w:eastAsia="ar-SA"/>
            </w:rPr>
          </w:pPr>
          <w:bookmarkStart w:id="0" w:name="_Toc141772985"/>
          <w:r>
            <w:rPr>
              <w:rFonts w:eastAsia="Times New Roman" w:cs="Times New Roman" w:ascii="Times New Roman" w:hAnsi="Times New Roman"/>
              <w:b/>
              <w:bCs/>
              <w:sz w:val="28"/>
              <w:szCs w:val="28"/>
              <w:lang w:eastAsia="ar-SA"/>
            </w:rPr>
            <w:t>СОДЕРЖАНИЕ</w:t>
          </w:r>
          <w:bookmarkEnd w:id="0"/>
        </w:p>
        <w:p>
          <w:pPr>
            <w:pStyle w:val="Normal"/>
            <w:widowControl w:val="false"/>
            <w:numPr>
              <w:ilvl w:val="0"/>
              <w:numId w:val="0"/>
            </w:numPr>
            <w:spacing w:lineRule="auto" w:line="264" w:before="0" w:after="0"/>
            <w:ind w:firstLine="851"/>
            <w:jc w:val="center"/>
            <w:outlineLvl w:val="1"/>
            <w:rPr>
              <w:rFonts w:ascii="Times New Roman" w:hAnsi="Times New Roman" w:eastAsia="Times New Roman" w:cs="Times New Roman"/>
              <w:b/>
              <w:bCs/>
              <w:sz w:val="28"/>
              <w:szCs w:val="28"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bCs/>
              <w:sz w:val="28"/>
              <w:szCs w:val="28"/>
              <w:lang w:eastAsia="ar-SA"/>
            </w:rPr>
            <w:t>СОДЕРЖАНИЕ</w:t>
          </w:r>
        </w:p>
        <w:p>
          <w:pPr>
            <w:pStyle w:val="Normal"/>
            <w:numPr>
              <w:ilvl w:val="0"/>
              <w:numId w:val="7"/>
            </w:numPr>
            <w:tabs>
              <w:tab w:val="clear" w:pos="708"/>
              <w:tab w:val="right" w:pos="9911" w:leader="dot"/>
            </w:tabs>
            <w:spacing w:before="0" w:after="100"/>
            <w:ind w:left="220"/>
            <w:rPr>
              <w:rFonts w:ascii="Times New Roman" w:hAnsi="Times New Roman" w:eastAsia="" w:cs="Times New Roman" w:eastAsiaTheme="minorEastAsia"/>
              <w:lang w:eastAsia="ru-RU"/>
            </w:rPr>
          </w:pPr>
          <w:r>
            <w:fldChar w:fldCharType="begin"/>
          </w:r>
          <w:r>
            <w:rPr/>
            <w:instrText xml:space="preserve"> TOC \z \o "1-3" \u \h</w:instrText>
          </w:r>
          <w:r>
            <w:rPr/>
            <w:fldChar w:fldCharType="separate"/>
          </w:r>
          <w:hyperlink w:anchor="_Toc1417729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_Toc141772985 \h</w:instrText>
            </w:r>
            <w:r>
              <w:rPr>
                <w:webHidden/>
              </w:rPr>
              <w:fldChar w:fldCharType="separate"/>
            </w:r>
            <w:r>
              <w:rPr/>
            </w:r>
            <w:r>
              <w:rPr>
                <w:webHidden/>
              </w:rPr>
              <w:fldChar w:fldCharType="end"/>
            </w:r>
          </w:hyperlink>
          <w:r>
            <w:rPr/>
            <w:fldChar w:fldCharType="end"/>
          </w:r>
        </w:p>
      </w:sdtContent>
    </w:sdt>
    <w:p>
      <w:pPr>
        <w:pStyle w:val="Normal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1. </w:t>
      </w:r>
      <w:bookmarkStart w:id="1" w:name="_Toc125473240_Копия_1"/>
      <w:bookmarkStart w:id="2" w:name="_Toc75446566_Копия_1"/>
      <w:bookmarkStart w:id="3" w:name="_Toc141772986_Копия_1"/>
      <w:bookmarkStart w:id="4" w:name="_Toc51339692_Копия_1"/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Общие сведения</w:t>
      </w:r>
      <w:bookmarkEnd w:id="1"/>
      <w:bookmarkEnd w:id="2"/>
      <w:bookmarkEnd w:id="3"/>
      <w:bookmarkEnd w:id="4"/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 ……………………………………………………………………………………..3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  <w:lang w:eastAsia="x-none"/>
        </w:rPr>
        <w:t>1.1.  Обозначения и сокращения………………………………………………………………………3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 xml:space="preserve">1.2. </w:t>
      </w:r>
      <w:bookmarkStart w:id="5" w:name="_Toc125473241_Копия_2"/>
      <w:bookmarkStart w:id="6" w:name="_Toc141772987_Копия_2"/>
      <w:r>
        <w:rPr>
          <w:rFonts w:ascii="Times New Roman" w:hAnsi="Times New Roman"/>
          <w:sz w:val="24"/>
          <w:szCs w:val="24"/>
        </w:rPr>
        <w:t>Наименование закупаемой продукции…………………………………………………………</w:t>
      </w:r>
      <w:bookmarkEnd w:id="5"/>
      <w:bookmarkEnd w:id="6"/>
      <w:r>
        <w:rPr>
          <w:rFonts w:ascii="Times New Roman" w:hAnsi="Times New Roman"/>
          <w:sz w:val="24"/>
          <w:szCs w:val="24"/>
        </w:rPr>
        <w:t>...3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1.3. </w:t>
      </w:r>
      <w:bookmarkStart w:id="7" w:name="_Toc141772988_Копия_1"/>
      <w:bookmarkStart w:id="8" w:name="_Toc125473242_Копия_1"/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Цель использования закупаемой продукции……………………………………………………</w:t>
      </w:r>
      <w:bookmarkEnd w:id="7"/>
      <w:bookmarkEnd w:id="8"/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.3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iCs/>
          <w:sz w:val="24"/>
          <w:szCs w:val="24"/>
          <w:lang w:val="x-none" w:eastAsia="ar-SA"/>
        </w:rPr>
        <w:t xml:space="preserve">2. </w:t>
      </w:r>
      <w:bookmarkStart w:id="9" w:name="_Toc141772989_Копия_1"/>
      <w:bookmarkStart w:id="10" w:name="_Toc125473249_Копия_1"/>
      <w:bookmarkStart w:id="11" w:name="_Toc75446573_Копия_1"/>
      <w:bookmarkStart w:id="12" w:name="_Toc51339693_Копия_1"/>
      <w:r>
        <w:rPr>
          <w:rFonts w:eastAsia="Calibri" w:ascii="Times New Roman" w:hAnsi="Times New Roman"/>
          <w:iCs/>
          <w:sz w:val="24"/>
          <w:szCs w:val="24"/>
          <w:lang w:val="x-none" w:eastAsia="x-none"/>
        </w:rPr>
        <w:t>Требования к продукции……………………………………………………………………………</w:t>
      </w:r>
      <w:bookmarkEnd w:id="9"/>
      <w:bookmarkEnd w:id="10"/>
      <w:bookmarkEnd w:id="11"/>
      <w:bookmarkEnd w:id="12"/>
      <w:r>
        <w:rPr>
          <w:rFonts w:eastAsia="Calibri" w:ascii="Times New Roman" w:hAnsi="Times New Roman"/>
          <w:iCs/>
          <w:sz w:val="24"/>
          <w:szCs w:val="24"/>
          <w:lang w:val="x-none" w:eastAsia="x-none"/>
        </w:rPr>
        <w:t>3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2.1 Требования к объёмам и срокам поставки………………………………………………………..3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 xml:space="preserve">2.1.1. </w:t>
      </w:r>
      <w:bookmarkStart w:id="13" w:name="_Toc125473250_Копия_1"/>
      <w:bookmarkStart w:id="14" w:name="_Toc75446575_Копия_1"/>
      <w:bookmarkStart w:id="15" w:name="_Toc141772990_Копия_1"/>
      <w:r>
        <w:rPr>
          <w:rFonts w:ascii="Times New Roman" w:hAnsi="Times New Roman"/>
          <w:sz w:val="24"/>
          <w:szCs w:val="24"/>
        </w:rPr>
        <w:t>Перечень и объем закупаемой продукции……………………………………………………</w:t>
      </w:r>
      <w:bookmarkEnd w:id="13"/>
      <w:bookmarkEnd w:id="14"/>
      <w:bookmarkEnd w:id="15"/>
      <w:r>
        <w:rPr>
          <w:rFonts w:ascii="Times New Roman" w:hAnsi="Times New Roman"/>
          <w:sz w:val="24"/>
          <w:szCs w:val="24"/>
        </w:rPr>
        <w:t>..3</w:t>
      </w:r>
    </w:p>
    <w:p>
      <w:pPr>
        <w:pStyle w:val="Normal"/>
        <w:keepNext w:val="true"/>
        <w:numPr>
          <w:ilvl w:val="0"/>
          <w:numId w:val="0"/>
        </w:numPr>
        <w:spacing w:lineRule="auto" w:line="360" w:before="120" w:after="0"/>
        <w:ind w:hanging="567" w:left="567"/>
        <w:outlineLvl w:val="3"/>
        <w:rPr>
          <w:rFonts w:ascii="Times New Roman" w:hAnsi="Times New Roman" w:eastAsia="Calibri" w:cs="Times New Roman"/>
          <w:b/>
          <w:bCs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Таблица 1.1. Перечень и объем закупаемой продукции……………………………………………..3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360" w:before="120" w:after="0"/>
        <w:outlineLvl w:val="2"/>
        <w:rPr/>
      </w:pPr>
      <w:r>
        <w:rPr>
          <w:rFonts w:eastAsia="Calibri" w:ascii="Times New Roman" w:hAnsi="Times New Roman"/>
          <w:sz w:val="24"/>
          <w:szCs w:val="24"/>
          <w:lang w:eastAsia="x-none"/>
        </w:rPr>
        <w:t xml:space="preserve">2.1.2. </w:t>
      </w:r>
      <w:bookmarkStart w:id="16" w:name="_Toc141772992_Копия_1"/>
      <w:r>
        <w:rPr>
          <w:rFonts w:eastAsia="Calibri" w:ascii="Times New Roman" w:hAnsi="Times New Roman"/>
          <w:sz w:val="24"/>
          <w:szCs w:val="24"/>
          <w:lang w:eastAsia="x-none"/>
        </w:rPr>
        <w:t>Требования к срокам поставки продукции……………………………………………………</w:t>
      </w:r>
      <w:bookmarkEnd w:id="16"/>
      <w:r>
        <w:rPr>
          <w:rFonts w:eastAsia="Calibri" w:ascii="Times New Roman" w:hAnsi="Times New Roman"/>
          <w:sz w:val="24"/>
          <w:szCs w:val="24"/>
          <w:lang w:eastAsia="x-none"/>
        </w:rPr>
        <w:t>.3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360" w:before="120" w:after="0"/>
        <w:outlineLvl w:val="2"/>
        <w:rPr/>
      </w:pPr>
      <w:r>
        <w:rPr>
          <w:rFonts w:eastAsia="Calibri" w:ascii="Times New Roman" w:hAnsi="Times New Roman"/>
          <w:sz w:val="24"/>
          <w:szCs w:val="24"/>
          <w:lang w:val="x-none" w:eastAsia="x-none"/>
        </w:rPr>
        <w:t xml:space="preserve">Таблица 2.1. </w:t>
      </w:r>
      <w:bookmarkStart w:id="17" w:name="_Hlk50465284_Копия_1"/>
      <w:r>
        <w:rPr>
          <w:rFonts w:eastAsia="Calibri" w:ascii="Times New Roman" w:hAnsi="Times New Roman"/>
          <w:sz w:val="24"/>
          <w:szCs w:val="24"/>
          <w:lang w:val="x-none" w:eastAsia="x-none"/>
        </w:rPr>
        <w:t xml:space="preserve">Требования по срокам </w:t>
      </w:r>
      <w:bookmarkEnd w:id="17"/>
      <w:r>
        <w:rPr>
          <w:rFonts w:eastAsia="Calibri" w:ascii="Times New Roman" w:hAnsi="Times New Roman"/>
          <w:sz w:val="24"/>
          <w:szCs w:val="24"/>
          <w:lang w:eastAsia="x-none"/>
        </w:rPr>
        <w:t xml:space="preserve">поставки продукции…………………………………………..3         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360" w:before="120" w:after="0"/>
        <w:outlineLvl w:val="2"/>
        <w:rPr/>
      </w:pPr>
      <w:r>
        <w:rPr>
          <w:rFonts w:ascii="Times New Roman" w:hAnsi="Times New Roman"/>
          <w:sz w:val="24"/>
          <w:szCs w:val="24"/>
        </w:rPr>
        <w:t xml:space="preserve">2.2. </w:t>
      </w:r>
      <w:bookmarkStart w:id="18" w:name="_Toc125473255_Копия_1"/>
      <w:r>
        <w:rPr>
          <w:rFonts w:ascii="Times New Roman" w:hAnsi="Times New Roman"/>
          <w:sz w:val="24"/>
          <w:szCs w:val="24"/>
        </w:rPr>
        <w:t>Требования к качеству продукции………………………………………………………………</w:t>
      </w:r>
      <w:bookmarkEnd w:id="18"/>
      <w:r>
        <w:rPr>
          <w:rFonts w:ascii="Times New Roman" w:hAnsi="Times New Roman"/>
          <w:sz w:val="24"/>
          <w:szCs w:val="24"/>
        </w:rPr>
        <w:t>.3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360" w:before="120" w:after="0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3. Требования к продукции………………………………………………………………….3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480" w:before="120" w:after="0"/>
        <w:outlineLvl w:val="2"/>
        <w:rPr/>
      </w:pPr>
      <w:r>
        <w:rPr>
          <w:rFonts w:cs="Times New Roman" w:ascii="Times New Roman" w:hAnsi="Times New Roman"/>
          <w:spacing w:val="-10"/>
          <w:sz w:val="24"/>
          <w:szCs w:val="24"/>
        </w:rPr>
        <w:t xml:space="preserve">3. Требования к документации по ценообразованию 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>на этапе закупки…………………………………</w:t>
      </w:r>
      <w:r>
        <w:rPr>
          <w:rFonts w:eastAsia="Calibri" w:cs="Times New Roman" w:ascii="Times New Roman" w:hAnsi="Times New Roman"/>
          <w:spacing w:val="-10"/>
          <w:sz w:val="24"/>
          <w:szCs w:val="24"/>
          <w:lang w:eastAsia="x-none"/>
        </w:rPr>
        <w:t>7</w:t>
      </w:r>
    </w:p>
    <w:p>
      <w:pPr>
        <w:pStyle w:val="Normal"/>
        <w:spacing w:lineRule="auto" w:line="48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48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Heading1"/>
        <w:keepLines/>
        <w:numPr>
          <w:ilvl w:val="0"/>
          <w:numId w:val="5"/>
        </w:numPr>
        <w:jc w:val="center"/>
        <w:rPr>
          <w:sz w:val="24"/>
          <w:szCs w:val="24"/>
          <w:lang w:val="ru-RU"/>
        </w:rPr>
      </w:pPr>
      <w:bookmarkStart w:id="19" w:name="_Toc51339692"/>
      <w:bookmarkStart w:id="20" w:name="_Toc75446566"/>
      <w:bookmarkStart w:id="21" w:name="_Toc125473240"/>
      <w:bookmarkStart w:id="22" w:name="_Toc141772986"/>
      <w:r>
        <w:rPr>
          <w:sz w:val="24"/>
          <w:szCs w:val="24"/>
          <w:lang w:val="ru-RU"/>
        </w:rPr>
        <w:t>Общие сведения</w:t>
      </w:r>
      <w:bookmarkEnd w:id="19"/>
      <w:bookmarkEnd w:id="20"/>
      <w:bookmarkEnd w:id="21"/>
      <w:bookmarkEnd w:id="22"/>
    </w:p>
    <w:p>
      <w:pPr>
        <w:pStyle w:val="Normal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cs="Times New Roman" w:ascii="Times New Roman" w:hAnsi="Times New Roman"/>
          <w:sz w:val="24"/>
          <w:szCs w:val="24"/>
          <w:lang w:eastAsia="x-none"/>
        </w:rPr>
      </w:r>
    </w:p>
    <w:p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Обозначения и сокращения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>АЗС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shd w:fill="FFFF99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автозаправочная 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>ГСМ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>горюче – смазочные материалы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>технические требования</w:t>
            </w:r>
          </w:p>
        </w:tc>
      </w:tr>
      <w:tr>
        <w:trPr>
          <w:trHeight w:val="31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дизельное топливо</w:t>
            </w:r>
          </w:p>
        </w:tc>
      </w:tr>
      <w:tr>
        <w:trPr>
          <w:trHeight w:val="31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ТК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топливная карта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cs="Times New Roman" w:ascii="Times New Roman" w:hAnsi="Times New Roman"/>
          <w:sz w:val="24"/>
          <w:szCs w:val="24"/>
          <w:lang w:eastAsia="x-none"/>
        </w:rPr>
      </w:r>
    </w:p>
    <w:p>
      <w:pPr>
        <w:pStyle w:val="ListParagraph"/>
        <w:widowControl w:val="false"/>
        <w:numPr>
          <w:ilvl w:val="1"/>
          <w:numId w:val="1"/>
        </w:numPr>
        <w:spacing w:lineRule="auto" w:line="240" w:before="0" w:after="0"/>
        <w:contextualSpacing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23" w:name="_Toc125473241"/>
      <w:bookmarkStart w:id="24" w:name="_Toc141772987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23"/>
      <w:bookmarkEnd w:id="24"/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ОКПД2 [19.20.21] Поставка горюче-смазочных материалов для нужд Чиркейская ГЭС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ListParagraph"/>
        <w:widowControl w:val="false"/>
        <w:numPr>
          <w:ilvl w:val="1"/>
          <w:numId w:val="1"/>
        </w:numPr>
        <w:spacing w:lineRule="auto" w:line="240" w:before="0" w:after="0"/>
        <w:contextualSpacing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25" w:name="_Toc125473242"/>
      <w:bookmarkStart w:id="26" w:name="_Toc141772988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25"/>
      <w:bookmarkEnd w:id="26"/>
    </w:p>
    <w:p>
      <w:pPr>
        <w:pStyle w:val="Normal"/>
        <w:tabs>
          <w:tab w:val="clear" w:pos="708"/>
          <w:tab w:val="left" w:pos="426" w:leader="none"/>
          <w:tab w:val="left" w:pos="1100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Заправка собственного автотранспорта, машин и механизмов 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>Филиала АО «Гидроремонт-ВКК» УМР №1 Чиркейская ГЭС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keepNext w:val="true"/>
        <w:keepLines/>
        <w:numPr>
          <w:ilvl w:val="0"/>
          <w:numId w:val="2"/>
        </w:numPr>
        <w:spacing w:lineRule="auto" w:line="240" w:before="120" w:after="0"/>
        <w:jc w:val="center"/>
        <w:outlineLvl w:val="0"/>
        <w:rPr>
          <w:rFonts w:ascii="Times New Roman" w:hAnsi="Times New Roman" w:eastAsia="Calibri" w:cs="Times New Roman"/>
          <w:b/>
          <w:iCs/>
          <w:caps/>
          <w:sz w:val="24"/>
          <w:szCs w:val="24"/>
          <w:lang w:eastAsia="x-none"/>
        </w:rPr>
      </w:pPr>
      <w:bookmarkStart w:id="27" w:name="_Toc125473249"/>
      <w:bookmarkStart w:id="28" w:name="_Toc141772989"/>
      <w:bookmarkStart w:id="29" w:name="_Toc51339693"/>
      <w:bookmarkStart w:id="30" w:name="_Toc75446573"/>
      <w:r>
        <w:rPr>
          <w:rFonts w:eastAsia="Calibri" w:cs="Times New Roman" w:ascii="Times New Roman" w:hAnsi="Times New Roman"/>
          <w:b/>
          <w:iCs/>
          <w:sz w:val="24"/>
          <w:szCs w:val="24"/>
          <w:lang w:eastAsia="x-none"/>
        </w:rPr>
        <w:t>Требования к продукции</w:t>
      </w:r>
      <w:bookmarkEnd w:id="29"/>
      <w:bookmarkEnd w:id="30"/>
      <w:r>
        <w:rPr>
          <w:rFonts w:eastAsia="Calibri"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27"/>
      <w:bookmarkEnd w:id="28"/>
    </w:p>
    <w:p>
      <w:pPr>
        <w:pStyle w:val="Heading4"/>
        <w:numPr>
          <w:ilvl w:val="1"/>
          <w:numId w:val="3"/>
        </w:numPr>
        <w:spacing w:before="120" w:after="0"/>
        <w:ind w:hanging="567" w:left="567"/>
        <w:rPr>
          <w:b w:val="false"/>
          <w:bCs w:val="false"/>
          <w:lang w:val="ru-RU"/>
        </w:rPr>
      </w:pPr>
      <w:bookmarkStart w:id="31" w:name="_Toc75446574"/>
      <w:r>
        <w:rPr>
          <w:bCs w:val="false"/>
          <w:lang w:val="ru-RU"/>
        </w:rPr>
        <w:t>Требования к объёмам и срокам поставк</w:t>
      </w:r>
      <w:r>
        <w:rPr>
          <w:b w:val="false"/>
          <w:bCs w:val="false"/>
          <w:lang w:val="ru-RU"/>
        </w:rPr>
        <w:t>и</w:t>
      </w:r>
      <w:bookmarkEnd w:id="31"/>
    </w:p>
    <w:p>
      <w:pPr>
        <w:pStyle w:val="Normal"/>
        <w:keepNext w:val="true"/>
        <w:numPr>
          <w:ilvl w:val="2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hanging="1227" w:left="1227"/>
        <w:outlineLvl w:val="2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bookmarkStart w:id="32" w:name="_Toc75446575"/>
      <w:bookmarkStart w:id="33" w:name="_Toc125473250"/>
      <w:bookmarkStart w:id="34" w:name="_Toc141772990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32"/>
      <w:bookmarkEnd w:id="33"/>
      <w:bookmarkEnd w:id="34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outlineLvl w:val="0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bookmarkStart w:id="35" w:name="_Toc75446576"/>
      <w:bookmarkStart w:id="36" w:name="_Toc125473251"/>
      <w:bookmarkStart w:id="37" w:name="_Toc141772991"/>
      <w:bookmarkStart w:id="38" w:name="_Toc51339695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Таблица 1.1 Перечень </w:t>
      </w:r>
      <w:bookmarkEnd w:id="38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35"/>
      <w:bookmarkEnd w:id="36"/>
      <w:bookmarkEnd w:id="37"/>
    </w:p>
    <w:tbl>
      <w:tblPr>
        <w:tblW w:w="998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4"/>
        <w:gridCol w:w="6411"/>
        <w:gridCol w:w="1421"/>
        <w:gridCol w:w="1416"/>
      </w:tblGrid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Количество*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328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Бензин АИ-92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ГОСТ 32513-2023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Palatino Linotype" w:cs="Times New Roman" w:ascii="Times New Roman" w:hAnsi="Times New Roman"/>
                <w:sz w:val="24"/>
                <w:szCs w:val="24"/>
                <w:lang w:val="en-US"/>
              </w:rPr>
              <w:t>50</w:t>
            </w:r>
            <w:r>
              <w:rPr>
                <w:rFonts w:eastAsia="Palatino Linotype" w:cs="Times New Roman" w:ascii="Times New Roman" w:hAnsi="Times New Roman"/>
                <w:sz w:val="24"/>
                <w:szCs w:val="24"/>
              </w:rPr>
              <w:t>000</w:t>
            </w:r>
          </w:p>
        </w:tc>
      </w:tr>
      <w:tr>
        <w:trPr>
          <w:trHeight w:val="328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Бензин АИ-9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ГОСТ 32513-2023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Palatino Linotype" w:cs="Times New Roman"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eastAsia="Palatino Linotype" w:cs="Times New Roman" w:ascii="Times New Roman" w:hAnsi="Times New Roman"/>
                <w:sz w:val="24"/>
                <w:szCs w:val="24"/>
              </w:rPr>
              <w:t>000</w:t>
            </w:r>
          </w:p>
        </w:tc>
      </w:tr>
      <w:tr>
        <w:trPr>
          <w:trHeight w:val="328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Дизельное топливо (по сезонности ) ГОСТ 32511-2013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Palatino Linotype" w:cs="Times New Roman" w:ascii="Times New Roman" w:hAnsi="Times New Roman"/>
                <w:sz w:val="24"/>
                <w:szCs w:val="24"/>
                <w:lang w:val="en-US"/>
              </w:rPr>
              <w:t>40</w:t>
            </w:r>
            <w:r>
              <w:rPr>
                <w:rFonts w:eastAsia="Palatino Linotype" w:cs="Times New Roman" w:ascii="Times New Roman" w:hAnsi="Times New Roman"/>
                <w:sz w:val="24"/>
                <w:szCs w:val="24"/>
              </w:rPr>
              <w:t>000</w:t>
            </w:r>
          </w:p>
        </w:tc>
      </w:tr>
      <w:tr>
        <w:trPr>
          <w:trHeight w:val="328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Топливная карта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</w:tbl>
    <w:p>
      <w:pPr>
        <w:pStyle w:val="Normal"/>
        <w:rPr>
          <w:rFonts w:ascii="Times New Roman" w:hAnsi="Times New Roman" w:eastAsia="Calibri" w:cs="Times New Roman"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sz w:val="24"/>
          <w:szCs w:val="24"/>
          <w:lang w:eastAsia="x-none"/>
        </w:rPr>
        <w:t>*Заявленный объем является ориентировочный, отпуск ГСМ будет производиться по ценам АЗС на дату заправки автомобильного транспорта.</w:t>
      </w:r>
    </w:p>
    <w:p>
      <w:pPr>
        <w:pStyle w:val="Normal"/>
        <w:keepNext w:val="true"/>
        <w:numPr>
          <w:ilvl w:val="2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hanging="1227" w:left="1227"/>
        <w:outlineLvl w:val="2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bookmarkStart w:id="39" w:name="_Toc141772992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39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outlineLvl w:val="0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bookmarkStart w:id="40" w:name="_Toc75446579"/>
      <w:bookmarkStart w:id="41" w:name="_Toc125473253"/>
      <w:bookmarkStart w:id="42" w:name="_Toc141772993"/>
      <w:bookmarkStart w:id="43" w:name="_Toc50125127"/>
      <w:bookmarkStart w:id="44" w:name="_Toc51339697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Таблица 2.1 </w:t>
      </w:r>
      <w:bookmarkStart w:id="45" w:name="_Hlk50465284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Требования по срокам </w:t>
      </w:r>
      <w:bookmarkEnd w:id="43"/>
      <w:bookmarkEnd w:id="44"/>
      <w:bookmarkEnd w:id="45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40"/>
      <w:bookmarkEnd w:id="41"/>
      <w:bookmarkEnd w:id="42"/>
    </w:p>
    <w:tbl>
      <w:tblPr>
        <w:tblW w:w="1017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1"/>
        <w:gridCol w:w="3232"/>
        <w:gridCol w:w="3118"/>
        <w:gridCol w:w="3261"/>
      </w:tblGrid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0"/>
              <w:ind w:lef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0"/>
              <w:ind w:lef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ОКПД2 [19.20.21] Поставка горюче-смазочных материалов для нужд Чиркейская ГЭС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до 3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.1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.202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7</w:t>
            </w:r>
            <w:bookmarkStart w:id="46" w:name="_GoBack"/>
            <w:bookmarkEnd w:id="46"/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Heading4"/>
        <w:numPr>
          <w:ilvl w:val="1"/>
          <w:numId w:val="3"/>
        </w:numPr>
        <w:tabs>
          <w:tab w:val="clear" w:pos="708"/>
          <w:tab w:val="left" w:pos="4253" w:leader="none"/>
        </w:tabs>
        <w:spacing w:before="120" w:after="0"/>
        <w:ind w:hanging="567" w:left="567"/>
        <w:rPr>
          <w:lang w:val="ru-RU"/>
        </w:rPr>
      </w:pPr>
      <w:r>
        <w:rPr>
          <w:lang w:val="ru-RU"/>
        </w:rPr>
        <w:t xml:space="preserve"> </w:t>
      </w:r>
      <w:bookmarkStart w:id="47" w:name="_Toc125473255"/>
      <w:r>
        <w:rPr>
          <w:lang w:val="ru-RU"/>
        </w:rPr>
        <w:t>Требования к качеству продукции</w:t>
      </w:r>
      <w:bookmarkEnd w:id="47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outlineLvl w:val="0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  <w:bookmarkStart w:id="48" w:name="_Toc125473256"/>
      <w:bookmarkStart w:id="49" w:name="_Toc141772994"/>
      <w:bookmarkStart w:id="50" w:name="_Toc125473256"/>
      <w:bookmarkStart w:id="51" w:name="_Toc141772994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outlineLvl w:val="0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outlineLvl w:val="0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bookmarkStart w:id="52" w:name="_Toc125473256"/>
      <w:bookmarkStart w:id="53" w:name="_Toc141772994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Таблица 3. Требования к продукции</w:t>
      </w:r>
      <w:bookmarkEnd w:id="52"/>
      <w:bookmarkEnd w:id="53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Cs/>
          <w:sz w:val="24"/>
          <w:szCs w:val="24"/>
        </w:rPr>
        <w:t>Наименование продукции (позиция № 1 Таблицы 1.1):</w:t>
      </w:r>
      <w:r>
        <w:rPr>
          <w:rFonts w:cs="Times New Roman" w:ascii="Times New Roman" w:hAnsi="Times New Roman"/>
          <w:bCs/>
          <w:iCs/>
          <w:sz w:val="24"/>
          <w:szCs w:val="24"/>
        </w:rPr>
        <w:t xml:space="preserve"> ОКПД2 [19.20.21] Поставка горюче-смазочных материалов для нужд Чиркейская ГЭС</w:t>
      </w:r>
    </w:p>
    <w:p>
      <w:pPr>
        <w:pStyle w:val="Normal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cs="Times New Roman" w:ascii="Times New Roman" w:hAnsi="Times New Roman"/>
          <w:bCs/>
          <w:iCs/>
          <w:sz w:val="24"/>
          <w:szCs w:val="24"/>
        </w:rPr>
      </w:r>
    </w:p>
    <w:tbl>
      <w:tblPr>
        <w:tblStyle w:val="310"/>
        <w:tblW w:w="1014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5"/>
        <w:gridCol w:w="1901"/>
        <w:gridCol w:w="2670"/>
        <w:gridCol w:w="2382"/>
        <w:gridCol w:w="2572"/>
      </w:tblGrid>
      <w:tr>
        <w:trPr/>
        <w:tc>
          <w:tcPr>
            <w:tcW w:w="61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90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67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5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61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0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7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9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6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3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>
          <w:trHeight w:val="462" w:hRule="atLeast"/>
        </w:trPr>
        <w:tc>
          <w:tcPr>
            <w:tcW w:w="61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60" w:after="0"/>
              <w:contextualSpacing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38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закупке.</w:t>
            </w:r>
          </w:p>
        </w:tc>
        <w:tc>
          <w:tcPr>
            <w:tcW w:w="257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uppressAutoHyphens w:val="true"/>
              <w:spacing w:lineRule="auto" w:line="240" w:before="60" w:after="0"/>
              <w:ind w:firstLine="142" w:left="-117"/>
              <w:contextualSpacing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Качество получаемого ГСМ по топливным </w:t>
            </w:r>
            <w:r>
              <w:rPr>
                <w:rFonts w:eastAsia="Times New Roman" w:cs="Times New Roman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картам должно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соответствовать: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ГОСТ 32513-2023 Бензин автомобильный;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ГОСТ 32511-2013 Топливо дизельное ЕВРО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45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20" w:after="0"/>
              <w:jc w:val="center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.</w:t>
            </w:r>
          </w:p>
        </w:tc>
        <w:tc>
          <w:tcPr>
            <w:tcW w:w="19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Гарантия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left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Гарантия качества ГСМ действует в течение сроков, указанных в ГОСТах, ТУ и сертификатах качества.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20" w:after="0"/>
              <w:jc w:val="center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</w:t>
            </w:r>
          </w:p>
        </w:tc>
        <w:tc>
          <w:tcPr>
            <w:tcW w:w="457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случаях поставки ГСМ с отступлениями от условий, указанных в настоящих ТТ, ухудшившими результат обеспечения ГСМ, или с иными недостатками, которые делают ГСМ непригодными для предусмотренного в Договоре использования, Заказчик вправе потребовать от Победителя безвозмездного устранения недостатков в разумный срок. Предоставление некачественных ГСМ приравнивается к их не предоставлению.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Заказчик вправе требовать от Победителя возмещение стоимости некачественных ГСМ и возмещение реального ущерба, понесенного Заказчиком, в связи с предоставленными Заказчику некачественными ГСМ.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Заказчик вправе проводить выборочный контроль качества, поставляемых ГСМ, в аккредитованной лаборатории. В случае установления некачественных ГСМ, поставленных Заказчику расходы на проведение экспертизы, несет Победитедь.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45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15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kern w:val="0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4571" w:type="dxa"/>
            <w:gridSpan w:val="2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567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Победитель обязан обеспечить возможность предоставления копии сертификата качества на поставляемые ГСМ по требованию Заказчика в момент получения ГСМ по топливной карте на АЗС.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15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4571" w:type="dxa"/>
            <w:gridSpan w:val="2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77" w:hRule="atLeast"/>
        </w:trPr>
        <w:tc>
          <w:tcPr>
            <w:tcW w:w="615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1901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70" w:type="dxa"/>
            <w:tcBorders>
              <w:lef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Сеть АЗС Победителя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368219,РФ, Республика Дагестан Буйнакский р-он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4571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834" w:hRule="atLeast"/>
        </w:trPr>
        <w:tc>
          <w:tcPr>
            <w:tcW w:w="61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4571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both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Стоимость ГСМ, получаемых по топливным картам  на АЗС, не должна превышать стоимость ГСМ, указанную на стеле АЗС в день заправки транспортного средства с учетом итоговой скидки, предложенной в ходе проведения закупки Участником.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86" w:hRule="atLeast"/>
        </w:trPr>
        <w:tc>
          <w:tcPr>
            <w:tcW w:w="61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5.2.</w:t>
            </w:r>
          </w:p>
        </w:tc>
        <w:tc>
          <w:tcPr>
            <w:tcW w:w="4571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both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Предоставление доступа в личный кабинет Пользователя (Заказчика) посредством регистрации на официальном сайте Победителя в сети Интернет с целью получения информации о состоянии лицевого счета и совершенным операциям по топливным  картам  в режиме реального времени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881" w:hRule="atLeast"/>
        </w:trPr>
        <w:tc>
          <w:tcPr>
            <w:tcW w:w="61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5.3.</w:t>
            </w:r>
          </w:p>
        </w:tc>
        <w:tc>
          <w:tcPr>
            <w:tcW w:w="4571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both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Ежемесячное представление отчета об объеме отпуска ГСМ с детализацией по топливным картам .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5.4.</w:t>
            </w:r>
          </w:p>
        </w:tc>
        <w:tc>
          <w:tcPr>
            <w:tcW w:w="4571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both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После каждой операции с использованием топливной карты Заказчику на АЗС в обязательном порядке выдается чек терминала. В случае успешного обслуживания – чек о совершенной операции. В случае неуспешной операции с топливной  картой – чек отказа с указанием  причины отказа в совершении операции.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5.5.</w:t>
            </w:r>
          </w:p>
        </w:tc>
        <w:tc>
          <w:tcPr>
            <w:tcW w:w="4571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Наличие программного обеспечение для проведения полного комплекса операций по отпуску ГСМ с использованием топливных  карт.</w:t>
            </w:r>
          </w:p>
        </w:tc>
        <w:tc>
          <w:tcPr>
            <w:tcW w:w="2382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4571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6.1.</w:t>
            </w:r>
          </w:p>
        </w:tc>
        <w:tc>
          <w:tcPr>
            <w:tcW w:w="4571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Необходимое количество топливных карт определяется Заказчиком самостоятельно, исходя из текущей потребности, и предоставляются Победителю на основании письменной заявки. Ориентировочная потребность Заказчика в топливных картах составляет 12 штук.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Топливные карты предоставляются Победителем бесплатно.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6.2.</w:t>
            </w:r>
          </w:p>
        </w:tc>
        <w:tc>
          <w:tcPr>
            <w:tcW w:w="4571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Топливные карты должны обеспечить получение ГСМ с учетом установленных Заказчиком лимитов, либо с отсутствием   таковых. При полном использовании денежных средств Заказчиком Победитель обязан заблаговременно уведомить Заказчика.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6.3.</w:t>
            </w:r>
          </w:p>
        </w:tc>
        <w:tc>
          <w:tcPr>
            <w:tcW w:w="4571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Наличие возможности установления ежесуточного/ежемесячного лимита на количество отпускаемого ГСМ по топливным картам, независимо от состояния счета Заказчика.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6.4.</w:t>
            </w:r>
          </w:p>
        </w:tc>
        <w:tc>
          <w:tcPr>
            <w:tcW w:w="4571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Победителю необходимо обеспечить возможность удаленного блокирования  топливных карт как через сервис поддержки Поставщика, так и через личный кабинет Пользователя.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6.5.</w:t>
            </w:r>
          </w:p>
        </w:tc>
        <w:tc>
          <w:tcPr>
            <w:tcW w:w="4571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Победитель обязан блокировать / разблокировать топливные карты в течение 12 (двенадцати) часов с момента получения соответствующего обращения Заказчика через личный кабинет Пользователя или направлением  заявки в свободной форме на электронную почту Победителя.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6.6.</w:t>
            </w:r>
          </w:p>
        </w:tc>
        <w:tc>
          <w:tcPr>
            <w:tcW w:w="4571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Топливные карты могут быть заблокированы: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по требованию Заказчика;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по причине неверно введенного пин-кода топливной карты на АЗС при получении ГСМ более 3 (трех) раз подряд (блокируется автоматически);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 при завершении действия  Договора.</w:t>
            </w:r>
          </w:p>
        </w:tc>
        <w:tc>
          <w:tcPr>
            <w:tcW w:w="23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6.7.</w:t>
            </w:r>
          </w:p>
        </w:tc>
        <w:tc>
          <w:tcPr>
            <w:tcW w:w="4571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Обеспечение ГСМ транспортных средств Заказчика  должно осуществляться ежедневно, в круглосуточном режиме, включая выходные и праздничные дни, на период действия договора, на стационарных автозаправочных станциях во всех регионах РФ (далее – АЗС) с использованием топливных карт.</w:t>
            </w:r>
          </w:p>
        </w:tc>
        <w:tc>
          <w:tcPr>
            <w:tcW w:w="238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eastAsia="Times New Roman" w:cs="Times New Roman"/>
          <w:bCs/>
          <w:i/>
          <w:i/>
          <w:i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lang w:eastAsia="ar-SA"/>
        </w:rPr>
      </w:r>
    </w:p>
    <w:p>
      <w:pPr>
        <w:pStyle w:val="ListParagraph"/>
        <w:numPr>
          <w:ilvl w:val="0"/>
          <w:numId w:val="3"/>
        </w:numPr>
        <w:shd w:val="clear" w:color="auto" w:fill="FFFFFF"/>
        <w:tabs>
          <w:tab w:val="clear" w:pos="708"/>
          <w:tab w:val="left" w:pos="284" w:leader="none"/>
        </w:tabs>
        <w:spacing w:lineRule="auto" w:line="240" w:before="0" w:after="0"/>
        <w:contextualSpacing/>
        <w:rPr>
          <w:rFonts w:ascii="Times New Roman" w:hAnsi="Times New Roman" w:cs="Times New Roman"/>
          <w:b/>
          <w:spacing w:val="-10"/>
          <w:sz w:val="24"/>
          <w:szCs w:val="24"/>
        </w:rPr>
      </w:pPr>
      <w:r>
        <w:rPr>
          <w:rFonts w:cs="Times New Roman" w:ascii="Times New Roman" w:hAnsi="Times New Roman"/>
          <w:b/>
          <w:spacing w:val="-10"/>
          <w:sz w:val="24"/>
          <w:szCs w:val="24"/>
        </w:rPr>
        <w:t xml:space="preserve">Требования к документации по ценообразованию 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на этапе закупки</w:t>
      </w:r>
      <w:r>
        <w:rPr>
          <w:rFonts w:cs="Times New Roman" w:ascii="Times New Roman" w:hAnsi="Times New Roman"/>
          <w:b/>
          <w:spacing w:val="-10"/>
          <w:sz w:val="24"/>
          <w:szCs w:val="24"/>
        </w:rPr>
        <w:t>.</w:t>
      </w:r>
    </w:p>
    <w:p>
      <w:pPr>
        <w:pStyle w:val="ListParagraph"/>
        <w:shd w:val="clear" w:color="auto" w:fill="FFFFFF"/>
        <w:tabs>
          <w:tab w:val="clear" w:pos="708"/>
          <w:tab w:val="left" w:pos="284" w:leader="none"/>
        </w:tabs>
        <w:spacing w:lineRule="auto" w:line="240" w:before="0" w:after="0"/>
        <w:ind w:left="360"/>
        <w:contextualSpacing/>
        <w:jc w:val="center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cs="Times New Roman" w:ascii="Times New Roman" w:hAnsi="Times New Roman"/>
          <w:spacing w:val="-10"/>
          <w:sz w:val="24"/>
          <w:szCs w:val="24"/>
        </w:rPr>
      </w:r>
    </w:p>
    <w:p>
      <w:pPr>
        <w:pStyle w:val="Normal"/>
        <w:tabs>
          <w:tab w:val="clear" w:pos="708"/>
          <w:tab w:val="left" w:pos="6355" w:leader="none"/>
        </w:tabs>
        <w:spacing w:lineRule="auto" w:line="240" w:before="0" w:after="0"/>
        <w:ind w:right="23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 Участник в составе заявки должен представить информацию о:</w:t>
      </w:r>
    </w:p>
    <w:p>
      <w:pPr>
        <w:pStyle w:val="Normal"/>
        <w:tabs>
          <w:tab w:val="clear" w:pos="708"/>
          <w:tab w:val="left" w:pos="6355" w:leader="none"/>
        </w:tabs>
        <w:spacing w:lineRule="auto" w:line="240" w:before="0" w:after="0"/>
        <w:ind w:right="23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3.1.1. Размере скидки на 1 (один) литр топлива в % (процентах), исходя из плановой потребности Заказчика в ГСМ, указанной указана в Таблице 1.1. настоящих ТТ.</w:t>
      </w:r>
    </w:p>
    <w:p>
      <w:pPr>
        <w:pStyle w:val="Normal"/>
        <w:tabs>
          <w:tab w:val="clear" w:pos="708"/>
          <w:tab w:val="left" w:pos="6355" w:leader="none"/>
        </w:tabs>
        <w:spacing w:lineRule="auto" w:line="240" w:before="0" w:after="0"/>
        <w:ind w:right="23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Плановая потребность Покупателя в Картах указана в п.6.1 Таблицы 3 настоящих технических требований.</w:t>
      </w:r>
    </w:p>
    <w:p>
      <w:pPr>
        <w:pStyle w:val="Normal"/>
        <w:tabs>
          <w:tab w:val="clear" w:pos="708"/>
          <w:tab w:val="left" w:pos="6355" w:leader="none"/>
        </w:tabs>
        <w:spacing w:lineRule="auto" w:line="240" w:before="0" w:after="0"/>
        <w:ind w:right="23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 При условии соответствия заявок Участников требованиям Документации о закупке, выбор Победителя будет осуществляться по:</w:t>
      </w:r>
    </w:p>
    <w:p>
      <w:pPr>
        <w:pStyle w:val="Normal"/>
        <w:tabs>
          <w:tab w:val="clear" w:pos="708"/>
          <w:tab w:val="left" w:pos="6355" w:leader="none"/>
        </w:tabs>
        <w:spacing w:lineRule="auto" w:line="240" w:before="0" w:after="0"/>
        <w:ind w:right="23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максимальному размеру скидки на 1 (один) литр топлива, (%) с учетом оценочных критериев, указанных в Документации о закупке.</w:t>
      </w:r>
    </w:p>
    <w:p>
      <w:pPr>
        <w:pStyle w:val="Normal"/>
        <w:tabs>
          <w:tab w:val="clear" w:pos="708"/>
          <w:tab w:val="left" w:pos="6355" w:leader="none"/>
        </w:tabs>
        <w:spacing w:lineRule="auto" w:line="240" w:before="0" w:after="0"/>
        <w:ind w:right="23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 Предельная цена Договора, заключаемого в результате закупочной процедуры будет соответствовать цене лота, указанной в Документации о закупки, и не может быть увеличена в ходе закупочной процедуры и/или исполнения Договора.</w:t>
      </w:r>
    </w:p>
    <w:p>
      <w:pPr>
        <w:pStyle w:val="Normal"/>
        <w:tabs>
          <w:tab w:val="clear" w:pos="708"/>
          <w:tab w:val="left" w:pos="6355" w:leader="none"/>
        </w:tabs>
        <w:spacing w:lineRule="auto" w:line="240" w:before="0" w:after="0"/>
        <w:ind w:right="238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3.5. Заявленная Победителем закупочной процедуры (Участником) итоговая скидка на 1 (один) литр топлива (%) будет применяться ко всем получаемым Заказчиком ГСМ по топливным картам на АЗС Победителя в течение действия Договора</w:t>
      </w:r>
    </w:p>
    <w:p>
      <w:pPr>
        <w:pStyle w:val="Normal"/>
        <w:tabs>
          <w:tab w:val="clear" w:pos="708"/>
          <w:tab w:val="left" w:pos="6355" w:leader="none"/>
        </w:tabs>
        <w:spacing w:lineRule="auto" w:line="240" w:before="0" w:after="0"/>
        <w:ind w:right="23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footerReference w:type="default" r:id="rId2"/>
      <w:type w:val="nextPage"/>
      <w:pgSz w:w="11906" w:h="16838"/>
      <w:pgMar w:left="1134" w:right="851" w:gutter="0" w:header="0" w:top="680" w:footer="0" w:bottom="68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PT Sans"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36450971"/>
    </w:sdtPr>
    <w:sdtContent>
      <w:p>
        <w:pPr>
          <w:pStyle w:val="Footer"/>
          <w:jc w:val="right"/>
          <w:rPr>
            <w:rFonts w:ascii="Times New Roman" w:hAnsi="Times New Roman"/>
            <w:sz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4"/>
        <w:b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b w:val="false"/>
        <w:szCs w:val="24"/>
        <w:bCs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2491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011af9"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4c77ec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rsid w:val="00011af9"/>
    <w:pPr>
      <w:keepNext w:val="true"/>
      <w:spacing w:lineRule="auto" w:line="240" w:before="120" w:after="60"/>
      <w:outlineLvl w:val="2"/>
    </w:pPr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11af9"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Нижний колонтитул Знак"/>
    <w:basedOn w:val="DefaultParagraphFont"/>
    <w:uiPriority w:val="99"/>
    <w:qFormat/>
    <w:rsid w:val="00eb4ab8"/>
    <w:rPr>
      <w:rFonts w:ascii="Calibri" w:hAnsi="Calibri" w:eastAsia="Calibri" w:cs="Times New Roman"/>
    </w:rPr>
  </w:style>
  <w:style w:type="character" w:styleId="Style6" w:customStyle="1">
    <w:name w:val="Верхний колонтитул Знак"/>
    <w:basedOn w:val="DefaultParagraphFont"/>
    <w:uiPriority w:val="99"/>
    <w:qFormat/>
    <w:rsid w:val="001533cc"/>
    <w:rPr/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d27f2b"/>
    <w:rPr>
      <w:rFonts w:ascii="Tahoma" w:hAnsi="Tahoma" w:cs="Tahoma"/>
      <w:sz w:val="16"/>
      <w:szCs w:val="16"/>
    </w:rPr>
  </w:style>
  <w:style w:type="character" w:styleId="Style8" w:customStyle="1">
    <w:name w:val="Текст Знак"/>
    <w:basedOn w:val="DefaultParagraphFont"/>
    <w:link w:val="PlainText"/>
    <w:uiPriority w:val="99"/>
    <w:semiHidden/>
    <w:qFormat/>
    <w:rsid w:val="00d35997"/>
    <w:rPr>
      <w:rFonts w:ascii="Calibri" w:hAnsi="Calibri"/>
      <w:szCs w:val="21"/>
    </w:rPr>
  </w:style>
  <w:style w:type="character" w:styleId="Apple-converted-space" w:customStyle="1">
    <w:name w:val="apple-converted-space"/>
    <w:basedOn w:val="DefaultParagraphFont"/>
    <w:qFormat/>
    <w:rsid w:val="00770603"/>
    <w:rPr/>
  </w:style>
  <w:style w:type="character" w:styleId="Bodytext2" w:customStyle="1">
    <w:name w:val="Body text (2)"/>
    <w:basedOn w:val="DefaultParagraphFont"/>
    <w:qFormat/>
    <w:rsid w:val="00c56bda"/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Bodytext21" w:customStyle="1">
    <w:name w:val="Body text (2)_"/>
    <w:basedOn w:val="DefaultParagraphFont"/>
    <w:qFormat/>
    <w:rsid w:val="00c56bda"/>
    <w:rPr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56bda"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semiHidden/>
    <w:qFormat/>
    <w:rsid w:val="00c56bda"/>
    <w:rPr>
      <w:sz w:val="20"/>
      <w:szCs w:val="20"/>
    </w:rPr>
  </w:style>
  <w:style w:type="character" w:styleId="Style10" w:customStyle="1">
    <w:name w:val="Тема примечания Знак"/>
    <w:basedOn w:val="Style9"/>
    <w:link w:val="Annotationsubject"/>
    <w:uiPriority w:val="99"/>
    <w:semiHidden/>
    <w:qFormat/>
    <w:rsid w:val="00c56bda"/>
    <w:rPr>
      <w:b/>
      <w:bCs/>
      <w:sz w:val="20"/>
      <w:szCs w:val="20"/>
    </w:rPr>
  </w:style>
  <w:style w:type="character" w:styleId="Style11" w:customStyle="1">
    <w:name w:val="Абзац списка Знак"/>
    <w:link w:val="ListParagraph"/>
    <w:uiPriority w:val="34"/>
    <w:qFormat/>
    <w:locked/>
    <w:rsid w:val="000d5e13"/>
    <w:rPr/>
  </w:style>
  <w:style w:type="character" w:styleId="1" w:customStyle="1">
    <w:name w:val="Заголовок 1 Знак"/>
    <w:basedOn w:val="DefaultParagraphFont"/>
    <w:qFormat/>
    <w:rsid w:val="00011af9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11af9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11af9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071f1b"/>
    <w:rPr>
      <w:color w:val="0000FF" w:themeColor="hyperlink"/>
      <w:u w:val="single"/>
    </w:rPr>
  </w:style>
  <w:style w:type="character" w:styleId="2" w:customStyle="1">
    <w:name w:val="Заголовок 2 Знак"/>
    <w:basedOn w:val="DefaultParagraphFont"/>
    <w:uiPriority w:val="9"/>
    <w:semiHidden/>
    <w:qFormat/>
    <w:rsid w:val="004c77ec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2" w:customStyle="1">
    <w:name w:val="Текст сноски Знак"/>
    <w:basedOn w:val="DefaultParagraphFont"/>
    <w:qFormat/>
    <w:rsid w:val="0041486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Символ сноски"/>
    <w:qFormat/>
    <w:rsid w:val="0041486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Blk" w:customStyle="1">
    <w:name w:val="blk"/>
    <w:qFormat/>
    <w:rsid w:val="00251444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uiPriority w:val="99"/>
    <w:rsid w:val="00eb4ab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Times New Roman"/>
    </w:rPr>
  </w:style>
  <w:style w:type="paragraph" w:styleId="ListParagraph">
    <w:name w:val="List Paragraph"/>
    <w:basedOn w:val="Normal"/>
    <w:link w:val="Style11"/>
    <w:uiPriority w:val="99"/>
    <w:qFormat/>
    <w:rsid w:val="00bc249e"/>
    <w:pPr>
      <w:spacing w:before="0" w:after="200"/>
      <w:ind w:left="720"/>
      <w:contextualSpacing/>
    </w:pPr>
    <w:rPr/>
  </w:style>
  <w:style w:type="paragraph" w:styleId="Header">
    <w:name w:val="Header"/>
    <w:basedOn w:val="Normal"/>
    <w:link w:val="Style6"/>
    <w:uiPriority w:val="99"/>
    <w:unhideWhenUsed/>
    <w:rsid w:val="001533c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27f2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Style8"/>
    <w:uiPriority w:val="99"/>
    <w:semiHidden/>
    <w:unhideWhenUsed/>
    <w:qFormat/>
    <w:rsid w:val="00d35997"/>
    <w:pPr>
      <w:spacing w:lineRule="auto" w:line="240" w:before="0" w:after="0"/>
    </w:pPr>
    <w:rPr>
      <w:rFonts w:ascii="Calibri" w:hAnsi="Calibri"/>
      <w:szCs w:val="21"/>
    </w:rPr>
  </w:style>
  <w:style w:type="paragraph" w:styleId="Annotationtext">
    <w:name w:val="annotation text"/>
    <w:basedOn w:val="Normal"/>
    <w:link w:val="Style9"/>
    <w:semiHidden/>
    <w:unhideWhenUsed/>
    <w:qFormat/>
    <w:rsid w:val="00c56bd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56bda"/>
    <w:pPr/>
    <w:rPr>
      <w:b/>
      <w:bCs/>
    </w:rPr>
  </w:style>
  <w:style w:type="paragraph" w:styleId="Default" w:customStyle="1">
    <w:name w:val="Default"/>
    <w:qFormat/>
    <w:rsid w:val="00e13f6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071f1b"/>
    <w:pPr>
      <w:keepLines/>
      <w:spacing w:lineRule="auto" w:line="276" w:before="480" w:after="0"/>
      <w:outlineLvl w:val="9"/>
    </w:pPr>
    <w:rPr>
      <w:rFonts w:ascii="Cambria" w:hAnsi="Cambria" w:eastAsia="" w:cs="" w:asciiTheme="majorHAnsi" w:cstheme="majorBidi" w:eastAsiaTheme="majorEastAsia" w:hAnsiTheme="majorHAnsi"/>
      <w:bCs/>
      <w:color w:val="365F91" w:themeColor="accent1" w:themeShade="bf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071f1b"/>
    <w:pPr>
      <w:spacing w:before="0" w:after="100"/>
    </w:pPr>
    <w:rPr/>
  </w:style>
  <w:style w:type="paragraph" w:styleId="TOC2">
    <w:name w:val="TOC 2"/>
    <w:basedOn w:val="Normal"/>
    <w:next w:val="Normal"/>
    <w:autoRedefine/>
    <w:uiPriority w:val="39"/>
    <w:unhideWhenUsed/>
    <w:rsid w:val="00071f1b"/>
    <w:pPr>
      <w:spacing w:before="0" w:after="100"/>
      <w:ind w:left="220"/>
    </w:pPr>
    <w:rPr/>
  </w:style>
  <w:style w:type="paragraph" w:styleId="TOC3">
    <w:name w:val="TOC 3"/>
    <w:basedOn w:val="Normal"/>
    <w:next w:val="Normal"/>
    <w:autoRedefine/>
    <w:uiPriority w:val="39"/>
    <w:unhideWhenUsed/>
    <w:rsid w:val="00071f1b"/>
    <w:pPr>
      <w:spacing w:before="0" w:after="100"/>
      <w:ind w:left="440"/>
    </w:pPr>
    <w:rPr/>
  </w:style>
  <w:style w:type="paragraph" w:styleId="FootnoteText">
    <w:name w:val="Footnote Text"/>
    <w:basedOn w:val="Normal"/>
    <w:link w:val="Style12"/>
    <w:rsid w:val="00414869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Style21" w:customStyle="1">
    <w:name w:val="Раздел положения"/>
    <w:basedOn w:val="Normal"/>
    <w:autoRedefine/>
    <w:qFormat/>
    <w:rsid w:val="00251444"/>
    <w:pPr>
      <w:numPr>
        <w:ilvl w:val="0"/>
        <w:numId w:val="6"/>
      </w:numPr>
      <w:spacing w:lineRule="auto" w:line="240" w:before="80" w:after="80"/>
      <w:jc w:val="center"/>
    </w:pPr>
    <w:rPr>
      <w:rFonts w:ascii="Times New Roman" w:hAnsi="Times New Roman" w:eastAsia="Times New Roman" w:cs="Times New Roman"/>
      <w:b/>
      <w:sz w:val="32"/>
      <w:szCs w:val="32"/>
      <w:lang w:eastAsia="ru-RU"/>
    </w:rPr>
  </w:style>
  <w:style w:type="paragraph" w:styleId="Style22" w:customStyle="1">
    <w:name w:val="Подраздел раздела положения"/>
    <w:basedOn w:val="Normal"/>
    <w:autoRedefine/>
    <w:qFormat/>
    <w:rsid w:val="00251444"/>
    <w:pPr>
      <w:numPr>
        <w:ilvl w:val="1"/>
        <w:numId w:val="6"/>
      </w:numPr>
      <w:spacing w:lineRule="auto" w:line="240" w:before="80" w:after="8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Indexheading111" w:customStyle="1">
    <w:name w:val="index heading111"/>
    <w:basedOn w:val="Title"/>
    <w:qFormat/>
    <w:rsid w:val="00ba5889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basedOn w:val="a3"/>
    <w:uiPriority w:val="39"/>
    <w:rsid w:val="00a92f99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3"/>
    <w:uiPriority w:val="39"/>
    <w:rsid w:val="002f4a7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3"/>
    <w:uiPriority w:val="39"/>
    <w:rsid w:val="001d3a45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1"/>
    <w:basedOn w:val="a3"/>
    <w:uiPriority w:val="39"/>
    <w:rsid w:val="00ea7e90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Сетка таблицы2"/>
    <w:basedOn w:val="a3"/>
    <w:uiPriority w:val="39"/>
    <w:rsid w:val="00ea7e90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">
    <w:name w:val="Сетка таблицы3"/>
    <w:basedOn w:val="a3"/>
    <w:uiPriority w:val="39"/>
    <w:rsid w:val="00dc7670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0">
    <w:name w:val="Сетка таблицы31"/>
    <w:basedOn w:val="a3"/>
    <w:uiPriority w:val="39"/>
    <w:rsid w:val="00ba5889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CB421-B322-4B85-B77A-0B984BF7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AlterOffice/2026.1.1.1$Linux_X86_64 LibreOffice_project/3e21501661f60bfec03e40427f644625fc6a58b7</Application>
  <AppVersion>15.0000</AppVersion>
  <Pages>7</Pages>
  <Words>1065</Words>
  <Characters>7543</Characters>
  <CharactersWithSpaces>8484</CharactersWithSpaces>
  <Paragraphs>161</Paragraphs>
  <Company>HRVKK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2024-10-31T13:50:00Z</dcterms:created>
  <dc:creator>Катков Олег Валерьевич</dc:creator>
  <dc:description/>
  <dc:language>ru-RU</dc:language>
  <cp:lastModifiedBy>gaidarbekovra@corp.gidroogk.com</cp:lastModifiedBy>
  <cp:lastPrinted>2025-01-22T08:01:00Z</cp:lastPrinted>
  <dcterms:modified xsi:type="dcterms:W3CDTF">2026-07-31T12:41:29Z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