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  <w:t xml:space="preserve"> </w:t>
      </w:r>
      <w:r>
        <w:rPr>
          <w:rFonts w:eastAsia="Calibri" w:ascii="Times New Roman" w:hAnsi="Times New Roman"/>
          <w:b/>
          <w:i w:val="false"/>
          <w:iCs w:val="false"/>
          <w:caps/>
          <w:sz w:val="28"/>
          <w:szCs w:val="24"/>
        </w:rPr>
        <w:t>ОБОСНОВАНИЕ начальной (максимальной) цены договора</w:t>
      </w:r>
      <w:r>
        <w:rPr>
          <w:rFonts w:eastAsia="Calibri" w:ascii="Times New Roman" w:hAnsi="Times New Roman"/>
          <w:i w:val="false"/>
          <w:iCs w:val="false"/>
          <w:sz w:val="26"/>
          <w:szCs w:val="26"/>
        </w:rPr>
        <w:t xml:space="preserve"> / </w:t>
      </w:r>
      <w:r>
        <w:rPr>
          <w:rFonts w:eastAsia="Calibri" w:ascii="Times New Roman" w:hAnsi="Times New Roman"/>
          <w:b/>
          <w:i w:val="false"/>
          <w:iCs w:val="false"/>
          <w:caps/>
          <w:sz w:val="28"/>
          <w:szCs w:val="24"/>
        </w:rPr>
        <w:t>цены единицы товара, работы, услуги</w:t>
      </w:r>
    </w:p>
    <w:p>
      <w:pPr>
        <w:pStyle w:val="Normal"/>
        <w:numPr>
          <w:ilvl w:val="0"/>
          <w:numId w:val="2"/>
        </w:numPr>
        <w:bidi w:val="0"/>
        <w:spacing w:lineRule="exact" w:line="360" w:before="120" w:after="120"/>
        <w:ind w:left="714" w:right="0" w:hanging="357"/>
        <w:jc w:val="both"/>
        <w:rPr>
          <w:rFonts w:ascii="Times New Roman" w:hAnsi="Times New Roman"/>
          <w:i w:val="false"/>
          <w:i w:val="false"/>
          <w:iCs w:val="false"/>
        </w:rPr>
      </w:pPr>
      <w:r>
        <w:rPr>
          <w:rFonts w:eastAsia="Calibri" w:ascii="Times New Roman" w:hAnsi="Times New Roman"/>
          <w:b/>
          <w:i w:val="false"/>
          <w:iCs w:val="false"/>
          <w:sz w:val="26"/>
          <w:szCs w:val="26"/>
        </w:rPr>
        <w:t>Общая информация</w:t>
      </w:r>
    </w:p>
    <w:tbl>
      <w:tblPr>
        <w:tblW w:w="14523" w:type="dxa"/>
        <w:jc w:val="left"/>
        <w:tblInd w:w="493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1019"/>
        <w:gridCol w:w="2206"/>
        <w:gridCol w:w="11298"/>
      </w:tblGrid>
      <w:tr>
        <w:trPr/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eastAsia="Calibri" w:cs="Times New Roman" w:ascii="Times New Roman" w:hAnsi="Times New Roman"/>
                <w:b/>
                <w:i w:val="false"/>
                <w:iCs w:val="false"/>
                <w:kern w:val="0"/>
                <w:sz w:val="22"/>
                <w:szCs w:val="22"/>
                <w:lang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i w:val="false"/>
                <w:iCs w:val="false"/>
                <w:kern w:val="0"/>
                <w:sz w:val="22"/>
                <w:szCs w:val="22"/>
                <w:lang w:bidi="ar-SA"/>
              </w:rPr>
              <w:t>п/п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eastAsia="Calibri" w:cs="Times New Roman" w:ascii="Times New Roman" w:hAnsi="Times New Roman"/>
                <w:b/>
                <w:i w:val="false"/>
                <w:iCs w:val="false"/>
                <w:kern w:val="0"/>
                <w:sz w:val="22"/>
                <w:szCs w:val="22"/>
                <w:lang w:bidi="ar-SA"/>
              </w:rPr>
              <w:t>Наименование</w:t>
            </w:r>
          </w:p>
        </w:tc>
        <w:tc>
          <w:tcPr>
            <w:tcW w:w="1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eastAsia="Calibri" w:cs="Times New Roman" w:ascii="Times New Roman" w:hAnsi="Times New Roman"/>
                <w:b/>
                <w:i w:val="false"/>
                <w:iCs w:val="false"/>
                <w:kern w:val="0"/>
                <w:sz w:val="22"/>
                <w:szCs w:val="22"/>
                <w:lang w:bidi="ar-SA"/>
              </w:rPr>
              <w:t>Информация по лоту</w:t>
            </w:r>
          </w:p>
        </w:tc>
      </w:tr>
      <w:tr>
        <w:trPr/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bidi="ar-SA"/>
              </w:rPr>
              <w:t>1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bidi="ar-SA"/>
              </w:rPr>
              <w:t>Наименование лота</w:t>
            </w:r>
          </w:p>
        </w:tc>
        <w:tc>
          <w:tcPr>
            <w:tcW w:w="1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60" w:after="60"/>
              <w:ind w:left="-108" w:right="-108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Times New Roman" w:ascii="Times New Roman" w:hAnsi="Times New Roman"/>
                <w:i w:val="false"/>
                <w:iCs w:val="false"/>
                <w:color w:val="auto"/>
                <w:sz w:val="22"/>
                <w:szCs w:val="22"/>
                <w:lang w:val="ru-RU" w:eastAsia="en-US"/>
              </w:rPr>
              <w:t>ОКПД2 32.99.11.110 Приобретение материалов для обеспечения мероприятий ГО и ЧС филиала                                       ПАО  "РусГидро"-"Каскад Кубанских ГЭС"</w:t>
            </w:r>
          </w:p>
        </w:tc>
      </w:tr>
      <w:tr>
        <w:trPr/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bidi="ar-SA"/>
              </w:rPr>
              <w:t>2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bidi="ar-SA"/>
              </w:rPr>
              <w:t>Номер лота</w:t>
            </w:r>
          </w:p>
        </w:tc>
        <w:tc>
          <w:tcPr>
            <w:tcW w:w="1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bidi="ar-SA"/>
              </w:rPr>
              <w:t>44-ЭКСП-БПД-2026-ККГЭС</w:t>
            </w:r>
          </w:p>
        </w:tc>
      </w:tr>
      <w:tr>
        <w:trPr/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bidi="ar-SA"/>
              </w:rPr>
              <w:t>3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bidi="ar-SA"/>
              </w:rPr>
              <w:t>НМЦ лота</w:t>
            </w:r>
          </w:p>
        </w:tc>
        <w:tc>
          <w:tcPr>
            <w:tcW w:w="1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bidi="ar-SA"/>
              </w:rPr>
              <w:t>2 079 375,00</w:t>
            </w:r>
          </w:p>
        </w:tc>
      </w:tr>
    </w:tbl>
    <w:p>
      <w:pPr>
        <w:pStyle w:val="Normal"/>
        <w:numPr>
          <w:ilvl w:val="0"/>
          <w:numId w:val="2"/>
        </w:numPr>
        <w:bidi w:val="0"/>
        <w:spacing w:lineRule="exact" w:line="360" w:before="120" w:after="120"/>
        <w:ind w:left="714" w:right="0" w:hanging="357"/>
        <w:jc w:val="both"/>
        <w:rPr>
          <w:rFonts w:ascii="Times New Roman" w:hAnsi="Times New Roman"/>
          <w:i w:val="false"/>
          <w:i w:val="false"/>
          <w:iCs w:val="false"/>
        </w:rPr>
      </w:pPr>
      <w:r>
        <w:rPr>
          <w:rFonts w:eastAsia="Calibri" w:ascii="Times New Roman" w:hAnsi="Times New Roman"/>
          <w:b/>
          <w:i w:val="false"/>
          <w:iCs w:val="false"/>
          <w:sz w:val="26"/>
          <w:szCs w:val="26"/>
        </w:rPr>
        <w:t>Использованный метод (методы) расчета НМЦ / цены единицы товара, работы, услуги:</w:t>
      </w:r>
    </w:p>
    <w:p>
      <w:pPr>
        <w:pStyle w:val="Normal"/>
        <w:bidi w:val="0"/>
        <w:spacing w:lineRule="exact" w:line="360" w:before="120" w:after="120"/>
        <w:ind w:left="714" w:right="0" w:hanging="0"/>
        <w:jc w:val="both"/>
        <w:rPr>
          <w:rFonts w:ascii="Times New Roman" w:hAnsi="Times New Roman"/>
          <w:i w:val="false"/>
          <w:i w:val="false"/>
          <w:iCs w:val="false"/>
        </w:rPr>
      </w:pPr>
      <w:r>
        <w:rPr>
          <w:rFonts w:eastAsia="Calibri" w:ascii="Times New Roman" w:hAnsi="Times New Roman"/>
          <w:b/>
          <w:bCs/>
          <w:i w:val="false"/>
          <w:iCs w:val="false"/>
          <w:sz w:val="26"/>
          <w:szCs w:val="26"/>
        </w:rPr>
        <w:t>Метод анализа технико-коммерческих предложений</w:t>
      </w:r>
    </w:p>
    <w:p>
      <w:pPr>
        <w:pStyle w:val="Normal"/>
        <w:widowControl/>
        <w:suppressAutoHyphens w:val="false"/>
        <w:bidi w:val="0"/>
        <w:spacing w:lineRule="auto" w:line="360" w:before="0" w:after="120"/>
        <w:ind w:left="0" w:right="0" w:hanging="0"/>
        <w:jc w:val="both"/>
        <w:rPr>
          <w:rFonts w:ascii="Times New Roman" w:hAnsi="Times New Roman"/>
          <w:i w:val="false"/>
          <w:i w:val="false"/>
          <w:iCs w:val="false"/>
        </w:rPr>
      </w:pPr>
      <w:r>
        <w:rPr>
          <w:rFonts w:eastAsia="Calibri" w:ascii="Times New Roman" w:hAnsi="Times New Roman"/>
          <w:i w:val="false"/>
          <w:iCs w:val="false"/>
          <w:sz w:val="26"/>
          <w:szCs w:val="26"/>
        </w:rPr>
        <w:t>Обоснование расчета НМЦ:</w:t>
      </w:r>
    </w:p>
    <w:tbl>
      <w:tblPr>
        <w:tblW w:w="1503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4"/>
        <w:gridCol w:w="2731"/>
        <w:gridCol w:w="2654"/>
        <w:gridCol w:w="3120"/>
        <w:gridCol w:w="1711"/>
      </w:tblGrid>
      <w:tr>
        <w:trPr>
          <w:trHeight w:val="70" w:hRule="atLeast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7E6E6" w:val="clear"/>
          </w:tcPr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eastAsia="Times New Roman" w:ascii="Times New Roman" w:hAnsi="Times New Roman"/>
                <w:b/>
                <w:bCs/>
                <w:i w:val="false"/>
                <w:iCs w:val="false"/>
                <w:color w:val="000000"/>
                <w:sz w:val="20"/>
                <w:lang w:eastAsia="ru-RU"/>
              </w:rPr>
              <w:t>Наименование товара/ работы/ услуги в составе лота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7E6E6" w:val="clear"/>
          </w:tcPr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eastAsia="Times New Roman" w:ascii="Times New Roman" w:hAnsi="Times New Roman"/>
                <w:b/>
                <w:bCs/>
                <w:i w:val="false"/>
                <w:iCs w:val="false"/>
                <w:color w:val="000000"/>
                <w:sz w:val="20"/>
                <w:lang w:eastAsia="ru-RU"/>
              </w:rPr>
              <w:t>Наименование источника ценовой информации (ИЦИ)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7E6E6" w:val="clear"/>
          </w:tcPr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eastAsia="Times New Roman" w:ascii="Times New Roman" w:hAnsi="Times New Roman"/>
                <w:b/>
                <w:bCs/>
                <w:i w:val="false"/>
                <w:iCs w:val="false"/>
                <w:color w:val="000000"/>
                <w:sz w:val="20"/>
                <w:lang w:eastAsia="ru-RU"/>
              </w:rPr>
              <w:t>Цена из соответствующего ИЦИ, в руб. без НДС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7E6E6" w:val="clear"/>
          </w:tcPr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eastAsia="Times New Roman" w:ascii="Times New Roman" w:hAnsi="Times New Roman"/>
                <w:b/>
                <w:bCs/>
                <w:i w:val="false"/>
                <w:iCs w:val="false"/>
                <w:color w:val="000000"/>
                <w:sz w:val="20"/>
                <w:lang w:eastAsia="ru-RU"/>
              </w:rPr>
              <w:t>Цена итоговая, в руб. без НДС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7E6E6" w:val="clear"/>
          </w:tcPr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eastAsia="Times New Roman" w:ascii="Times New Roman" w:hAnsi="Times New Roman"/>
                <w:b/>
                <w:bCs/>
                <w:i w:val="false"/>
                <w:iCs w:val="false"/>
                <w:color w:val="000000"/>
                <w:sz w:val="20"/>
                <w:lang w:eastAsia="ru-RU"/>
              </w:rPr>
              <w:t>Комментарии</w:t>
            </w:r>
          </w:p>
        </w:tc>
      </w:tr>
      <w:tr>
        <w:trPr>
          <w:trHeight w:val="459" w:hRule="atLeast"/>
        </w:trPr>
        <w:tc>
          <w:tcPr>
            <w:tcW w:w="4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285" w:leader="none"/>
                <w:tab w:val="left" w:pos="390" w:leader="none"/>
              </w:tabs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bidi="ar-SA"/>
              </w:rPr>
              <w:t>ОКПД2 32.99.11.110 Приобретение материалов для обеспечения мероприятий ГО и ЧС филиала ПАО "Рус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u w:val="single"/>
                <w:lang w:bidi="ar-SA"/>
              </w:rPr>
              <w:t>Г</w:t>
            </w:r>
            <w:r>
              <w:rPr>
                <w:rFonts w:eastAsia="Calibri" w:cs="Times New Roman" w:ascii="Times New Roman" w:hAnsi="Times New Roman"/>
                <w:i w:val="false"/>
                <w:iCs w:val="false"/>
                <w:kern w:val="0"/>
                <w:sz w:val="22"/>
                <w:szCs w:val="22"/>
                <w:lang w:bidi="ar-SA"/>
              </w:rPr>
              <w:t>идро"-"Каскад Кубанских ГЭС"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both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eastAsia="Times New Roman" w:cs="Times New Roman" w:ascii="Times New Roman" w:hAnsi="Times New Roman"/>
                <w:bCs/>
                <w:i w:val="false"/>
                <w:iCs w:val="false"/>
                <w:color w:val="000000"/>
                <w:kern w:val="0"/>
                <w:sz w:val="22"/>
                <w:szCs w:val="22"/>
                <w:lang w:val="en-US" w:eastAsia="ru-RU" w:bidi="ar-SA"/>
              </w:rPr>
              <w:t>ТКП №1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i w:val="false"/>
                <w:iCs w:val="false"/>
              </w:rPr>
              <w:t>2 079 375,00</w: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eastAsia="Times New Roman" w:ascii="Times New Roman" w:hAnsi="Times New Roman"/>
                <w:bCs/>
                <w:i w:val="false"/>
                <w:iCs w:val="false"/>
                <w:color w:val="000000"/>
                <w:sz w:val="22"/>
                <w:szCs w:val="22"/>
                <w:lang w:eastAsia="ru-RU"/>
              </w:rPr>
              <w:t>Среднее арифметическое значение полученной ценовой информации:  2 194 874,57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rFonts w:ascii="Times New Roman" w:hAnsi="Times New Roman" w:eastAsia="Times New Roman"/>
                <w:bCs/>
                <w:i w:val="false"/>
                <w:i w:val="false"/>
                <w:iCs w:val="false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i w:val="false"/>
                <w:iCs w:val="false"/>
                <w:color w:val="000000"/>
                <w:sz w:val="22"/>
                <w:szCs w:val="22"/>
                <w:lang w:eastAsia="ru-RU"/>
              </w:rPr>
            </w:r>
          </w:p>
        </w:tc>
      </w:tr>
      <w:tr>
        <w:trPr>
          <w:trHeight w:val="506" w:hRule="atLeast"/>
        </w:trPr>
        <w:tc>
          <w:tcPr>
            <w:tcW w:w="4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i w:val="false"/>
                <w:iCs w:val="false"/>
              </w:rPr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eastAsia="Times New Roman" w:ascii="Times New Roman" w:hAnsi="Times New Roman"/>
                <w:bCs/>
                <w:i w:val="false"/>
                <w:iCs w:val="false"/>
                <w:color w:val="000000"/>
                <w:sz w:val="22"/>
                <w:szCs w:val="22"/>
                <w:lang w:val="en-US" w:eastAsia="ru-RU"/>
              </w:rPr>
              <w:t>ТКП №2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i w:val="false"/>
                <w:iCs w:val="false"/>
              </w:rPr>
              <w:t>2 279 909,40</w:t>
            </w:r>
          </w:p>
        </w:tc>
        <w:tc>
          <w:tcPr>
            <w:tcW w:w="3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i w:val="false"/>
                <w:iCs w:val="false"/>
              </w:rPr>
            </w:r>
          </w:p>
        </w:tc>
        <w:tc>
          <w:tcPr>
            <w:tcW w:w="1711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i w:val="false"/>
                <w:iCs w:val="false"/>
              </w:rPr>
            </w:r>
          </w:p>
        </w:tc>
      </w:tr>
      <w:tr>
        <w:trPr>
          <w:trHeight w:val="459" w:hRule="atLeast"/>
        </w:trPr>
        <w:tc>
          <w:tcPr>
            <w:tcW w:w="48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i w:val="false"/>
                <w:iCs w:val="false"/>
              </w:rPr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ind w:left="0" w:right="0" w:hanging="0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bCs/>
                <w:i w:val="false"/>
                <w:iCs w:val="false"/>
                <w:color w:val="000000"/>
                <w:kern w:val="0"/>
                <w:sz w:val="22"/>
                <w:szCs w:val="22"/>
                <w:lang w:val="en-US" w:eastAsia="ru-RU" w:bidi="ar-SA"/>
              </w:rPr>
              <w:t>ТКП № 3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i w:val="false"/>
                <w:iCs w:val="false"/>
              </w:rPr>
              <w:t>2 225 339,30</w:t>
            </w:r>
          </w:p>
        </w:tc>
        <w:tc>
          <w:tcPr>
            <w:tcW w:w="31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i w:val="false"/>
                <w:iCs w:val="false"/>
              </w:rPr>
            </w:r>
          </w:p>
        </w:tc>
        <w:tc>
          <w:tcPr>
            <w:tcW w:w="1711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i w:val="false"/>
                <w:iCs w:val="false"/>
              </w:rPr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/>
          <w:i w:val="false"/>
          <w:i w:val="false"/>
          <w:iCs w:val="false"/>
        </w:rPr>
      </w:pPr>
      <w:r>
        <w:rPr/>
      </w:r>
    </w:p>
    <w:sectPr>
      <w:type w:val="nextPage"/>
      <w:pgSz w:orient="landscape" w:w="16838" w:h="11906"/>
      <w:pgMar w:left="773" w:right="356" w:gutter="0" w:header="0" w:top="1134" w:footer="0" w:bottom="45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701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character" w:styleId="LineNumber">
    <w:name w:val="Line Number"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Arial Unicode MS"/>
      <w:color w:val="000000"/>
      <w:kern w:val="0"/>
      <w:sz w:val="24"/>
      <w:szCs w:val="24"/>
      <w:lang w:val="ru-RU" w:eastAsia="en-US" w:bidi="ar-SA"/>
    </w:rPr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</TotalTime>
  <Application>AlterOffice/3.4.0.9$Linux_X86_64 LibreOffice_project/b8daf9e823b1a5463a2f48435ddc2e8696e7d4fc</Application>
  <AppVersion>15.0000</AppVersion>
  <Pages>1</Pages>
  <Words>134</Words>
  <Characters>822</Characters>
  <CharactersWithSpaces>965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2022-10-25T10:56:57Z</dcterms:created>
  <dc:creator/>
  <dc:description/>
  <dc:language>ru-RU</dc:language>
  <cp:lastModifiedBy>kovalevaev@corp.gidroogk.com</cp:lastModifiedBy>
  <dcterms:modified xsi:type="dcterms:W3CDTF">2026-07-31T09:17:09Z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1</vt:bool>
  </property>
</Properties>
</file>