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6.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styles.xml" ContentType="application/vnd.openxmlformats-officedocument.wordprocessingml.styles+xml"/>
  <Override PartName="/word/footer5.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bookmarkStart w:id="0" w:name="_GoBack"/>
      <w:bookmarkEnd w:id="0"/>
      <w:r>
        <w:rPr>
          <w:b/>
          <w:bCs/>
          <w:sz w:val="24"/>
          <w:szCs w:val="24"/>
        </w:rPr>
        <w:t>Договор поставки №________</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lang w:eastAsia="en-US"/>
        </w:rPr>
        <w:t>по результатам проведенной Покупателем закупочной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Heading3"/>
        <w:tabs>
          <w:tab w:val="clear" w:pos="709"/>
          <w:tab w:val="left" w:pos="567" w:leader="none"/>
        </w:tabs>
        <w:overflowPunct w:val="fals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Normal"/>
        <w:shd w:val="clear" w:color="auto" w:fill="FFFFFF"/>
        <w:tabs>
          <w:tab w:val="clear" w:pos="709"/>
          <w:tab w:val="left" w:pos="0" w:leader="none"/>
        </w:tabs>
        <w:ind w:firstLine="709"/>
        <w:jc w:val="both"/>
        <w:textAlignment w:val="baseline"/>
        <w:rPr>
          <w:sz w:val="24"/>
          <w:szCs w:val="24"/>
        </w:rPr>
      </w:pPr>
      <w:r>
        <w:rPr>
          <w:b/>
          <w:color w:val="000000"/>
          <w:sz w:val="24"/>
          <w:szCs w:val="24"/>
          <w:lang w:eastAsia="en-US"/>
        </w:rPr>
        <w:t xml:space="preserve">«Накладная ТОРГ-12» – </w:t>
      </w:r>
      <w:r>
        <w:rPr>
          <w:color w:val="000000"/>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sz w:val="24"/>
          <w:szCs w:val="24"/>
          <w:lang w:eastAsia="en-US"/>
        </w:rPr>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10"/>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в собственность Покупателю </w:t>
      </w:r>
      <w:r>
        <w:rPr>
          <w:rFonts w:cs="Times New Roman"/>
          <w:bCs/>
          <w:color w:val="auto"/>
          <w:kern w:val="0"/>
          <w:sz w:val="24"/>
          <w:szCs w:val="24"/>
          <w:lang w:val="ru-RU" w:bidi="ar-SA"/>
        </w:rPr>
        <w:t>материалы для обеспечения мероприятий ГО и ЧС филиала ПАО "Русгидро"-"Каскад Кубанских ГЭС"</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10"/>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shd w:fill="FFFFFF" w:val="clear"/>
        </w:rPr>
        <w:t>филиала ПАО «РусГидро» - «Каскад Кубанских ГЭС».</w:t>
      </w:r>
    </w:p>
    <w:p>
      <w:pPr>
        <w:pStyle w:val="Normal"/>
        <w:shd w:val="clear" w:color="auto" w:fill="FFFFFF"/>
        <w:tabs>
          <w:tab w:val="clear" w:pos="709"/>
          <w:tab w:val="left" w:pos="0" w:leader="none"/>
          <w:tab w:val="left" w:pos="1134" w:leader="none"/>
        </w:tabs>
        <w:ind w:firstLine="709"/>
        <w:jc w:val="both"/>
        <w:rPr>
          <w:bCs/>
          <w:sz w:val="24"/>
          <w:szCs w:val="24"/>
        </w:rPr>
      </w:pPr>
      <w:r>
        <w:rPr>
          <w:bCs/>
          <w:sz w:val="24"/>
          <w:szCs w:val="24"/>
        </w:rPr>
        <w:t xml:space="preserve">1.3 Место поставки Товара: </w:t>
      </w:r>
      <w:r>
        <w:rPr>
          <w:rFonts w:eastAsia="Calibri" w:eastAsiaTheme="minorHAnsi"/>
          <w:bCs/>
          <w:sz w:val="24"/>
          <w:szCs w:val="24"/>
        </w:rPr>
        <w:t>РФ, Ставропольский край, г. Невинномысск, ул. Водопроводная, 349а</w:t>
      </w:r>
      <w:r>
        <w:rPr>
          <w:sz w:val="24"/>
          <w:szCs w:val="24"/>
        </w:rPr>
        <w:t xml:space="preserve"> (далее – «Место поставки»).</w:t>
      </w:r>
    </w:p>
    <w:p>
      <w:pPr>
        <w:pStyle w:val="Normal"/>
        <w:shd w:val="clear" w:color="auto" w:fill="FFFFFF"/>
        <w:tabs>
          <w:tab w:val="clear" w:pos="709"/>
          <w:tab w:val="left" w:pos="0" w:leader="none"/>
          <w:tab w:val="left" w:pos="1134" w:leader="none"/>
        </w:tabs>
        <w:ind w:left="709" w:hanging="0"/>
        <w:jc w:val="both"/>
        <w:rPr>
          <w:bCs/>
          <w:sz w:val="24"/>
          <w:szCs w:val="24"/>
        </w:rPr>
      </w:pPr>
      <w:r>
        <w:rPr>
          <w:bCs/>
          <w:sz w:val="24"/>
          <w:szCs w:val="24"/>
        </w:rPr>
        <w:t>1.4 Общий срок поставки Товара:</w:t>
      </w:r>
    </w:p>
    <w:p>
      <w:pPr>
        <w:pStyle w:val="Normal"/>
        <w:shd w:val="clear" w:color="auto" w:fill="FFFFFF"/>
        <w:tabs>
          <w:tab w:val="clear" w:pos="709"/>
          <w:tab w:val="left" w:pos="0" w:leader="none"/>
          <w:tab w:val="left" w:pos="1134" w:leader="none"/>
        </w:tabs>
        <w:ind w:left="709" w:hanging="0"/>
        <w:jc w:val="both"/>
        <w:rPr>
          <w:bCs/>
          <w:sz w:val="24"/>
          <w:szCs w:val="24"/>
        </w:rPr>
      </w:pPr>
      <w:r>
        <w:rPr>
          <w:bCs/>
          <w:sz w:val="24"/>
          <w:szCs w:val="24"/>
        </w:rPr>
        <w:t>1.4.1 Начало – с даты, следующей за датой заключения Договора;</w:t>
      </w:r>
    </w:p>
    <w:p>
      <w:pPr>
        <w:pStyle w:val="Normal"/>
        <w:shd w:val="clear" w:color="auto" w:fill="FFFFFF"/>
        <w:tabs>
          <w:tab w:val="clear" w:pos="709"/>
          <w:tab w:val="left" w:pos="0" w:leader="none"/>
          <w:tab w:val="left" w:pos="1134" w:leader="none"/>
        </w:tabs>
        <w:ind w:firstLine="680"/>
        <w:jc w:val="both"/>
        <w:rPr>
          <w:bCs/>
          <w:sz w:val="24"/>
          <w:szCs w:val="24"/>
        </w:rPr>
      </w:pPr>
      <w:r>
        <w:rPr>
          <w:bCs/>
          <w:sz w:val="24"/>
          <w:szCs w:val="24"/>
        </w:rPr>
        <w:t>1.4.2 Окончание — 15 декабря 2026 г.</w:t>
      </w:r>
    </w:p>
    <w:p>
      <w:pPr>
        <w:pStyle w:val="Normal"/>
        <w:shd w:val="clear" w:color="auto" w:fill="FFFFFF"/>
        <w:tabs>
          <w:tab w:val="clear" w:pos="709"/>
          <w:tab w:val="left" w:pos="0" w:leader="none"/>
          <w:tab w:val="left" w:pos="1134" w:leader="none"/>
        </w:tabs>
        <w:ind w:firstLine="68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____________(_______________) рублей _____________копеек без учета НДС, при этом НДС исчисляется дополнительно по ставке, установленной</w:t>
      </w:r>
      <w:r>
        <w:rPr>
          <w:bCs/>
          <w:sz w:val="24"/>
          <w:szCs w:val="24"/>
        </w:rPr>
        <w:t xml:space="preserve"> статьей 164 Налогового Кодекса Российской Федерации (далее – НК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tabs>
          <w:tab w:val="clear" w:pos="709"/>
          <w:tab w:val="left" w:pos="1418" w:leader="none"/>
        </w:tabs>
        <w:ind w:left="0" w:firstLine="709"/>
        <w:jc w:val="both"/>
        <w:rPr>
          <w:rFonts w:eastAsia="Calibri" w:eastAsiaTheme="minorHAnsi"/>
          <w:sz w:val="24"/>
          <w:szCs w:val="24"/>
        </w:rPr>
      </w:pPr>
      <w:r>
        <w:rPr>
          <w:sz w:val="24"/>
          <w:szCs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eastAsia="Calibri" w:eastAsiaTheme="minorHAnsi"/>
          <w:sz w:val="24"/>
          <w:szCs w:val="24"/>
        </w:rPr>
        <w:t xml:space="preserve"> </w:t>
      </w:r>
    </w:p>
    <w:p>
      <w:pPr>
        <w:pStyle w:val="ListParagraph"/>
        <w:numPr>
          <w:ilvl w:val="2"/>
          <w:numId w:val="2"/>
        </w:numPr>
        <w:tabs>
          <w:tab w:val="clear" w:pos="709"/>
          <w:tab w:val="left" w:pos="1418" w:leader="none"/>
        </w:tabs>
        <w:ind w:left="0" w:firstLine="709"/>
        <w:jc w:val="both"/>
        <w:rPr>
          <w:sz w:val="24"/>
        </w:rPr>
      </w:pPr>
      <w:r>
        <w:rPr>
          <w:sz w:val="24"/>
          <w:szCs w:val="24"/>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r>
        <w:rPr>
          <w:sz w:val="24"/>
        </w:rPr>
        <w:t>.</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tabs>
          <w:tab w:val="clear" w:pos="709"/>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w:t>
      </w:r>
      <w:r>
        <w:rPr>
          <w:rFonts w:eastAsia="Times New Roman" w:cs="Times New Roman"/>
          <w:color w:val="auto"/>
          <w:kern w:val="0"/>
          <w:sz w:val="24"/>
          <w:szCs w:val="20"/>
          <w:lang w:val="ru-RU" w:eastAsia="ru-RU" w:bidi="ar-SA"/>
        </w:rPr>
        <w:t>не отработанного</w:t>
      </w:r>
      <w:r>
        <w:rPr>
          <w:sz w:val="24"/>
        </w:rPr>
        <w:t xml:space="preserve">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9"/>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единовременно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tabs>
          <w:tab w:val="clear" w:pos="709"/>
          <w:tab w:val="left" w:pos="1418" w:leader="none"/>
        </w:tabs>
        <w:ind w:left="0" w:firstLine="709"/>
        <w:jc w:val="both"/>
        <w:rPr>
          <w:sz w:val="24"/>
          <w:szCs w:val="24"/>
        </w:rPr>
      </w:pPr>
      <w:r>
        <w:rPr>
          <w:sz w:val="24"/>
          <w:szCs w:val="24"/>
        </w:rPr>
        <w:t>накладная ТОРГ-12 (УПД) в __(____) экз.</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и перемещение Товара (в том числе </w:t>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9"/>
          <w:tab w:val="left" w:pos="1418"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w:t>
      </w:r>
      <w:bookmarkEnd w:id="2"/>
      <w:r>
        <w:rPr>
          <w:sz w:val="24"/>
          <w:szCs w:val="24"/>
        </w:rPr>
        <w:t>накладной ТОРГ-12 (УПД).</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numPr>
          <w:ilvl w:val="1"/>
          <w:numId w:val="2"/>
        </w:numPr>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ind w:firstLine="709"/>
        <w:jc w:val="both"/>
        <w:rPr>
          <w:sz w:val="24"/>
          <w:szCs w:val="24"/>
        </w:rPr>
      </w:pPr>
      <w:r>
        <w:rPr>
          <w:sz w:val="24"/>
          <w:szCs w:val="24"/>
        </w:rPr>
      </w:r>
    </w:p>
    <w:p>
      <w:pPr>
        <w:pStyle w:val="ListParagraph"/>
        <w:numPr>
          <w:ilvl w:val="0"/>
          <w:numId w:val="2"/>
        </w:numPr>
        <w:tabs>
          <w:tab w:val="clear" w:pos="709"/>
          <w:tab w:val="left" w:pos="284" w:leader="none"/>
        </w:tabs>
        <w:ind w:left="357" w:hanging="357"/>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w:t>
      </w:r>
      <w:r>
        <w:rPr>
          <w:bCs/>
          <w:sz w:val="24"/>
          <w:szCs w:val="24"/>
        </w:rPr>
        <w:t>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tabs>
          <w:tab w:val="clear" w:pos="709"/>
          <w:tab w:val="left" w:pos="1134" w:leader="none"/>
        </w:tabs>
        <w:ind w:firstLine="709"/>
        <w:jc w:val="both"/>
        <w:rPr>
          <w:bCs/>
          <w:sz w:val="24"/>
          <w:szCs w:val="24"/>
        </w:rPr>
      </w:pPr>
      <w:r>
        <w:rPr>
          <w:sz w:val="24"/>
          <w:szCs w:val="24"/>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tabs>
          <w:tab w:val="clear" w:pos="709"/>
          <w:tab w:val="left" w:pos="1134" w:leader="none"/>
        </w:tabs>
        <w:ind w:firstLine="680"/>
        <w:jc w:val="both"/>
        <w:rPr/>
      </w:pPr>
      <w:r>
        <w:rPr>
          <w:sz w:val="24"/>
          <w:szCs w:val="24"/>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tabs>
          <w:tab w:val="clear" w:pos="709"/>
          <w:tab w:val="left" w:pos="1134" w:leader="none"/>
        </w:tabs>
        <w:ind w:firstLine="680"/>
        <w:jc w:val="both"/>
        <w:rPr>
          <w:bCs/>
          <w:sz w:val="24"/>
          <w:szCs w:val="24"/>
        </w:rPr>
      </w:pPr>
      <w:r>
        <w:rPr>
          <w:sz w:val="24"/>
          <w:szCs w:val="24"/>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tabs>
          <w:tab w:val="clear" w:pos="709"/>
          <w:tab w:val="left" w:pos="1134" w:leader="none"/>
          <w:tab w:val="left" w:pos="1701" w:leader="none"/>
        </w:tabs>
        <w:ind w:left="0" w:firstLine="680"/>
        <w:jc w:val="both"/>
        <w:rPr>
          <w:sz w:val="24"/>
          <w:szCs w:val="24"/>
        </w:rPr>
      </w:pPr>
      <w:r>
        <w:rPr>
          <w:rFonts w:eastAsia="Calibri"/>
          <w:bCs/>
          <w:sz w:val="24"/>
          <w:szCs w:val="24"/>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shd w:val="clear" w:color="auto" w:fill="FFFFFF"/>
        <w:tabs>
          <w:tab w:val="clear" w:pos="709"/>
          <w:tab w:val="left" w:pos="1134" w:leader="none"/>
        </w:tabs>
        <w:ind w:left="0" w:firstLine="680"/>
        <w:jc w:val="both"/>
        <w:rPr>
          <w:bCs/>
          <w:sz w:val="24"/>
          <w:szCs w:val="24"/>
        </w:rPr>
      </w:pPr>
      <w:r>
        <w:rPr>
          <w:bCs/>
          <w:sz w:val="24"/>
          <w:szCs w:val="24"/>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shd w:val="clear" w:color="auto" w:fill="FFFFFF"/>
        <w:tabs>
          <w:tab w:val="clear" w:pos="709"/>
          <w:tab w:val="left" w:pos="1134" w:leader="none"/>
        </w:tabs>
        <w:ind w:left="0" w:firstLine="680"/>
        <w:jc w:val="both"/>
        <w:rPr>
          <w:bCs/>
          <w:sz w:val="24"/>
          <w:szCs w:val="24"/>
        </w:rPr>
      </w:pPr>
      <w:r>
        <w:rPr>
          <w:bCs/>
          <w:sz w:val="24"/>
          <w:szCs w:val="24"/>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9"/>
          <w:tab w:val="left" w:pos="426" w:leader="none"/>
        </w:tabs>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snapToGrid w:val="false"/>
        <w:ind w:left="0" w:firstLine="709"/>
        <w:jc w:val="both"/>
        <w:rPr>
          <w:sz w:val="24"/>
          <w:szCs w:val="24"/>
        </w:rPr>
      </w:pPr>
      <w:r>
        <w:rPr>
          <w:sz w:val="24"/>
          <w:szCs w:val="24"/>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shd w:val="clear" w:color="auto" w:fill="FFFFFF"/>
        <w:tabs>
          <w:tab w:val="clear" w:pos="709"/>
          <w:tab w:val="left" w:pos="0"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rPr>
        <w:footnoteReference w:id="2"/>
      </w:r>
      <w:r>
        <w:rPr>
          <w:sz w:val="24"/>
          <w:szCs w:val="24"/>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sz w:val="24"/>
          <w:szCs w:val="24"/>
        </w:rPr>
        <w:t xml:space="preserve">  </w:t>
      </w:r>
    </w:p>
    <w:p>
      <w:pPr>
        <w:pStyle w:val="Normal"/>
        <w:numPr>
          <w:ilvl w:val="0"/>
          <w:numId w:val="0"/>
        </w:numPr>
        <w:ind w:left="0" w:hanging="0"/>
        <w:jc w:val="both"/>
        <w:rPr>
          <w:sz w:val="24"/>
          <w:szCs w:val="24"/>
        </w:rPr>
      </w:pPr>
      <w:r>
        <w:rPr>
          <w:bCs/>
          <w:sz w:val="24"/>
          <w:szCs w:val="24"/>
        </w:rPr>
        <w:t xml:space="preserve">      </w:t>
      </w:r>
      <w:r>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 </w:t>
      </w:r>
    </w:p>
    <w:p>
      <w:pPr>
        <w:pStyle w:val="ListParagraph"/>
        <w:numPr>
          <w:ilvl w:val="1"/>
          <w:numId w:val="2"/>
        </w:numPr>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before="0" w:after="0"/>
        <w:ind w:left="0" w:hanging="36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bookmarkEnd w:id="10"/>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65"/>
        <w:gridCol w:w="163"/>
        <w:gridCol w:w="4616"/>
        <w:gridCol w:w="346"/>
      </w:tblGrid>
      <w:tr>
        <w:trPr/>
        <w:tc>
          <w:tcPr>
            <w:tcW w:w="4928" w:type="dxa"/>
            <w:gridSpan w:val="2"/>
            <w:tcBorders/>
            <w:shd w:color="auto" w:fill="auto" w:val="clear"/>
          </w:tcPr>
          <w:p>
            <w:pPr>
              <w:pStyle w:val="Normal"/>
              <w:widowControl w:val="false"/>
              <w:rPr>
                <w:sz w:val="24"/>
                <w:szCs w:val="24"/>
              </w:rPr>
            </w:pPr>
            <w:r>
              <w:rPr>
                <w:sz w:val="24"/>
                <w:szCs w:val="24"/>
              </w:rPr>
              <w:t>ПОКУПАТЕЛЬ:</w:t>
            </w:r>
          </w:p>
        </w:tc>
        <w:tc>
          <w:tcPr>
            <w:tcW w:w="4962" w:type="dxa"/>
            <w:gridSpan w:val="2"/>
            <w:tcBorders/>
            <w:shd w:color="auto" w:fill="auto" w:val="clear"/>
          </w:tcPr>
          <w:p>
            <w:pPr>
              <w:pStyle w:val="Normal"/>
              <w:widowControl w:val="false"/>
              <w:rPr>
                <w:sz w:val="24"/>
                <w:szCs w:val="24"/>
              </w:rPr>
            </w:pPr>
            <w:r>
              <w:rPr>
                <w:sz w:val="24"/>
                <w:szCs w:val="24"/>
              </w:rPr>
              <w:t>ПОСТАВЩИК:</w:t>
            </w:r>
          </w:p>
        </w:tc>
      </w:tr>
      <w:tr>
        <w:trPr/>
        <w:tc>
          <w:tcPr>
            <w:tcW w:w="4928" w:type="dxa"/>
            <w:gridSpan w:val="2"/>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Адрес: 660049, Красноярский край , г.о. город Красноярск, г. Красноярск, ул. Перенсона, зд. 2А, помещ.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________________________</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65" w:type="dxa"/>
            <w:tcBorders/>
            <w:shd w:color="auto" w:fill="auto" w:val="clear"/>
          </w:tcPr>
          <w:p>
            <w:pPr>
              <w:pStyle w:val="Normal"/>
              <w:widowControl w:val="false"/>
              <w:rPr>
                <w:sz w:val="24"/>
                <w:szCs w:val="24"/>
              </w:rPr>
            </w:pPr>
            <w:r>
              <w:rPr>
                <w:sz w:val="24"/>
                <w:szCs w:val="24"/>
              </w:rPr>
              <w:t xml:space="preserve">_______________ / _______________ </w:t>
            </w:r>
          </w:p>
          <w:p>
            <w:pPr>
              <w:pStyle w:val="Normal"/>
              <w:widowControl w:val="false"/>
              <w:rPr>
                <w:sz w:val="24"/>
                <w:szCs w:val="24"/>
              </w:rPr>
            </w:pPr>
            <w:r>
              <w:rPr>
                <w:sz w:val="24"/>
                <w:szCs w:val="24"/>
              </w:rPr>
            </w:r>
          </w:p>
        </w:tc>
        <w:tc>
          <w:tcPr>
            <w:tcW w:w="4779" w:type="dxa"/>
            <w:gridSpan w:val="2"/>
            <w:tcBorders/>
            <w:shd w:color="auto" w:fill="auto" w:val="clear"/>
          </w:tcPr>
          <w:p>
            <w:pPr>
              <w:pStyle w:val="Normal"/>
              <w:widowControl w:val="false"/>
              <w:rPr>
                <w:sz w:val="24"/>
                <w:szCs w:val="24"/>
              </w:rPr>
            </w:pPr>
            <w:r>
              <w:rPr>
                <w:sz w:val="24"/>
                <w:szCs w:val="24"/>
              </w:rPr>
              <w:t xml:space="preserve">_______________ / _______________ </w:t>
            </w:r>
          </w:p>
        </w:tc>
        <w:tc>
          <w:tcPr>
            <w:tcW w:w="346"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widowControl w:val="false"/>
        <w:suppressAutoHyphens w:val="true"/>
        <w:bidi w:val="0"/>
        <w:spacing w:before="0" w:after="0"/>
        <w:ind w:left="10205" w:right="0" w:hanging="0"/>
        <w:jc w:val="left"/>
        <w:rPr>
          <w:sz w:val="22"/>
          <w:szCs w:val="22"/>
        </w:rPr>
      </w:pPr>
      <w:r>
        <w:rPr>
          <w:sz w:val="22"/>
          <w:szCs w:val="22"/>
        </w:rPr>
        <w:t>Приложение № 1</w:t>
      </w:r>
    </w:p>
    <w:p>
      <w:pPr>
        <w:pStyle w:val="Normal"/>
        <w:widowControl w:val="false"/>
        <w:suppressAutoHyphens w:val="true"/>
        <w:bidi w:val="0"/>
        <w:spacing w:before="0" w:after="0"/>
        <w:ind w:left="10205" w:right="0" w:hanging="0"/>
        <w:jc w:val="left"/>
        <w:rPr>
          <w:sz w:val="22"/>
          <w:szCs w:val="22"/>
        </w:rPr>
      </w:pPr>
      <w:r>
        <w:rPr>
          <w:sz w:val="22"/>
          <w:szCs w:val="22"/>
        </w:rPr>
        <w:t>к Договору поставки</w:t>
      </w:r>
    </w:p>
    <w:p>
      <w:pPr>
        <w:pStyle w:val="Normal"/>
        <w:widowControl w:val="false"/>
        <w:suppressAutoHyphens w:val="true"/>
        <w:bidi w:val="0"/>
        <w:spacing w:before="0" w:after="0"/>
        <w:ind w:left="10205" w:right="0" w:hanging="0"/>
        <w:jc w:val="left"/>
        <w:rPr>
          <w:sz w:val="22"/>
          <w:szCs w:val="22"/>
        </w:rPr>
      </w:pPr>
      <w:r>
        <w:rPr>
          <w:sz w:val="22"/>
          <w:szCs w:val="22"/>
        </w:rPr>
        <w:t xml:space="preserve">от «____» ________ 20 _ г. № </w:t>
      </w:r>
    </w:p>
    <w:p>
      <w:pPr>
        <w:pStyle w:val="Normal"/>
        <w:widowControl/>
        <w:jc w:val="right"/>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t xml:space="preserve">СПЕЦИФИКАЦИЯ </w:t>
      </w:r>
    </w:p>
    <w:p>
      <w:pPr>
        <w:pStyle w:val="Normal"/>
        <w:jc w:val="center"/>
        <w:rPr>
          <w:b/>
          <w:sz w:val="12"/>
          <w:szCs w:val="12"/>
        </w:rPr>
      </w:pPr>
      <w:r>
        <w:rPr>
          <w:b/>
          <w:sz w:val="12"/>
          <w:szCs w:val="12"/>
        </w:rPr>
      </w:r>
    </w:p>
    <w:tbl>
      <w:tblPr>
        <w:tblW w:w="15360" w:type="dxa"/>
        <w:jc w:val="left"/>
        <w:tblInd w:w="-714" w:type="dxa"/>
        <w:tblLayout w:type="fixed"/>
        <w:tblCellMar>
          <w:top w:w="0" w:type="dxa"/>
          <w:left w:w="108" w:type="dxa"/>
          <w:bottom w:w="0" w:type="dxa"/>
          <w:right w:w="108" w:type="dxa"/>
        </w:tblCellMar>
        <w:tblLook w:noVBand="1" w:val="04a0" w:noHBand="0" w:lastColumn="0" w:firstColumn="1" w:lastRow="0" w:firstRow="1"/>
      </w:tblPr>
      <w:tblGrid>
        <w:gridCol w:w="683"/>
        <w:gridCol w:w="587"/>
        <w:gridCol w:w="906"/>
        <w:gridCol w:w="925"/>
        <w:gridCol w:w="924"/>
        <w:gridCol w:w="1186"/>
        <w:gridCol w:w="1120"/>
        <w:gridCol w:w="934"/>
        <w:gridCol w:w="1104"/>
        <w:gridCol w:w="1058"/>
        <w:gridCol w:w="787"/>
        <w:gridCol w:w="986"/>
        <w:gridCol w:w="834"/>
        <w:gridCol w:w="783"/>
        <w:gridCol w:w="1085"/>
        <w:gridCol w:w="1454"/>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 xml:space="preserve">№ </w:t>
            </w:r>
            <w:r>
              <w:rPr>
                <w:bCs/>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Завод изготовитель</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Страна происхождения Товара</w:t>
            </w:r>
            <w:r>
              <w:rPr>
                <w:rStyle w:val="FootnoteReference"/>
                <w:bCs/>
              </w:rPr>
              <w:footnoteReference w:id="3"/>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Единица измерения</w:t>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Порядковый номер(а) реестровой(ых) записи(ей)</w:t>
            </w:r>
            <w:r>
              <w:rPr>
                <w:rStyle w:val="FootnoteReference"/>
                <w:bCs/>
              </w:rPr>
              <w:footnoteReference w:id="4"/>
            </w:r>
          </w:p>
        </w:tc>
        <w:tc>
          <w:tcPr>
            <w:tcW w:w="7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Количество</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Цена за единицу, руб. без НДС</w:t>
            </w:r>
          </w:p>
        </w:tc>
        <w:tc>
          <w:tcPr>
            <w:tcW w:w="8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Цена, руб. без НДС</w:t>
            </w:r>
          </w:p>
        </w:tc>
        <w:tc>
          <w:tcPr>
            <w:tcW w:w="7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НДС</w:t>
            </w:r>
          </w:p>
          <w:p>
            <w:pPr>
              <w:pStyle w:val="Normal"/>
              <w:widowControl w:val="false"/>
              <w:jc w:val="center"/>
              <w:rPr>
                <w:bCs/>
              </w:rPr>
            </w:pPr>
            <w:r>
              <w:rPr>
                <w:bCs/>
              </w:rPr>
              <w:t>(___%) руб.</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Стоимость, руб., с НДС</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62" w:hRule="atLeast"/>
        </w:trPr>
        <w:tc>
          <w:tcPr>
            <w:tcW w:w="1281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25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262" w:hRule="atLeast"/>
        </w:trPr>
        <w:tc>
          <w:tcPr>
            <w:tcW w:w="1281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Итого стоимость всего Товара (с учетом доставки), руб. с НДС:</w:t>
            </w:r>
          </w:p>
        </w:tc>
        <w:tc>
          <w:tcPr>
            <w:tcW w:w="25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rPr>
          <w:i/>
          <w:i/>
          <w:sz w:val="24"/>
          <w:szCs w:val="24"/>
        </w:rPr>
      </w:pPr>
      <w:r>
        <w:rPr>
          <w:i/>
          <w:sz w:val="24"/>
          <w:szCs w:val="24"/>
        </w:rPr>
      </w:r>
    </w:p>
    <w:p>
      <w:pPr>
        <w:pStyle w:val="Normal"/>
        <w:rPr>
          <w:i/>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rPr>
          <w:i/>
          <w:i/>
          <w:sz w:val="22"/>
          <w:szCs w:val="22"/>
        </w:rPr>
      </w:pPr>
      <w:r>
        <w:rPr>
          <w:i/>
          <w:sz w:val="22"/>
          <w:szCs w:val="22"/>
        </w:rPr>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31"/>
        <w:gridCol w:w="4805"/>
      </w:tblGrid>
      <w:tr>
        <w:trPr>
          <w:trHeight w:val="269" w:hRule="atLeast"/>
        </w:trPr>
        <w:tc>
          <w:tcPr>
            <w:tcW w:w="4831"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418" w:right="851" w:gutter="0" w:header="709" w:top="1134" w:footer="709" w:bottom="1134"/>
          <w:pgNumType w:fmt="decimal"/>
          <w:formProt w:val="false"/>
          <w:textDirection w:val="lrTb"/>
          <w:docGrid w:type="default" w:linePitch="299" w:charSpace="0"/>
        </w:sectPr>
        <w:pStyle w:val="Normal"/>
        <w:rPr/>
      </w:pPr>
      <w:r>
        <w:rPr/>
        <w:t xml:space="preserve"> </w:t>
      </w:r>
      <w:r>
        <w:rPr/>
        <w:t>__________ /__________</w:t>
        <w:tab/>
        <w:t xml:space="preserve">                                                       ___________ /___________</w:t>
      </w:r>
    </w:p>
    <w:p>
      <w:pPr>
        <w:pStyle w:val="Normal"/>
        <w:ind w:left="5103" w:hanging="0"/>
        <w:rPr>
          <w:sz w:val="22"/>
          <w:szCs w:val="22"/>
        </w:rPr>
      </w:pPr>
      <w:r>
        <w:rPr>
          <w:sz w:val="22"/>
          <w:szCs w:val="22"/>
        </w:rPr>
        <w:t>Приложение № 2</w:t>
      </w:r>
    </w:p>
    <w:p>
      <w:pPr>
        <w:pStyle w:val="Normal"/>
        <w:ind w:left="5103" w:hanging="0"/>
        <w:rPr>
          <w:sz w:val="22"/>
          <w:szCs w:val="22"/>
        </w:rPr>
      </w:pPr>
      <w:r>
        <w:rPr>
          <w:sz w:val="22"/>
          <w:szCs w:val="22"/>
        </w:rPr>
        <w:t xml:space="preserve">к Договору поставки </w:t>
      </w:r>
    </w:p>
    <w:p>
      <w:pPr>
        <w:pStyle w:val="Normal"/>
        <w:ind w:left="5103" w:hanging="0"/>
        <w:rPr>
          <w:sz w:val="22"/>
          <w:szCs w:val="22"/>
        </w:rPr>
      </w:pPr>
      <w:r>
        <w:rPr>
          <w:sz w:val="22"/>
          <w:szCs w:val="22"/>
        </w:rPr>
        <w:t xml:space="preserve">от «____» ________ 20 _ г. № </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pPr>
    </w:p>
    <w:p>
      <w:pPr>
        <w:pStyle w:val="Normal"/>
        <w:tabs>
          <w:tab w:val="clear" w:pos="709"/>
          <w:tab w:val="left" w:pos="4860" w:leader="none"/>
        </w:tabs>
        <w:rPr>
          <w:b/>
          <w:sz w:val="24"/>
          <w:szCs w:val="24"/>
        </w:rPr>
      </w:pPr>
      <w:r>
        <w:rPr>
          <w:b/>
          <w:sz w:val="24"/>
          <w:szCs w:val="24"/>
        </w:rPr>
      </w:r>
    </w:p>
    <w:p>
      <w:pPr>
        <w:pStyle w:val="Normal"/>
        <w:widowControl/>
        <w:rPr>
          <w:rFonts w:eastAsia="Calibri"/>
          <w:sz w:val="24"/>
          <w:szCs w:val="24"/>
          <w:lang w:eastAsia="en-US"/>
        </w:rPr>
      </w:pPr>
      <w:r>
        <w:rPr>
          <w:rFonts w:eastAsia="Calibri"/>
          <w:sz w:val="24"/>
          <w:szCs w:val="24"/>
          <w:lang w:eastAsia="en-US"/>
        </w:rPr>
      </w:r>
    </w:p>
    <w:p>
      <w:pPr>
        <w:pStyle w:val="Normal"/>
        <w:ind w:firstLine="6237"/>
        <w:rPr>
          <w:sz w:val="24"/>
          <w:szCs w:val="24"/>
        </w:rPr>
      </w:pPr>
      <w:r>
        <w:rPr>
          <w:sz w:val="24"/>
          <w:szCs w:val="24"/>
        </w:rPr>
        <w:t>Приложение № 3</w:t>
      </w:r>
    </w:p>
    <w:p>
      <w:pPr>
        <w:pStyle w:val="Normal"/>
        <w:ind w:firstLine="6237"/>
        <w:rPr>
          <w:sz w:val="24"/>
          <w:szCs w:val="24"/>
        </w:rPr>
      </w:pPr>
      <w:r>
        <w:rPr>
          <w:sz w:val="24"/>
          <w:szCs w:val="24"/>
        </w:rPr>
        <w:t>к Договору поставки</w:t>
      </w:r>
    </w:p>
    <w:p>
      <w:pPr>
        <w:pStyle w:val="Normal"/>
        <w:ind w:firstLine="6237"/>
        <w:rPr>
          <w:bCs/>
          <w:sz w:val="24"/>
          <w:szCs w:val="24"/>
        </w:rPr>
      </w:pPr>
      <w:r>
        <w:rPr>
          <w:sz w:val="24"/>
          <w:szCs w:val="24"/>
        </w:rPr>
        <w:t xml:space="preserve">от «____» ________20 _ г. № </w:t>
      </w:r>
    </w:p>
    <w:p>
      <w:pPr>
        <w:pStyle w:val="Normal"/>
        <w:widowControl/>
        <w:shd w:val="clear" w:color="auto" w:fill="FFFFFF"/>
        <w:tabs>
          <w:tab w:val="clear" w:pos="709"/>
          <w:tab w:val="left" w:pos="1418" w:leader="none"/>
        </w:tabs>
        <w:spacing w:before="0" w:after="0"/>
        <w:ind w:firstLine="6237"/>
        <w:contextualSpacing/>
        <w:jc w:val="center"/>
        <w:rPr>
          <w:bCs/>
          <w:sz w:val="24"/>
          <w:szCs w:val="24"/>
        </w:rPr>
      </w:pPr>
      <w:r>
        <w:rPr>
          <w:bCs/>
          <w:sz w:val="24"/>
          <w:szCs w:val="24"/>
        </w:rPr>
      </w:r>
    </w:p>
    <w:p>
      <w:pPr>
        <w:pStyle w:val="Normal"/>
        <w:widowControl/>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b/>
          <w:bCs/>
          <w:sz w:val="24"/>
          <w:szCs w:val="24"/>
        </w:rPr>
      </w:pPr>
      <w:r>
        <w:rPr/>
      </w:r>
    </w:p>
    <w:sectPr>
      <w:headerReference w:type="default" r:id="rId16"/>
      <w:headerReference w:type="first" r:id="rId17"/>
      <w:footerReference w:type="default" r:id="rId18"/>
      <w:footerReference w:type="first" r:id="rId19"/>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6"/>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6"/>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umentProtection w:edit="trackedChanges" w:enforcement="1"/>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6f70"/>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886f7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
    <w:qFormat/>
    <w:rsid w:val="00886f70"/>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886f70"/>
    <w:rPr>
      <w:rFonts w:ascii="Arial" w:hAnsi="Arial" w:eastAsia="Times New Roman" w:cs="Arial"/>
      <w:b/>
      <w:bCs/>
      <w:kern w:val="2"/>
      <w:sz w:val="32"/>
      <w:szCs w:val="32"/>
      <w:lang w:eastAsia="ru-RU"/>
    </w:rPr>
  </w:style>
  <w:style w:type="character" w:styleId="3" w:customStyle="1">
    <w:name w:val="Заголовок 3 Знак"/>
    <w:basedOn w:val="DefaultParagraphFont"/>
    <w:qFormat/>
    <w:rsid w:val="00886f70"/>
    <w:rPr>
      <w:rFonts w:ascii="Cambria" w:hAnsi="Cambria" w:eastAsia="Times New Roman" w:cs="Times New Roman"/>
      <w:b/>
      <w:bCs/>
      <w:color w:val="4F81BD"/>
      <w:sz w:val="20"/>
      <w:szCs w:val="20"/>
      <w:lang w:val="x-none" w:eastAsia="x-none"/>
    </w:rPr>
  </w:style>
  <w:style w:type="character" w:styleId="Style7" w:customStyle="1">
    <w:name w:val="Заголовок Знак"/>
    <w:basedOn w:val="DefaultParagraphFont"/>
    <w:qFormat/>
    <w:rsid w:val="00886f70"/>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886f70"/>
    <w:rPr>
      <w:rFonts w:ascii="Times New Roman" w:hAnsi="Times New Roman" w:eastAsia="Times New Roman" w:cs="Times New Roman"/>
      <w:sz w:val="24"/>
      <w:szCs w:val="20"/>
      <w:lang w:eastAsia="ru-RU"/>
    </w:rPr>
  </w:style>
  <w:style w:type="character" w:styleId="Style8" w:customStyle="1">
    <w:name w:val="Текст выноски Знак"/>
    <w:basedOn w:val="DefaultParagraphFont"/>
    <w:link w:val="BalloonText"/>
    <w:semiHidden/>
    <w:qFormat/>
    <w:rsid w:val="00886f70"/>
    <w:rPr>
      <w:rFonts w:ascii="Tahoma" w:hAnsi="Tahoma" w:eastAsia="Times New Roman" w:cs="Tahoma"/>
      <w:sz w:val="16"/>
      <w:szCs w:val="16"/>
      <w:lang w:eastAsia="ru-RU"/>
    </w:rPr>
  </w:style>
  <w:style w:type="character" w:styleId="21" w:customStyle="1">
    <w:name w:val="Основной текст 2 Знак"/>
    <w:basedOn w:val="DefaultParagraphFont"/>
    <w:link w:val="BodyText2"/>
    <w:qFormat/>
    <w:rsid w:val="00886f70"/>
    <w:rPr>
      <w:rFonts w:ascii="Times New Roman" w:hAnsi="Times New Roman" w:eastAsia="Times New Roman" w:cs="Times New Roman"/>
      <w:sz w:val="24"/>
      <w:szCs w:val="24"/>
      <w:lang w:eastAsia="ru-RU"/>
    </w:rPr>
  </w:style>
  <w:style w:type="character" w:styleId="Style9" w:customStyle="1">
    <w:name w:val="Основной текст Знак"/>
    <w:basedOn w:val="DefaultParagraphFont"/>
    <w:qFormat/>
    <w:rsid w:val="00886f70"/>
    <w:rPr>
      <w:rFonts w:ascii="Times New Roman" w:hAnsi="Times New Roman" w:eastAsia="Times New Roman" w:cs="Times New Roman"/>
      <w:sz w:val="20"/>
      <w:szCs w:val="20"/>
      <w:lang w:eastAsia="ru-RU"/>
    </w:rPr>
  </w:style>
  <w:style w:type="character" w:styleId="Style10" w:customStyle="1">
    <w:name w:val="Нижний колонтитул Знак"/>
    <w:basedOn w:val="DefaultParagraphFont"/>
    <w:uiPriority w:val="99"/>
    <w:qFormat/>
    <w:rsid w:val="00886f70"/>
    <w:rPr>
      <w:rFonts w:ascii="Times New Roman" w:hAnsi="Times New Roman" w:eastAsia="Times New Roman" w:cs="Times New Roman"/>
      <w:sz w:val="20"/>
      <w:szCs w:val="20"/>
      <w:lang w:eastAsia="ru-RU"/>
    </w:rPr>
  </w:style>
  <w:style w:type="character" w:styleId="Pagenumber">
    <w:name w:val="page number"/>
    <w:basedOn w:val="DefaultParagraphFont"/>
    <w:qFormat/>
    <w:rsid w:val="00886f70"/>
    <w:rPr/>
  </w:style>
  <w:style w:type="character" w:styleId="31" w:customStyle="1">
    <w:name w:val="Основной текст 3 Знак"/>
    <w:basedOn w:val="DefaultParagraphFont"/>
    <w:link w:val="BodyText3"/>
    <w:qFormat/>
    <w:rsid w:val="00886f70"/>
    <w:rPr>
      <w:rFonts w:ascii="Times New Roman" w:hAnsi="Times New Roman" w:eastAsia="Times New Roman" w:cs="Times New Roman"/>
      <w:sz w:val="16"/>
      <w:szCs w:val="16"/>
      <w:lang w:val="x-none" w:eastAsia="x-none"/>
    </w:rPr>
  </w:style>
  <w:style w:type="character" w:styleId="Annotationreference">
    <w:name w:val="annotation reference"/>
    <w:qFormat/>
    <w:rsid w:val="00886f70"/>
    <w:rPr>
      <w:sz w:val="16"/>
      <w:szCs w:val="16"/>
    </w:rPr>
  </w:style>
  <w:style w:type="character" w:styleId="Style11" w:customStyle="1">
    <w:name w:val="Текст примечания Знак"/>
    <w:basedOn w:val="DefaultParagraphFont"/>
    <w:link w:val="Annotationtext"/>
    <w:qFormat/>
    <w:rsid w:val="00886f70"/>
    <w:rPr>
      <w:rFonts w:ascii="Times New Roman" w:hAnsi="Times New Roman" w:eastAsia="Times New Roman" w:cs="Times New Roman"/>
      <w:sz w:val="20"/>
      <w:szCs w:val="20"/>
      <w:lang w:eastAsia="ru-RU"/>
    </w:rPr>
  </w:style>
  <w:style w:type="character" w:styleId="Style12" w:customStyle="1">
    <w:name w:val="Тема примечания Знак"/>
    <w:basedOn w:val="Style11"/>
    <w:link w:val="Annotationsubject"/>
    <w:qFormat/>
    <w:rsid w:val="00886f70"/>
    <w:rPr>
      <w:rFonts w:ascii="Times New Roman" w:hAnsi="Times New Roman" w:eastAsia="Times New Roman" w:cs="Times New Roman"/>
      <w:b/>
      <w:bCs/>
      <w:sz w:val="20"/>
      <w:szCs w:val="20"/>
      <w:lang w:val="x-none" w:eastAsia="x-none"/>
    </w:rPr>
  </w:style>
  <w:style w:type="character" w:styleId="Style13" w:customStyle="1">
    <w:name w:val="Основной текст с отступом Знак"/>
    <w:basedOn w:val="DefaultParagraphFont"/>
    <w:qFormat/>
    <w:rsid w:val="00886f70"/>
    <w:rPr>
      <w:rFonts w:ascii="Times New Roman" w:hAnsi="Times New Roman" w:eastAsia="Times New Roman" w:cs="Times New Roman"/>
      <w:sz w:val="20"/>
      <w:szCs w:val="20"/>
      <w:lang w:eastAsia="ru-RU"/>
    </w:rPr>
  </w:style>
  <w:style w:type="character" w:styleId="Style14" w:customStyle="1">
    <w:name w:val="комментарий"/>
    <w:uiPriority w:val="99"/>
    <w:qFormat/>
    <w:rsid w:val="00886f70"/>
    <w:rPr>
      <w:rFonts w:cs="Times New Roman"/>
      <w:b/>
      <w:bCs/>
      <w:i/>
      <w:iCs/>
      <w:shd w:fill="FFFF99" w:val="clear"/>
    </w:rPr>
  </w:style>
  <w:style w:type="character" w:styleId="Style15" w:customStyle="1">
    <w:name w:val="Текст сноски Знак"/>
    <w:basedOn w:val="DefaultParagraphFont"/>
    <w:uiPriority w:val="99"/>
    <w:qFormat/>
    <w:rsid w:val="00886f70"/>
    <w:rPr>
      <w:rFonts w:ascii="Times New Roman" w:hAnsi="Times New Roman" w:eastAsia="Times New Roman" w:cs="Times New Roman"/>
      <w:sz w:val="20"/>
      <w:szCs w:val="20"/>
      <w:lang w:eastAsia="ru-RU"/>
    </w:rPr>
  </w:style>
  <w:style w:type="character" w:styleId="Style16" w:customStyle="1">
    <w:name w:val="Символ сноски"/>
    <w:qFormat/>
    <w:rsid w:val="00886f70"/>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886f70"/>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qFormat/>
    <w:rsid w:val="00886f70"/>
    <w:rPr>
      <w:rFonts w:ascii="Times New Roman" w:hAnsi="Times New Roman" w:eastAsia="Times New Roman" w:cs="Times New Roman"/>
      <w:sz w:val="20"/>
      <w:szCs w:val="20"/>
      <w:lang w:eastAsia="ru-RU"/>
    </w:rPr>
  </w:style>
  <w:style w:type="character" w:styleId="Hyperlink">
    <w:name w:val="Hyperlink"/>
    <w:rsid w:val="00886f70"/>
    <w:rPr>
      <w:color w:val="0000FF"/>
      <w:u w:val="single"/>
    </w:rPr>
  </w:style>
  <w:style w:type="character" w:styleId="Style19" w:customStyle="1">
    <w:name w:val="Абзац списка Знак"/>
    <w:link w:val="ListParagraph"/>
    <w:uiPriority w:val="34"/>
    <w:qFormat/>
    <w:locked/>
    <w:rsid w:val="00b80bab"/>
    <w:rPr>
      <w:rFonts w:ascii="Times New Roman" w:hAnsi="Times New Roman" w:eastAsia="Times New Roman" w:cs="Times New Roman"/>
      <w:sz w:val="20"/>
      <w:szCs w:val="20"/>
      <w:lang w:eastAsia="ru-RU"/>
    </w:rPr>
  </w:style>
  <w:style w:type="character" w:styleId="Linenumber1" w:customStyle="1">
    <w:name w:val="line number1"/>
    <w:qFormat/>
    <w:rPr/>
  </w:style>
  <w:style w:type="character" w:styleId="Style20" w:customStyle="1">
    <w:name w:val="Символ концевой сноски"/>
    <w:qFormat/>
    <w:rPr>
      <w:vertAlign w:val="superscript"/>
    </w:rPr>
  </w:style>
  <w:style w:type="character" w:styleId="EndnoteReference">
    <w:name w:val="Endnote Reference"/>
    <w:rPr>
      <w:vertAlign w:val="superscript"/>
    </w:rPr>
  </w:style>
  <w:style w:type="character" w:styleId="Style21" w:customStyle="1">
    <w:name w:val="Символ нумерации"/>
    <w:qFormat/>
    <w:rPr/>
  </w:style>
  <w:style w:type="character" w:styleId="Linenumber2" w:customStyle="1">
    <w:name w:val="line number2"/>
    <w:qFormat/>
    <w:rPr/>
  </w:style>
  <w:style w:type="character" w:styleId="Linenumber3" w:customStyle="1">
    <w:name w:val="line number3"/>
    <w:qFormat/>
    <w:rPr/>
  </w:style>
  <w:style w:type="character" w:styleId="Linenumber4">
    <w:name w:val="line number4"/>
    <w:qFormat/>
    <w:rPr/>
  </w:style>
  <w:style w:type="character" w:styleId="LineNumber">
    <w:name w:val="Line Number"/>
    <w:rPr/>
  </w:style>
  <w:style w:type="paragraph" w:styleId="Style22">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886f70"/>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3">
    <w:name w:val="Указатель"/>
    <w:basedOn w:val="Normal"/>
    <w:qFormat/>
    <w:pPr>
      <w:suppressLineNumbers/>
    </w:pPr>
    <w:rPr/>
  </w:style>
  <w:style w:type="paragraph" w:styleId="Title">
    <w:name w:val="Title"/>
    <w:basedOn w:val="Normal"/>
    <w:next w:val="BodyText"/>
    <w:link w:val="Style7"/>
    <w:qFormat/>
    <w:rsid w:val="00886f7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Style24" w:customStyle="1">
    <w:name w:val="Таблицы (моноширинный)"/>
    <w:basedOn w:val="Normal"/>
    <w:next w:val="Normal"/>
    <w:qFormat/>
    <w:rsid w:val="00886f70"/>
    <w:pPr>
      <w:jc w:val="both"/>
    </w:pPr>
    <w:rPr>
      <w:rFonts w:ascii="Courier New" w:hAnsi="Courier New" w:cs="Courier New"/>
    </w:rPr>
  </w:style>
  <w:style w:type="paragraph" w:styleId="BodyTextIndent2">
    <w:name w:val="Body Text Indent 2"/>
    <w:basedOn w:val="Normal"/>
    <w:link w:val="2"/>
    <w:qFormat/>
    <w:rsid w:val="00886f70"/>
    <w:pPr>
      <w:ind w:left="1843" w:hanging="0"/>
      <w:jc w:val="both"/>
    </w:pPr>
    <w:rPr>
      <w:sz w:val="24"/>
    </w:rPr>
  </w:style>
  <w:style w:type="paragraph" w:styleId="BalloonText">
    <w:name w:val="Balloon Text"/>
    <w:basedOn w:val="Normal"/>
    <w:link w:val="Style8"/>
    <w:semiHidden/>
    <w:qFormat/>
    <w:rsid w:val="00886f70"/>
    <w:pPr/>
    <w:rPr>
      <w:rFonts w:ascii="Tahoma" w:hAnsi="Tahoma" w:cs="Tahoma"/>
      <w:sz w:val="16"/>
      <w:szCs w:val="16"/>
    </w:rPr>
  </w:style>
  <w:style w:type="paragraph" w:styleId="BodyText2">
    <w:name w:val="Body Text 2"/>
    <w:basedOn w:val="Normal"/>
    <w:link w:val="21"/>
    <w:qFormat/>
    <w:rsid w:val="00886f70"/>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0"/>
    <w:uiPriority w:val="99"/>
    <w:rsid w:val="00886f70"/>
    <w:pPr>
      <w:tabs>
        <w:tab w:val="clear" w:pos="709"/>
        <w:tab w:val="center" w:pos="4677" w:leader="none"/>
        <w:tab w:val="right" w:pos="9355" w:leader="none"/>
      </w:tabs>
    </w:pPr>
    <w:rPr/>
  </w:style>
  <w:style w:type="paragraph" w:styleId="BodyText3">
    <w:name w:val="Body Text 3"/>
    <w:basedOn w:val="Normal"/>
    <w:link w:val="31"/>
    <w:qFormat/>
    <w:rsid w:val="00886f70"/>
    <w:pPr>
      <w:spacing w:before="0" w:after="120"/>
    </w:pPr>
    <w:rPr>
      <w:sz w:val="16"/>
      <w:szCs w:val="16"/>
      <w:lang w:val="x-none" w:eastAsia="x-none"/>
    </w:rPr>
  </w:style>
  <w:style w:type="paragraph" w:styleId="Annotationtext">
    <w:name w:val="annotation text"/>
    <w:basedOn w:val="Normal"/>
    <w:link w:val="Style11"/>
    <w:qFormat/>
    <w:rsid w:val="00886f70"/>
    <w:pPr/>
    <w:rPr/>
  </w:style>
  <w:style w:type="paragraph" w:styleId="Annotationsubject">
    <w:name w:val="annotation subject"/>
    <w:basedOn w:val="Annotationtext"/>
    <w:next w:val="Annotationtext"/>
    <w:link w:val="Style12"/>
    <w:qFormat/>
    <w:rsid w:val="00886f70"/>
    <w:pPr/>
    <w:rPr>
      <w:b/>
      <w:bCs/>
      <w:lang w:val="x-none" w:eastAsia="x-none"/>
    </w:rPr>
  </w:style>
  <w:style w:type="paragraph" w:styleId="ListParagraph">
    <w:name w:val="List Paragraph"/>
    <w:basedOn w:val="Normal"/>
    <w:link w:val="Style19"/>
    <w:uiPriority w:val="34"/>
    <w:qFormat/>
    <w:rsid w:val="00886f70"/>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886f70"/>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886f70"/>
    <w:pPr>
      <w:widowControl/>
      <w:tabs>
        <w:tab w:val="clear" w:pos="709"/>
        <w:tab w:val="left" w:pos="360" w:leader="none"/>
      </w:tabs>
      <w:jc w:val="both"/>
    </w:pPr>
    <w:rPr>
      <w:rFonts w:ascii="Arial" w:hAnsi="Arial"/>
    </w:rPr>
  </w:style>
  <w:style w:type="paragraph" w:styleId="ConsNormal" w:customStyle="1">
    <w:name w:val="ConsNormal"/>
    <w:qFormat/>
    <w:rsid w:val="00886f70"/>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886f70"/>
    <w:pPr>
      <w:spacing w:before="0" w:after="120"/>
      <w:ind w:left="283" w:hanging="0"/>
    </w:pPr>
    <w:rPr/>
  </w:style>
  <w:style w:type="paragraph" w:styleId="Style28" w:customStyle="1">
    <w:name w:val="Знак"/>
    <w:basedOn w:val="Normal"/>
    <w:qFormat/>
    <w:rsid w:val="00886f70"/>
    <w:pPr>
      <w:widowControl/>
      <w:spacing w:lineRule="exact" w:line="240" w:before="0" w:after="160"/>
    </w:pPr>
    <w:rPr>
      <w:rFonts w:ascii="Verdana" w:hAnsi="Verdana" w:cs="Verdana"/>
      <w:lang w:val="en-US" w:eastAsia="en-US"/>
    </w:rPr>
  </w:style>
  <w:style w:type="paragraph" w:styleId="FootnoteText">
    <w:name w:val="Footnote Text"/>
    <w:basedOn w:val="Normal"/>
    <w:link w:val="Style15"/>
    <w:uiPriority w:val="99"/>
    <w:rsid w:val="00886f70"/>
    <w:pPr/>
    <w:rPr/>
  </w:style>
  <w:style w:type="paragraph" w:styleId="ListBullet3">
    <w:name w:val="List Bullet 3"/>
    <w:basedOn w:val="Normal"/>
    <w:uiPriority w:val="99"/>
    <w:unhideWhenUsed/>
    <w:qFormat/>
    <w:rsid w:val="00886f70"/>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886f70"/>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7"/>
    <w:semiHidden/>
    <w:qFormat/>
    <w:rsid w:val="00886f70"/>
    <w:pPr>
      <w:shd w:val="clear" w:color="auto" w:fill="000080"/>
    </w:pPr>
    <w:rPr>
      <w:rFonts w:ascii="Tahoma" w:hAnsi="Tahoma" w:cs="Tahoma"/>
    </w:rPr>
  </w:style>
  <w:style w:type="paragraph" w:styleId="Revision">
    <w:name w:val="Revision"/>
    <w:uiPriority w:val="99"/>
    <w:semiHidden/>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8"/>
    <w:rsid w:val="00886f70"/>
    <w:pPr>
      <w:tabs>
        <w:tab w:val="clear" w:pos="709"/>
        <w:tab w:val="center" w:pos="4677" w:leader="none"/>
        <w:tab w:val="right" w:pos="9355" w:leader="none"/>
      </w:tabs>
    </w:pPr>
    <w:rPr/>
  </w:style>
  <w:style w:type="paragraph" w:styleId="Style29" w:customStyle="1">
    <w:name w:val="Пункт договора"/>
    <w:basedOn w:val="Normal"/>
    <w:qFormat/>
    <w:rsid w:val="00886f70"/>
    <w:pPr>
      <w:jc w:val="both"/>
    </w:pPr>
    <w:rPr>
      <w:rFonts w:ascii="Arial" w:hAnsi="Arial"/>
    </w:rPr>
  </w:style>
  <w:style w:type="paragraph" w:styleId="11" w:customStyle="1">
    <w:name w:val="Знак Знак Знак Знак Знак Знак Знак Знак Знак1"/>
    <w:basedOn w:val="Normal"/>
    <w:qFormat/>
    <w:rsid w:val="00886f70"/>
    <w:pPr>
      <w:widowControl/>
      <w:spacing w:lineRule="exact" w:line="240" w:before="0" w:after="160"/>
      <w:jc w:val="both"/>
    </w:pPr>
    <w:rPr>
      <w:rFonts w:ascii="Verdana" w:hAnsi="Verdana"/>
      <w:sz w:val="22"/>
      <w:lang w:val="en-US" w:eastAsia="en-US"/>
    </w:rPr>
  </w:style>
  <w:style w:type="paragraph" w:styleId="12" w:customStyle="1">
    <w:name w:val="Обычный1"/>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886f70"/>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numbering" w:styleId="NoList" w:default="1">
    <w:name w:val="No List"/>
    <w:uiPriority w:val="99"/>
    <w:semiHidden/>
    <w:unhideWhenUsed/>
    <w:qFormat/>
  </w:style>
  <w:style w:type="numbering" w:styleId="38652917851" w:customStyle="1">
    <w:name w:val="3865291785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886f7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Relationship Id="rId26" Type="http://schemas.openxmlformats.org/officeDocument/2006/relationships/customXml" Target="../customXml/item2.xml"/><Relationship Id="rId27" Type="http://schemas.openxmlformats.org/officeDocument/2006/relationships/customXml" Target="../customXml/item3.xml"/><Relationship Id="rId2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CAEEA5-E2B6-4B76-A826-4F29FF9531A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4.xml><?xml version="1.0" encoding="utf-8"?>
<ds:datastoreItem xmlns:ds="http://schemas.openxmlformats.org/officeDocument/2006/customXml" ds:itemID="{C3FCF915-A20A-454C-B272-7F8B070C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Application>AlterOffice/3.4.0.9$Linux_X86_64 LibreOffice_project/b8daf9e823b1a5463a2f48435ddc2e8696e7d4fc</Application>
  <AppVersion>15.0000</AppVersion>
  <Pages>17</Pages>
  <Words>7028</Words>
  <Characters>50317</Characters>
  <CharactersWithSpaces>57092</CharactersWithSpaces>
  <Paragraphs>341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2025-11-11T11:37:00Z</dcterms:created>
  <dc:creator>Быстрова Дарья Андреевна</dc:creator>
  <dc:description/>
  <dc:language>ru-RU</dc:language>
  <cp:lastModifiedBy>Елена Викторовна Макеева</cp:lastModifiedBy>
  <dcterms:modified xsi:type="dcterms:W3CDTF">2026-07-31T13:54:03Z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