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word/_rels/document.xml.rels" ContentType="application/vnd.openxmlformats-package.relationships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header10.xml" ContentType="application/vnd.openxmlformats-officedocument.wordprocessingml.header+xml"/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false"/>
        <w:overflowPunct w:val="false"/>
        <w:bidi w:val="0"/>
        <w:ind w:left="7087" w:right="0"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keepLines/>
        <w:suppressAutoHyphens w:val="false"/>
        <w:jc w:val="center"/>
        <w:rPr/>
      </w:pPr>
      <w:r>
        <w:rPr>
          <w:rFonts w:eastAsia="Calibri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Технические требования на поставку МТР</w:t>
      </w:r>
    </w:p>
    <w:p>
      <w:pPr>
        <w:pStyle w:val="Normal"/>
        <w:widowControl w:val="false"/>
        <w:tabs>
          <w:tab w:val="clear" w:pos="643"/>
          <w:tab w:val="left" w:pos="426" w:leader="none"/>
        </w:tabs>
        <w:suppressAutoHyphens w:val="false"/>
        <w:jc w:val="center"/>
        <w:rPr/>
      </w:pPr>
      <w:r>
        <w:rPr>
          <w:rFonts w:eastAsia="Calibri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«ОКПД2 32.99.11.110 Приобретение материалов для обеспечения мероприятий ГО и ЧС Филиала ПАО "РусГидро"-"Каскад Кубанских ГЭС"»</w:t>
      </w:r>
    </w:p>
    <w:p>
      <w:pPr>
        <w:pStyle w:val="Normal"/>
        <w:keepNext w:val="true"/>
        <w:keepLines/>
        <w:suppressAutoHyphens w:val="false"/>
        <w:jc w:val="center"/>
        <w:rPr/>
      </w:pPr>
      <w:r>
        <w:rPr>
          <w:rFonts w:eastAsia="Calibri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Лот № 44-ЭКСП-БПД-2026-ККГЭС</w:t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i w:val="false"/>
          <w:i w:val="false"/>
          <w:sz w:val="24"/>
          <w:szCs w:val="24"/>
        </w:rPr>
      </w:pPr>
      <w:r>
        <w:rPr>
          <w:rFonts w:cs="Times New Roman" w:ascii="Times New Roman" w:hAnsi="Times New Roman"/>
          <w:b/>
          <w:i w:val="false"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"/>
        <w:suppressAutoHyphens w:val="fals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uppressAutoHyphens w:val="false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643"/>
              <w:tab w:val="right" w:pos="10489" w:leader="dot"/>
            </w:tabs>
            <w:suppressAutoHyphens w:val="false"/>
            <w:rPr/>
          </w:pPr>
          <w:r>
            <w:fldChar w:fldCharType="begin"/>
          </w:r>
          <w:r>
            <w:rPr>
              <w:rStyle w:val="Style10"/>
            </w:rPr>
            <w:instrText xml:space="preserve"> TOC \o "1-4" \h</w:instrText>
          </w:r>
          <w:r>
            <w:rPr>
              <w:rStyle w:val="Style10"/>
            </w:rPr>
            <w:fldChar w:fldCharType="separate"/>
          </w:r>
          <w:hyperlink w:anchor="__RefHeading___Toc26475_2696883597">
            <w:r>
              <w:rPr>
                <w:rStyle w:val="Style10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643"/>
              <w:tab w:val="right" w:pos="10489" w:leader="dot"/>
            </w:tabs>
            <w:suppressAutoHyphens w:val="false"/>
            <w:rPr/>
          </w:pPr>
          <w:hyperlink w:anchor="__RefHeading___Toc4602_3084032409">
            <w:r>
              <w:rPr>
                <w:rStyle w:val="Style10"/>
              </w:rPr>
              <w:t>1.1.Наименование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643"/>
              <w:tab w:val="right" w:pos="10489" w:leader="dot"/>
            </w:tabs>
            <w:suppressAutoHyphens w:val="false"/>
            <w:rPr/>
          </w:pPr>
          <w:hyperlink w:anchor="__RefHeading___Toc26481_2696883597">
            <w:r>
              <w:rPr>
                <w:rStyle w:val="Style10"/>
              </w:rPr>
              <w:t>1.2.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643"/>
              <w:tab w:val="right" w:pos="10489" w:leader="dot"/>
            </w:tabs>
            <w:suppressAutoHyphens w:val="false"/>
            <w:rPr/>
          </w:pPr>
          <w:hyperlink w:anchor="__RefHeading___Toc26485_2696883597">
            <w:r>
              <w:rPr>
                <w:rStyle w:val="Style10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643"/>
              <w:tab w:val="right" w:pos="10489" w:leader="dot"/>
            </w:tabs>
            <w:suppressAutoHyphens w:val="false"/>
            <w:rPr/>
          </w:pPr>
          <w:hyperlink w:anchor="__RefHeading___Toc26487_2696883597">
            <w:r>
              <w:rPr>
                <w:rStyle w:val="Style10"/>
              </w:rPr>
              <w:t>2.1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643"/>
              <w:tab w:val="right" w:pos="10489" w:leader="dot"/>
            </w:tabs>
            <w:suppressAutoHyphens w:val="false"/>
            <w:rPr/>
          </w:pPr>
          <w:hyperlink w:anchor="__RefHeading___Toc26489_2696883597">
            <w:r>
              <w:rPr>
                <w:rStyle w:val="Style10"/>
              </w:rPr>
              <w:t>2.1.1. Перечень и объём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643"/>
              <w:tab w:val="right" w:pos="10489" w:leader="dot"/>
            </w:tabs>
            <w:suppressAutoHyphens w:val="false"/>
            <w:rPr/>
          </w:pPr>
          <w:hyperlink w:anchor="__RefHeading___Toc26491_2696883597">
            <w:r>
              <w:rPr>
                <w:rStyle w:val="Style10"/>
              </w:rPr>
              <w:t>Таблица 1.1 Перечень и объём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643"/>
              <w:tab w:val="right" w:pos="10489" w:leader="dot"/>
            </w:tabs>
            <w:suppressAutoHyphens w:val="false"/>
            <w:rPr/>
          </w:pPr>
          <w:hyperlink w:anchor="__RefHeading___Toc26493_2696883597">
            <w:r>
              <w:rPr>
                <w:rStyle w:val="Style10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643"/>
              <w:tab w:val="right" w:pos="10489" w:leader="dot"/>
            </w:tabs>
            <w:suppressAutoHyphens w:val="false"/>
            <w:rPr/>
          </w:pPr>
          <w:hyperlink w:anchor="__RefHeading___Toc26495_2696883597">
            <w:r>
              <w:rPr>
                <w:rStyle w:val="Style10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643"/>
              <w:tab w:val="right" w:pos="10489" w:leader="dot"/>
            </w:tabs>
            <w:suppressAutoHyphens w:val="false"/>
            <w:rPr/>
          </w:pPr>
          <w:hyperlink w:anchor="__RefHeading___Toc26497_2696883597">
            <w:r>
              <w:rPr>
                <w:rStyle w:val="Style10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643"/>
              <w:tab w:val="right" w:pos="10489" w:leader="dot"/>
            </w:tabs>
            <w:suppressAutoHyphens w:val="false"/>
            <w:rPr/>
          </w:pPr>
          <w:hyperlink w:anchor="__RefHeading___Toc26499_2696883597">
            <w:r>
              <w:rPr>
                <w:rStyle w:val="Style10"/>
              </w:rPr>
              <w:t>Таблица 3. Требования к качеству продукции.</w:t>
              <w:tab/>
              <w:t>5</w:t>
            </w:r>
          </w:hyperlink>
        </w:p>
        <w:p>
          <w:pPr>
            <w:pStyle w:val="TOC1"/>
            <w:tabs>
              <w:tab w:val="clear" w:pos="643"/>
              <w:tab w:val="right" w:pos="10489" w:leader="dot"/>
            </w:tabs>
            <w:suppressAutoHyphens w:val="false"/>
            <w:rPr/>
          </w:pPr>
          <w:hyperlink w:anchor="__RefHeading___Toc26509_2696883597">
            <w:r>
              <w:rPr>
                <w:rStyle w:val="Style10"/>
                <w:iCs/>
              </w:rPr>
              <w:t>Приложения:</w:t>
            </w:r>
            <w:r>
              <w:rPr>
                <w:rStyle w:val="Style10"/>
              </w:rPr>
              <w:tab/>
              <w:t>9</w:t>
            </w:r>
          </w:hyperlink>
          <w:r>
            <w:rPr>
              <w:rStyle w:val="Style10"/>
            </w:rPr>
            <w:fldChar w:fldCharType="end"/>
          </w:r>
        </w:p>
      </w:sdtContent>
    </w:sdt>
    <w:p>
      <w:pPr>
        <w:pStyle w:val="TOC1"/>
        <w:tabs>
          <w:tab w:val="clear" w:pos="643"/>
          <w:tab w:val="right" w:pos="10479" w:leader="dot"/>
        </w:tabs>
        <w:suppressAutoHyphens w:val="false"/>
        <w:rPr>
          <w:rFonts w:ascii="Times New Roman" w:hAnsi="Times New Roman"/>
          <w:b w:val="false"/>
          <w:bCs w:val="false"/>
          <w:sz w:val="22"/>
          <w:szCs w:val="22"/>
          <w:lang w:eastAsia="ru-RU"/>
        </w:rPr>
      </w:pPr>
      <w:r>
        <w:rPr>
          <w:b w:val="false"/>
          <w:bCs w:val="false"/>
          <w:sz w:val="22"/>
          <w:szCs w:val="22"/>
          <w:lang w:eastAsia="ru-RU"/>
        </w:rPr>
      </w:r>
      <w:r>
        <w:br w:type="page"/>
      </w:r>
    </w:p>
    <w:p>
      <w:pPr>
        <w:pStyle w:val="Heading1"/>
        <w:keepLines/>
        <w:numPr>
          <w:ilvl w:val="0"/>
        </w:numPr>
        <w:tabs>
          <w:tab w:val="clear" w:pos="0"/>
        </w:tabs>
        <w:suppressAutoHyphens w:val="false"/>
        <w:spacing w:before="0" w:after="0"/>
        <w:ind w:left="0" w:hanging="0"/>
        <w:rPr/>
      </w:pPr>
      <w:bookmarkStart w:id="0" w:name="__RefHeading___Toc26475_2696883597"/>
      <w:bookmarkStart w:id="1" w:name="_Toc138696373"/>
      <w:bookmarkEnd w:id="0"/>
      <w:r>
        <w:rPr>
          <w:rFonts w:cs="Times New Roman" w:ascii="Times New Roman" w:hAnsi="Times New Roman"/>
          <w:sz w:val="24"/>
          <w:szCs w:val="24"/>
          <w:lang w:val="ru-RU"/>
        </w:rPr>
        <w:t>1. Общие сведения</w:t>
      </w:r>
      <w:bookmarkEnd w:id="1"/>
    </w:p>
    <w:p>
      <w:pPr>
        <w:pStyle w:val="Heading4"/>
        <w:numPr>
          <w:ilvl w:val="0"/>
        </w:numPr>
        <w:tabs>
          <w:tab w:val="clear" w:pos="0"/>
        </w:tabs>
        <w:suppressAutoHyphens w:val="false"/>
        <w:spacing w:before="0" w:after="0"/>
        <w:ind w:left="0" w:hanging="0"/>
        <w:rPr/>
      </w:pPr>
      <w:bookmarkStart w:id="2" w:name="__RefHeading___Toc4602_3084032409"/>
      <w:bookmarkStart w:id="3" w:name="_Toc138696375"/>
      <w:bookmarkEnd w:id="2"/>
      <w:r>
        <w:rPr>
          <w:rFonts w:cs="Times New Roman" w:ascii="Times New Roman" w:hAnsi="Times New Roman"/>
        </w:rPr>
        <w:t>1.1.Наименование закупаемой продукции</w:t>
      </w:r>
      <w:bookmarkEnd w:id="3"/>
    </w:p>
    <w:p>
      <w:pPr>
        <w:pStyle w:val="BodyText"/>
        <w:numPr>
          <w:ilvl w:val="0"/>
        </w:numPr>
        <w:shd w:val="clear" w:fill="FFFFFF"/>
        <w:suppressAutoHyphens w:val="false"/>
        <w:spacing w:lineRule="auto" w:line="240" w:before="0" w:after="0"/>
        <w:ind w:left="0" w:right="0" w:hanging="0"/>
        <w:rPr/>
      </w:pPr>
      <w:bookmarkStart w:id="4" w:name="__RefHeading___Toc1222_393417515"/>
      <w:bookmarkEnd w:id="4"/>
      <w:r>
        <w:rPr>
          <w:rStyle w:val="Style9"/>
          <w:rFonts w:eastAsia="Calibri" w:cs="Tahoma" w:ascii="Times New Roman" w:hAnsi="Times New Roman"/>
          <w:i w:val="false"/>
          <w:iCs w:val="false"/>
          <w:color w:val="000000"/>
          <w:sz w:val="24"/>
          <w:szCs w:val="24"/>
          <w:shd w:fill="FFFFFF" w:val="clear"/>
          <w:lang w:val="ru-RU" w:eastAsia="en-US" w:bidi="ar-SA"/>
        </w:rPr>
        <w:t>ОКПД2 32.99.11.110 Приобретен</w:t>
      </w:r>
      <w:r>
        <w:rPr>
          <w:rStyle w:val="Style9"/>
          <w:rFonts w:ascii="Times New Roman" w:hAnsi="Times New Roman"/>
          <w:i w:val="false"/>
          <w:iCs w:val="false"/>
          <w:sz w:val="24"/>
          <w:szCs w:val="24"/>
          <w:shd w:fill="FFFFFF" w:val="clear"/>
        </w:rPr>
        <w:t>и</w:t>
      </w:r>
      <w:r>
        <w:rPr>
          <w:rStyle w:val="Style9"/>
          <w:rFonts w:eastAsia="Calibri" w:cs="Tahoma" w:ascii="Times New Roman" w:hAnsi="Times New Roman"/>
          <w:i w:val="false"/>
          <w:iCs w:val="false"/>
          <w:color w:val="000000"/>
          <w:sz w:val="24"/>
          <w:szCs w:val="24"/>
          <w:shd w:fill="FFFFFF" w:val="clear"/>
          <w:lang w:val="ru-RU" w:eastAsia="en-US" w:bidi="ar-SA"/>
        </w:rPr>
        <w:t>е</w:t>
      </w:r>
      <w:r>
        <w:rPr>
          <w:rStyle w:val="Style9"/>
          <w:rFonts w:ascii="Times New Roman" w:hAnsi="Times New Roman"/>
          <w:i w:val="false"/>
          <w:iCs w:val="false"/>
          <w:sz w:val="24"/>
          <w:szCs w:val="24"/>
          <w:shd w:fill="FFFFFF" w:val="clear"/>
        </w:rPr>
        <w:t xml:space="preserve"> материалов для обеспечения мероприятий ГО и ЧС Филиала ПАО "РусГидро"-"Каскад Кубанских ГЭС".</w:t>
      </w:r>
    </w:p>
    <w:p>
      <w:pPr>
        <w:pStyle w:val="Heading4"/>
        <w:numPr>
          <w:ilvl w:val="0"/>
        </w:numPr>
        <w:tabs>
          <w:tab w:val="clear" w:pos="0"/>
        </w:tabs>
        <w:suppressAutoHyphens w:val="false"/>
        <w:spacing w:lineRule="auto" w:line="240" w:before="0" w:after="0"/>
        <w:ind w:left="0" w:right="0" w:hanging="0"/>
        <w:rPr/>
      </w:pPr>
      <w:bookmarkStart w:id="5" w:name="__RefHeading___Toc26481_2696883597"/>
      <w:bookmarkStart w:id="6" w:name="_Toc138696376"/>
      <w:bookmarkEnd w:id="5"/>
      <w:r>
        <w:rPr>
          <w:rFonts w:cs="Times New Roman" w:ascii="Times New Roman" w:hAnsi="Times New Roman"/>
        </w:rPr>
        <w:t xml:space="preserve">1.2. </w:t>
      </w:r>
      <w:bookmarkStart w:id="7" w:name="_Toc75446569"/>
      <w:bookmarkStart w:id="8" w:name="_Toc46743507"/>
      <w:r>
        <w:rPr>
          <w:rFonts w:cs="Times New Roman" w:ascii="Times New Roman" w:hAnsi="Times New Roman"/>
        </w:rPr>
        <w:t xml:space="preserve">Цель </w:t>
      </w:r>
      <w:bookmarkEnd w:id="8"/>
      <w:r>
        <w:rPr>
          <w:rFonts w:cs="Times New Roman" w:ascii="Times New Roman" w:hAnsi="Times New Roman"/>
        </w:rPr>
        <w:t>использования закупаемой продукции</w:t>
      </w:r>
      <w:bookmarkEnd w:id="6"/>
      <w:bookmarkEnd w:id="7"/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widowControl w:val="false"/>
        <w:tabs>
          <w:tab w:val="clear" w:pos="643"/>
          <w:tab w:val="left" w:pos="426" w:leader="none"/>
        </w:tabs>
        <w:suppressAutoHyphens w:val="false"/>
        <w:spacing w:lineRule="auto" w:line="240" w:before="0" w:after="0"/>
        <w:ind w:left="0" w:right="0" w:hanging="0"/>
        <w:jc w:val="both"/>
        <w:rPr/>
      </w:pPr>
      <w:r>
        <w:rPr>
          <w:rStyle w:val="Style9"/>
          <w:rFonts w:eastAsia="Times New Roman" w:cs="Times New Roman" w:ascii="Times New Roman" w:hAnsi="Times New Roman"/>
          <w:bCs/>
          <w:i w:val="false"/>
          <w:sz w:val="24"/>
          <w:szCs w:val="24"/>
          <w:shd w:fill="FFFFFF" w:val="clear"/>
          <w:lang w:eastAsia="ru-RU"/>
        </w:rPr>
        <w:t>Обеспечение персонала Филиала средствами защиты ГО и ЧС.</w:t>
      </w:r>
    </w:p>
    <w:p>
      <w:pPr>
        <w:pStyle w:val="Heading1"/>
        <w:keepLines/>
        <w:numPr>
          <w:ilvl w:val="0"/>
        </w:numPr>
        <w:tabs>
          <w:tab w:val="clear" w:pos="0"/>
        </w:tabs>
        <w:suppressAutoHyphens w:val="false"/>
        <w:spacing w:before="0" w:after="0"/>
        <w:ind w:left="0" w:hanging="0"/>
        <w:jc w:val="left"/>
        <w:rPr/>
      </w:pPr>
      <w:bookmarkStart w:id="9" w:name="__RefHeading___Toc26485_2696883597"/>
      <w:bookmarkStart w:id="10" w:name="_Toc138696377"/>
      <w:bookmarkEnd w:id="9"/>
      <w:r>
        <w:rPr>
          <w:rFonts w:cs="Times New Roman" w:ascii="Times New Roman" w:hAnsi="Times New Roman"/>
          <w:bCs/>
          <w:sz w:val="24"/>
          <w:szCs w:val="24"/>
        </w:rPr>
        <w:t>2. Требования к продукции</w:t>
      </w:r>
      <w:bookmarkEnd w:id="10"/>
    </w:p>
    <w:p>
      <w:pPr>
        <w:pStyle w:val="Heading4"/>
        <w:numPr>
          <w:ilvl w:val="0"/>
        </w:numPr>
        <w:tabs>
          <w:tab w:val="clear" w:pos="0"/>
        </w:tabs>
        <w:suppressAutoHyphens w:val="false"/>
        <w:spacing w:before="0" w:after="0"/>
        <w:ind w:left="0" w:hanging="0"/>
        <w:rPr/>
      </w:pPr>
      <w:bookmarkStart w:id="11" w:name="__RefHeading___Toc26487_2696883597"/>
      <w:bookmarkStart w:id="12" w:name="_Toc138696378"/>
      <w:bookmarkEnd w:id="11"/>
      <w:r>
        <w:rPr>
          <w:rFonts w:cs="Times New Roman" w:ascii="Times New Roman" w:hAnsi="Times New Roman"/>
        </w:rPr>
        <w:t xml:space="preserve">2.1 </w:t>
      </w:r>
      <w:bookmarkStart w:id="13" w:name="_Toc75446574"/>
      <w:r>
        <w:rPr>
          <w:rFonts w:cs="Times New Roman" w:ascii="Times New Roman" w:hAnsi="Times New Roman"/>
        </w:rPr>
        <w:t xml:space="preserve">Требования к объемам и срокам </w:t>
      </w:r>
      <w:bookmarkEnd w:id="13"/>
      <w:r>
        <w:rPr>
          <w:rFonts w:cs="Times New Roman" w:ascii="Times New Roman" w:hAnsi="Times New Roman"/>
        </w:rPr>
        <w:t>поставки</w:t>
      </w:r>
      <w:bookmarkEnd w:id="12"/>
    </w:p>
    <w:p>
      <w:pPr>
        <w:pStyle w:val="Heading3"/>
        <w:numPr>
          <w:ilvl w:val="0"/>
        </w:numPr>
        <w:tabs>
          <w:tab w:val="clear" w:pos="0"/>
        </w:tabs>
        <w:suppressAutoHyphens w:val="false"/>
        <w:spacing w:before="0" w:after="0"/>
        <w:ind w:left="0" w:hanging="0"/>
        <w:rPr/>
      </w:pPr>
      <w:bookmarkStart w:id="14" w:name="__RefHeading___Toc26489_2696883597"/>
      <w:bookmarkStart w:id="15" w:name="_Toc138696379"/>
      <w:bookmarkStart w:id="16" w:name="_Toc132812762"/>
      <w:bookmarkStart w:id="17" w:name="_Toc132812891"/>
      <w:bookmarkStart w:id="18" w:name="_Toc75446575"/>
      <w:bookmarkEnd w:id="14"/>
      <w:bookmarkEnd w:id="18"/>
      <w:r>
        <w:rPr>
          <w:rFonts w:cs="Times New Roman" w:ascii="Times New Roman" w:hAnsi="Times New Roman"/>
          <w:bCs/>
        </w:rPr>
        <w:t>2.1.1. Перечень и объ</w:t>
      </w:r>
      <w:r>
        <w:rPr>
          <w:rFonts w:cs="Times New Roman" w:ascii="Times New Roman" w:hAnsi="Times New Roman"/>
          <w:bCs/>
          <w:lang w:val="ru-RU"/>
        </w:rPr>
        <w:t>ё</w:t>
      </w:r>
      <w:r>
        <w:rPr>
          <w:rFonts w:cs="Times New Roman" w:ascii="Times New Roman" w:hAnsi="Times New Roman"/>
          <w:bCs/>
        </w:rPr>
        <w:t>м закупаемой продукции</w:t>
      </w:r>
      <w:bookmarkEnd w:id="15"/>
      <w:bookmarkEnd w:id="16"/>
      <w:bookmarkEnd w:id="17"/>
    </w:p>
    <w:p>
      <w:pPr>
        <w:pStyle w:val="Heading1"/>
        <w:keepLines/>
        <w:numPr>
          <w:ilvl w:val="0"/>
        </w:numPr>
        <w:tabs>
          <w:tab w:val="clear" w:pos="0"/>
        </w:tabs>
        <w:suppressAutoHyphens w:val="false"/>
        <w:spacing w:before="0" w:after="0"/>
        <w:ind w:left="0" w:hanging="0"/>
        <w:rPr/>
      </w:pPr>
      <w:bookmarkStart w:id="19" w:name="__RefHeading___Toc26491_2696883597"/>
      <w:bookmarkStart w:id="20" w:name="_Toc138696380"/>
      <w:bookmarkStart w:id="21" w:name="_Toc132812892"/>
      <w:bookmarkStart w:id="22" w:name="_Toc132812763"/>
      <w:bookmarkStart w:id="23" w:name="_Toc51339695"/>
      <w:bookmarkStart w:id="24" w:name="_Toc75446576"/>
      <w:bookmarkEnd w:id="19"/>
      <w:r>
        <w:rPr>
          <w:rFonts w:cs="Times New Roman" w:ascii="Times New Roman" w:hAnsi="Times New Roman"/>
          <w:bCs/>
          <w:sz w:val="24"/>
          <w:szCs w:val="24"/>
        </w:rPr>
        <w:t xml:space="preserve">Таблица 1.1 Перечень </w:t>
      </w:r>
      <w:bookmarkEnd w:id="23"/>
      <w:bookmarkEnd w:id="24"/>
      <w:r>
        <w:rPr>
          <w:rFonts w:cs="Times New Roman" w:ascii="Times New Roman" w:hAnsi="Times New Roman"/>
          <w:bCs/>
          <w:sz w:val="24"/>
          <w:szCs w:val="24"/>
        </w:rPr>
        <w:t>и объём закупаемой продукции</w:t>
      </w:r>
      <w:bookmarkEnd w:id="20"/>
      <w:bookmarkEnd w:id="21"/>
      <w:bookmarkEnd w:id="22"/>
    </w:p>
    <w:tbl>
      <w:tblPr>
        <w:tblW w:w="10455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10"/>
        <w:gridCol w:w="7081"/>
        <w:gridCol w:w="1416"/>
        <w:gridCol w:w="1347"/>
      </w:tblGrid>
      <w:tr>
        <w:trPr>
          <w:trHeight w:val="796" w:hRule="atLeast"/>
        </w:trPr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tabs>
                <w:tab w:val="clear" w:pos="643"/>
                <w:tab w:val="left" w:pos="220" w:leader="none"/>
              </w:tabs>
              <w:suppressAutoHyphens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tabs>
                <w:tab w:val="clear" w:pos="643"/>
                <w:tab w:val="left" w:pos="220" w:leader="none"/>
              </w:tabs>
              <w:suppressAutoHyphens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suppressAutoHyphens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suppressAutoHyphens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suppressAutoHyphens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164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 xml:space="preserve">ротивогаз гражданский фильтрующий с дополни-тельной защитой от хлора и аммиака.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БРИЗ-3306, марка А1В1Е1К1 с лицевой частью БРИЗ 4303 (МГП)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164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умка санитарная для оказания первой помощи ТУ 9338-029-18949911-2016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164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К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омплект индивидуальный медицинский гражданской защиты (9 вложений) КИМГЗ ТУ 9398-025-18949911-2014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164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К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омплект индивидуальный противоожоговый с перевязочным пакетом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164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К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омплект знаков ограждения носимый КЗО-1М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164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К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омплект индивидуальный медицинский гражданской защиты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510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 xml:space="preserve">ндивидуальный противохимический пакет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ИПП-11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510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Т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рубки индикаторные к войсковому прибору химической разведки (ВПХР) ИТ-36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510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Т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рубки индикаторные к войсковому прибору химической разведки (ВПХР) ИТ-51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510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Т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рубки индикаторные к войсковому прибору химической разведки (ВПХР) ИТ-46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61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643"/>
                <w:tab w:val="left" w:pos="510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Times New Roman" w:hAnsi="Times New Roman" w:eastAsia="Calibri" w:cs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08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 xml:space="preserve">ротивопожарный ранец Лесхозснаб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РП-15 Ермак</w:t>
            </w:r>
          </w:p>
        </w:tc>
        <w:tc>
          <w:tcPr>
            <w:tcW w:w="141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uppressAutoHyphens w:val="false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</w:tbl>
    <w:p>
      <w:pPr>
        <w:pStyle w:val="Heading3"/>
        <w:numPr>
          <w:ilvl w:val="2"/>
          <w:numId w:val="3"/>
        </w:numPr>
        <w:suppressAutoHyphens w:val="false"/>
        <w:spacing w:before="0" w:after="0"/>
        <w:rPr/>
      </w:pPr>
      <w:bookmarkStart w:id="25" w:name="__RefHeading___Toc26493_2696883597"/>
      <w:bookmarkStart w:id="26" w:name="_Toc138696381"/>
      <w:bookmarkStart w:id="27" w:name="_Toc132812764"/>
      <w:bookmarkStart w:id="28" w:name="_Toc132812893"/>
      <w:bookmarkStart w:id="29" w:name="_Toc51339696"/>
      <w:bookmarkStart w:id="30" w:name="_Toc75446578"/>
      <w:bookmarkEnd w:id="25"/>
      <w:r>
        <w:rPr>
          <w:rFonts w:cs="Times New Roman" w:ascii="Times New Roman" w:hAnsi="Times New Roman"/>
          <w:lang w:val="ru-RU"/>
        </w:rPr>
        <w:t xml:space="preserve">2.1.2. Требования </w:t>
      </w:r>
      <w:bookmarkEnd w:id="29"/>
      <w:bookmarkEnd w:id="30"/>
      <w:r>
        <w:rPr>
          <w:rFonts w:cs="Times New Roman" w:ascii="Times New Roman" w:hAnsi="Times New Roman"/>
          <w:lang w:val="ru-RU"/>
        </w:rPr>
        <w:t>к срокам поставки продукции и оказания сопутствующих услуг</w:t>
      </w:r>
      <w:bookmarkEnd w:id="26"/>
      <w:bookmarkEnd w:id="27"/>
      <w:bookmarkEnd w:id="28"/>
    </w:p>
    <w:p>
      <w:pPr>
        <w:pStyle w:val="Heading1"/>
        <w:keepLines/>
        <w:numPr>
          <w:ilvl w:val="0"/>
        </w:numPr>
        <w:tabs>
          <w:tab w:val="clear" w:pos="0"/>
        </w:tabs>
        <w:suppressAutoHyphens w:val="false"/>
        <w:spacing w:before="0" w:after="0"/>
        <w:ind w:left="0" w:hanging="0"/>
        <w:rPr/>
      </w:pPr>
      <w:bookmarkStart w:id="31" w:name="__RefHeading___Toc26495_2696883597"/>
      <w:bookmarkStart w:id="32" w:name="_Toc132812765"/>
      <w:bookmarkStart w:id="33" w:name="_Toc132812894"/>
      <w:bookmarkStart w:id="34" w:name="_Toc75446579"/>
      <w:bookmarkStart w:id="35" w:name="_Toc138696382"/>
      <w:bookmarkStart w:id="36" w:name="_Toc51339697"/>
      <w:bookmarkStart w:id="37" w:name="_Toc50125127"/>
      <w:bookmarkStart w:id="38" w:name="_Toc501251261"/>
      <w:bookmarkEnd w:id="31"/>
      <w:bookmarkEnd w:id="38"/>
      <w:r>
        <w:rPr>
          <w:rFonts w:cs="Times New Roman" w:ascii="Times New Roman" w:hAnsi="Times New Roman"/>
          <w:sz w:val="24"/>
          <w:szCs w:val="24"/>
        </w:rPr>
        <w:t xml:space="preserve">Таблица </w:t>
      </w:r>
      <w:r>
        <w:rPr>
          <w:rFonts w:cs="Times New Roman" w:ascii="Times New Roman" w:hAnsi="Times New Roman"/>
          <w:sz w:val="24"/>
          <w:szCs w:val="24"/>
          <w:lang w:val="ru-RU"/>
        </w:rPr>
        <w:t>2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ru-RU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bookmarkStart w:id="39" w:name="_Hlk50465284"/>
      <w:r>
        <w:rPr>
          <w:rFonts w:cs="Times New Roman" w:ascii="Times New Roman" w:hAnsi="Times New Roman"/>
          <w:sz w:val="24"/>
          <w:szCs w:val="24"/>
        </w:rPr>
        <w:t xml:space="preserve">Требования по срокам </w:t>
      </w:r>
      <w:bookmarkEnd w:id="36"/>
      <w:bookmarkEnd w:id="37"/>
      <w:bookmarkEnd w:id="39"/>
      <w:r>
        <w:rPr>
          <w:rFonts w:cs="Times New Roman" w:ascii="Times New Roman" w:hAnsi="Times New Roman"/>
          <w:sz w:val="24"/>
          <w:szCs w:val="24"/>
          <w:lang w:val="ru-RU"/>
        </w:rPr>
        <w:t>поставки продукции</w:t>
      </w:r>
      <w:bookmarkEnd w:id="32"/>
      <w:bookmarkEnd w:id="33"/>
      <w:bookmarkEnd w:id="34"/>
      <w:bookmarkEnd w:id="35"/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</w:p>
    <w:tbl>
      <w:tblPr>
        <w:tblW w:w="10455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10"/>
        <w:gridCol w:w="6068"/>
        <w:gridCol w:w="2153"/>
        <w:gridCol w:w="1623"/>
      </w:tblGrid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643"/>
                <w:tab w:val="left" w:pos="220" w:leader="none"/>
              </w:tabs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Наименование продукции / партии продукции</w:t>
            </w:r>
          </w:p>
        </w:tc>
        <w:tc>
          <w:tcPr>
            <w:tcW w:w="2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Требования к началу срока поставки продукции</w:t>
            </w:r>
          </w:p>
        </w:tc>
        <w:tc>
          <w:tcPr>
            <w:tcW w:w="1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643"/>
                <w:tab w:val="left" w:pos="220" w:leader="none"/>
              </w:tabs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 xml:space="preserve">ротивогаз гражданский фильтрующий с дополнительной защитой от хлора и аммиака.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БРИЗ-3306, марка А1В1Е1К1 с лицевой частью БРИЗ 4303 (МГП)</w:t>
            </w:r>
          </w:p>
        </w:tc>
        <w:tc>
          <w:tcPr>
            <w:tcW w:w="215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С даты подписания</w:t>
            </w:r>
            <w:r>
              <w:rPr>
                <w:rFonts w:cs="Times New Roman" w:ascii="Times New Roman" w:hAnsi="Times New Roman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договора</w:t>
            </w:r>
          </w:p>
        </w:tc>
        <w:tc>
          <w:tcPr>
            <w:tcW w:w="16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15.12.2026</w:t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643"/>
                <w:tab w:val="left" w:pos="220" w:leader="none"/>
              </w:tabs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умка санитарная для оказания первой помощи ТУ 9338-029-18949911-2016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643"/>
                <w:tab w:val="left" w:pos="220" w:leader="none"/>
              </w:tabs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К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омплект индивидуальный медицинский гражданской защиты (9 вложений) КИМГЗ ТУ 9398-025-18949911-2014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643"/>
                <w:tab w:val="left" w:pos="220" w:leader="none"/>
              </w:tabs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К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омплект индивидуальный противоожоговый с перевязочным пакетом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643"/>
                <w:tab w:val="left" w:pos="220" w:leader="none"/>
              </w:tabs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К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омплект знаков ограждения носимый КЗО-1М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643"/>
                <w:tab w:val="left" w:pos="220" w:leader="none"/>
              </w:tabs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К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омплект индивидуальный медицинский гражданской защиты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643"/>
                <w:tab w:val="left" w:pos="220" w:leader="none"/>
              </w:tabs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И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 xml:space="preserve">ндивидуальный противохимический пакет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ИПП-11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643"/>
                <w:tab w:val="left" w:pos="510" w:leader="none"/>
              </w:tabs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Т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рубки индикаторные к войсковому прибору химической разведки (ВПХР) ИТ-36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643"/>
                <w:tab w:val="left" w:pos="510" w:leader="none"/>
              </w:tabs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Т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рубки индикаторные к войсковому прибору химической разведки (ВПХР) ИТ-51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643"/>
                <w:tab w:val="left" w:pos="510" w:leader="none"/>
              </w:tabs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Т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рубки индикаторные к войсковому прибору химической разведки (ВПХР) ИТ-46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  <w:tr>
        <w:trPr/>
        <w:tc>
          <w:tcPr>
            <w:tcW w:w="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643"/>
                <w:tab w:val="left" w:pos="510" w:leader="none"/>
              </w:tabs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szCs w:val="24"/>
                <w:u w:val="none"/>
                <w:em w:val="none"/>
              </w:rPr>
              <w:t>П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 xml:space="preserve">ротивопожарный ранец Лесхозснаб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РП-15 Ермак</w:t>
            </w:r>
          </w:p>
        </w:tc>
        <w:tc>
          <w:tcPr>
            <w:tcW w:w="215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  <w:tc>
          <w:tcPr>
            <w:tcW w:w="162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</w:r>
          </w:p>
        </w:tc>
      </w:tr>
    </w:tbl>
    <w:p>
      <w:pPr>
        <w:sectPr>
          <w:headerReference w:type="even" r:id="rId2"/>
          <w:headerReference w:type="default" r:id="rId3"/>
          <w:footerReference w:type="even" r:id="rId4"/>
          <w:footerReference w:type="default" r:id="rId5"/>
          <w:type w:val="nextPage"/>
          <w:pgSz w:w="11906" w:h="16838"/>
          <w:pgMar w:left="993" w:right="424" w:gutter="0" w:header="284" w:top="426" w:footer="380" w:bottom="709"/>
          <w:pgNumType w:fmt="decimal"/>
          <w:formProt w:val="false"/>
          <w:textDirection w:val="lrTb"/>
          <w:docGrid w:type="default" w:linePitch="360" w:charSpace="16384"/>
        </w:sectPr>
      </w:pPr>
    </w:p>
    <w:p>
      <w:pPr>
        <w:pStyle w:val="Heading1"/>
        <w:numPr>
          <w:ilvl w:val="0"/>
        </w:numPr>
        <w:tabs>
          <w:tab w:val="clear" w:pos="0"/>
        </w:tabs>
        <w:suppressAutoHyphens w:val="false"/>
        <w:spacing w:before="0" w:after="0"/>
        <w:ind w:left="0" w:hanging="0"/>
        <w:rPr/>
      </w:pPr>
      <w:bookmarkStart w:id="40" w:name="__RefHeading___Toc26497_2696883597"/>
      <w:bookmarkStart w:id="41" w:name="_Toc138696383"/>
      <w:bookmarkEnd w:id="40"/>
      <w:r>
        <w:rPr>
          <w:rFonts w:eastAsia="Times New Roman" w:cs="Times New Roman" w:ascii="Times New Roman" w:hAnsi="Times New Roman"/>
          <w:bCs/>
          <w:sz w:val="24"/>
          <w:szCs w:val="24"/>
          <w:lang w:val="ru-RU" w:eastAsia="ru-RU"/>
        </w:rPr>
        <w:t>2.2. Требования к качеству продукции</w:t>
      </w:r>
      <w:bookmarkEnd w:id="41"/>
    </w:p>
    <w:p>
      <w:pPr>
        <w:pStyle w:val="Heading1"/>
        <w:numPr>
          <w:ilvl w:val="0"/>
        </w:numPr>
        <w:tabs>
          <w:tab w:val="clear" w:pos="0"/>
        </w:tabs>
        <w:suppressAutoHyphens w:val="false"/>
        <w:spacing w:before="0" w:after="0"/>
        <w:ind w:left="0" w:hanging="0"/>
        <w:rPr/>
      </w:pPr>
      <w:bookmarkStart w:id="42" w:name="__RefHeading___Toc26499_2696883597"/>
      <w:bookmarkStart w:id="43" w:name="_Toc132812896"/>
      <w:bookmarkStart w:id="44" w:name="_Toc138696384"/>
      <w:bookmarkStart w:id="45" w:name="_Toc132812767"/>
      <w:bookmarkEnd w:id="42"/>
      <w:r>
        <w:rPr>
          <w:rFonts w:eastAsia="Times New Roman" w:cs="Times New Roman" w:ascii="Times New Roman" w:hAnsi="Times New Roman"/>
          <w:bCs/>
          <w:sz w:val="24"/>
          <w:szCs w:val="24"/>
          <w:lang w:val="ru-RU" w:eastAsia="ru-RU"/>
        </w:rPr>
        <w:t>Таблица 3. Требования к качеству продукции.</w:t>
      </w:r>
      <w:bookmarkEnd w:id="43"/>
      <w:bookmarkEnd w:id="44"/>
      <w:bookmarkEnd w:id="45"/>
    </w:p>
    <w:p>
      <w:pPr>
        <w:pStyle w:val="Normal"/>
        <w:suppressAutoHyphens w:val="false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uppressAutoHyphens w:val="false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Наименование продукции: Приобретение материалов для обеспечения мероприятий ГО и ЧС Филиала ПАО "РусГидро"-"Каскад Кубанских ГЭС"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.</w:t>
      </w:r>
    </w:p>
    <w:p>
      <w:pPr>
        <w:pStyle w:val="Normal"/>
        <w:suppressAutoHyphens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228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9"/>
        <w:gridCol w:w="3345"/>
        <w:gridCol w:w="6116"/>
        <w:gridCol w:w="1640"/>
        <w:gridCol w:w="2039"/>
        <w:gridCol w:w="1428"/>
      </w:tblGrid>
      <w:tr>
        <w:trPr/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Требование заказчика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4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11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643"/>
                <w:tab w:val="left" w:pos="4417" w:leader="none"/>
              </w:tabs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Противогаз гражданский фильтрующий с дополнительной защитой от хлора и аммиака. БРИЗ-3306, марка А1В1Е1К1 с лицевой частью БРИЗ 4303 (МГП)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 xml:space="preserve">БРИЗ-3306, марка А1В1Е1К1 с лицевой частью БРИЗ 4303 (МГП)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с ФК «БРИЗ®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КБ-М» A1B1E1K1SXHgP3 R D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начальное сопротивление воздушному потоку противогазов при расходе воздуха 30 дм куб./мин, не более - 200 (20,0) Па (мм.вод.ст.);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коэффициент подсоса под лицевую часть по гексафториду серы/масляному туману (СМТ), не более 0,05/0,0001 %;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коэффициент проницаемости по масляному туману (СМТ), не более 0,0001%;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площадь поля зрения, не менее/ограничение поля зрения, не более 70/30%;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масса противогазов без сумки, не более 1100 г.;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температурный диапазон использования от -40 до +40 °C;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гарантийный срок хранения, не менее 13 лет;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коэффициент защиты от радиоактивных аэрозолей, не менее 500 (0,2%).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/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Сумка санитарная для оказания первой помощи ТУ 9338-029-18949911-2016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ТУ 9338-029-18949911-2016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с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умка санитарная должна иметь сертификаты соответствия РоссRu.03.ЭЧ17.Н 0161 и РоссRu.ИМ 27.H00103;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санитарная сумка должна быть изготовлена из материала, обеспечивающего сохранность входящего в нее имущества, и име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</w:rPr>
              <w:t>ть: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- 2 больших отдела для перевязочных пакетов, шин, жгутов и лекарственных средств;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- несколько маленьких разделенных перегородками карманчиков, в которые укладываются режущие приспособления, нитки, булавки, санитарно-гигиенические составы и другие необходимые элементы.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 xml:space="preserve">- в состав сумки должны входить: </w:t>
            </w:r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Аммиак 10% 10мл — 1шт;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 xml:space="preserve"> Йод спиртовой 5% </w:t>
            </w:r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10 мл — 2 шт; Гидрокарбонат натрия для внутрен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него приема 10 гр. - 5 шт; Бинты марлевые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стерильные 5х10 — 10шт. , 7Х14 — 5 шт.; Вата хирургическая гигроскопическая 50г. - 1шт., 250г. - 1шт.; Пакет перевязочный с 1 подушкой — 1шт.; Лейкопластырь 3х450 см. - 1шт., 3х500 см. - 1шт.; Салфетки марлевые стерильные медицинские 25х29 — 10шт., 16х14 — 20шт.; Дополнительно: еревязочная косынка, булавка безопасная, блокнот, кровоостанавливающий жгут, карандаш, ножницы, нож, шприцы 1-2мл, полиэтиленовый мешок с зажимом.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/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Комплект индивидуальный медицинский гражданской защиты (9 вложений) КИМГЗ ТУ 9398-025-18949911-2014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КИМГЗ ТУ 9398-025-18949911-2014</w:t>
            </w:r>
          </w:p>
          <w:p>
            <w:pPr>
              <w:pStyle w:val="BodyText"/>
              <w:widowControl w:val="false"/>
              <w:numPr>
                <w:ilvl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bookmarkStart w:id="46" w:name="__RefHeading___Toc1224_393417515"/>
            <w:bookmarkEnd w:id="46"/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lang w:val="ru-RU" w:eastAsia="en-US" w:bidi="ar-SA"/>
              </w:rPr>
              <w:t>Комплектация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устройство для проведения искусственного дыхания</w:t>
              <w:br/>
              <w:t>«рот-устройство-рот» одноразовое пленочное;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жгут кровоостанавливающий матерчато-эластичный;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пакет перевязочный медицинский стерильный;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салфетка антисептическая из нетканого материала с перекисью водорода;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средство перевязочное гидрогелевое противоожоговое стерильное с охлаждающим и обезболивающим действием (не менее 20 см x 24 см);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лейкопластырь рулонный (не менее 2 см x 5 м);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перчатки медицинские нестерильные, смотровые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Средство индивидуаль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но</w:t>
            </w: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е 1 пара;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маска медицинская нестерильная трехслойная из нетканого материала с резинками или с завязками 1шт.;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салфетка антисептическая из нетканого материала спиртовая1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/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Комплект индивидуальный противоjжоговый с перевязочным пакетом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lang w:val="ru-RU" w:eastAsia="en-US" w:bidi="ar-SA"/>
              </w:rPr>
              <w:t>Комплектация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- средство перевязочное гидрогелевое противоожоговое «ЛИКОЗОЛЬ-ГЕЛЬ», стерильное (30 г или 10 г)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1 шт./3 шт.;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- средство перевязочное гидрогелевое противоожоговое «ЛИКОЗОЛЬ-СП», стерильное (24 см х 24 см)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1 шт.;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- пакет перевязочный стерильный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1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/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Комплект знаков ограждения носимый КЗО-1М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Комплект поставки КЗО-1М:</w:t>
            </w:r>
          </w:p>
          <w:p>
            <w:pPr>
              <w:pStyle w:val="BodyText"/>
              <w:widowControl w:val="false"/>
              <w:numPr>
                <w:ilvl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- щит (знак ограждения) 10 шт.;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- стойка10 шт.;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- фонарь электроосветительный 5 шт.;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- штырь установочный 1 шт.;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- карандаш восковой 1 шт.;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- чехол для транспортировки 1 шт.;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- паспорт изделия1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/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Комплект индивидуальный медицинский гражданской защиты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КИМГЗ коллективной защиты</w:t>
            </w:r>
          </w:p>
          <w:p>
            <w:pPr>
              <w:pStyle w:val="BodyText"/>
              <w:widowControl w:val="false"/>
              <w:numPr>
                <w:ilvl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bookmarkStart w:id="47" w:name="__RefHeading___Toc1226_393417515"/>
            <w:bookmarkEnd w:id="47"/>
            <w:r>
              <w:rPr>
                <w:rFonts w:eastAsia="Calibri" w:cs="Tahoma" w:ascii="Times New Roman" w:hAnsi="Times New Roman"/>
                <w:color w:val="000000"/>
                <w:sz w:val="20"/>
                <w:szCs w:val="20"/>
                <w:lang w:val="ru-RU" w:eastAsia="en-US" w:bidi="ar-SA"/>
              </w:rPr>
              <w:t>Комплектация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устройство для проведения искусственного дыхания</w:t>
              <w:br/>
              <w:t>«рот-устройство-рот» одноразовое пленочное;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жгут кровоостанавливающий матерчато-эластичный;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пакет перевязочный медицинский стерильный;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салфетка антисептическая из нетканого материала с перекисью водорода;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средство перевязочное гидрогелевое противоожоговое стерильное с охлаждающим и обезболивающим действием (не менее 20 см x 24 см);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лейкопластырь рулонный (не менее 2 см x 5 м);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перчатки медицинские нестерильные, смотровые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Средство индивидуаль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но</w:t>
            </w: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е 1 пара;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маска медицинская нестерильная трехслойная из нетканого материала с резинками или с завязками 1шт.;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- салфетка антисептическая из нетканого материала спиртовая1 шт.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/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Индивидуальный противохимический пакет ИПП-11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>ИПП-11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shd w:fill="auto" w:val="clear"/>
                <w:em w:val="none"/>
              </w:rPr>
              <w:t>п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редназначен для профилактики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поражений кожных покровов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капельно-жидкими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отравляющими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химически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опасными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веществами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через открытые участки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кожи, а также для нейтрализации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этих веществ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на коже 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одежде человека, СИЗОД 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инструментах в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интервале температур от +50С до -20С. При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заблаговременном нанесении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на кожу защитный эффект сохраняется в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течение 24 часов.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</w:rPr>
              <w:t xml:space="preserve"> </w:t>
            </w:r>
            <w:r>
              <w:rPr>
                <w:rStyle w:val="Strong"/>
                <w:rFonts w:eastAsia="Calibri" w:cs="Tahoma" w:ascii="Times New Roman" w:hAnsi="Times New Roman"/>
                <w:b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Форма выпуска: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герметичный пакет, содержит тампон из нетканого материала, пропитанный противохимическим средством. На одну обработку открытых участков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кожи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ru-RU" w:eastAsia="en-US" w:bidi="ar-SA"/>
              </w:rPr>
              <w:t>используется один пакет.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/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Трубки индикаторные к войсковому прибору химической разведки (ВПХР) ИТ-36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shd w:fill="auto" w:val="clear"/>
                <w:lang w:val="ru-RU" w:eastAsia="en-US" w:bidi="ar-SA"/>
              </w:rPr>
              <w:t>Индикаторные трубки к ВПХР: ИТ-36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Индикаторные трубки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 xml:space="preserve">предназначены для измерения концентраций вредных веществ в воздухе. Входят в комплект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войскового прибора ВПХР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.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Индикаторные трубки (ИТ), отличаются от традиционных стеклянных трубок использованием эластичного пластикового корпуса, а также применением в качестве сорбента нетканых материалов (полиэфирные волокна).По своим тактико-аналитическим характеристикам, стоимостным и эргономическим показателям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Индикаторные трубки</w:t>
            </w: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в пластиковом корпусе превосходят традиционные стеклянные трубки.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Индикаторная трубка ИТ-36</w:t>
            </w: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выявляет мышьяковистый водород, сероводород, окислы азота, фосген, хлорциан и т.д.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/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-10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Трубки индикаторные к войсковому прибору химической разведки (ВПХР) ИТ-51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shd w:fill="auto" w:val="clear"/>
                <w:lang w:val="ru-RU" w:eastAsia="en-US" w:bidi="ar-SA"/>
              </w:rPr>
              <w:t>Индикаторные трубки к ВПХР: ИТ-51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Индикаторные трубки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 xml:space="preserve">предназначены для измерения концентраций вредных веществ в воздухе. Входят в комплект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войскового прибора ВПХР.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Индикаторные трубки (ИТ), отличаются от традиционных стеклянных трубок использованием эластичного пластикового корпуса, а также применением в качестве сорбента нетканых материалов (полиэфирные волокна). По своим тактико-аналитическим характеристикам, стоимостным и эргономическим показателям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Индикаторные трубки</w:t>
            </w: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в пластиковом корпусе превосходят традиционные стеклянные трубки.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Индикаторные трубки ИТ-51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ru-RU" w:eastAsia="en-US" w:bidi="ar-SA"/>
              </w:rPr>
              <w:t>работают на на зарин, зоман, V-газы.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Трубки индикаторные к войсковому прибору химической разведки (ВПХР) ИТ-46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lang w:val="ru-RU" w:eastAsia="en-US" w:bidi="ar-SA"/>
              </w:rPr>
              <w:t>Индикаторные трубки к ВПХР: ИТ-46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en-US" w:bidi="ar-SA"/>
              </w:rPr>
              <w:t>Индикаторные трубки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en-US" w:bidi="ar-SA"/>
              </w:rPr>
              <w:t xml:space="preserve">предназначены для измерения концентраций вредных веществ в воздухе. Входят в комплект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 xml:space="preserve">войскового прибора ВПХР. 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en-US" w:bidi="ar-SA"/>
              </w:rPr>
              <w:t>Индикаторные трубки (ИТ), отличаются от традиционных стеклянных трубок использованием эластичного пластикового корпуса, а также применением в качестве сорбента нетканых материалов (полиэфирные волокна). По своим тактико-аналитическим характеристикам, стоимостным и эргономическим показателям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en-US" w:bidi="ar-SA"/>
              </w:rPr>
              <w:t>Индикаторные трубки</w:t>
            </w: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en-US" w:bidi="ar-SA"/>
              </w:rPr>
              <w:t>в пластиковом корпусе превосходят традиционные стеклянные трубки.</w:t>
            </w:r>
          </w:p>
          <w:p>
            <w:pPr>
              <w:pStyle w:val="BodyText"/>
              <w:widowControl w:val="false"/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rong2"/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en-US" w:bidi="ar-SA"/>
              </w:rPr>
              <w:t>Индикаторные трубки ИТ-46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ahoma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en-US" w:bidi="ar-SA"/>
              </w:rPr>
              <w:t>нацелены на определение фосгена, дифосгена, синильной кислоты, хлорциана</w:t>
            </w:r>
            <w:r>
              <w:rPr>
                <w:rFonts w:eastAsia="Calibri" w:cs="Tahoma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em w:val="none"/>
                <w:lang w:val="ru-RU" w:eastAsia="en-US" w:bidi="ar-SA"/>
              </w:rPr>
              <w:t>.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Противопожарный ранец Лесхозснаб РП-15 Ермак</w:t>
            </w:r>
          </w:p>
        </w:tc>
        <w:tc>
          <w:tcPr>
            <w:tcW w:w="61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val="ru-RU" w:eastAsia="en-US" w:bidi="ar-SA"/>
              </w:rPr>
              <w:t>РП-15 Ермак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0"/>
                <w:szCs w:val="20"/>
                <w:u w:val="none"/>
                <w:em w:val="none"/>
                <w:lang w:val="ru-RU" w:eastAsia="en-US" w:bidi="ar-SA"/>
              </w:rPr>
              <w:t>Противопожарный ранец Лесхозснаб РП-15 Ермак 4631140677386 используется для тушения очагов возгорания лесных пожаров. Модель представляет собой емкость внушительно размера (15 л) с боковыми ребрами жесткости, которая имеет съемный поддон для установки на горизонтальную поверхность. Теплоизолирующая прокладка препятствует переохлаждению спины во время тушения.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en-US" w:bidi="ar-SA"/>
              </w:rPr>
              <w:t>- Расчётная производительность - 2.25 л/мин;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en-US" w:bidi="ar-SA"/>
              </w:rPr>
              <w:t>- Длина компактной струи - 8.5 м;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en-US" w:bidi="ar-SA"/>
              </w:rPr>
              <w:t>- Длина распыленной струи - 3,5 м;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en-US" w:bidi="ar-SA"/>
              </w:rPr>
              <w:t>- Емкость - 15 л;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en-US" w:bidi="ar-SA"/>
              </w:rPr>
              <w:t>- Масса сухого ранца - 2.15 кг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uppressAutoHyphens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eastAsia="Calibri" w:cs="Tahoma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val="ru-RU" w:eastAsia="en-US" w:bidi="ar-SA"/>
              </w:rPr>
              <w:t>- Масса снаряженного ранца - 17.15 кг</w:t>
            </w: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2"/>
        </w:numPr>
        <w:suppressAutoHyphens w:val="false"/>
        <w:spacing w:before="0" w:after="60"/>
        <w:ind w:left="426" w:hanging="0"/>
        <w:jc w:val="both"/>
        <w:rPr/>
      </w:pPr>
      <w:r>
        <w:rPr>
          <w:rFonts w:eastAsia="Calibri" w:cs="Times New Roman" w:ascii="Times New Roman" w:hAnsi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  <w:t>2.2.1. В составе заявки необходимо предоставить:</w:t>
      </w:r>
    </w:p>
    <w:p>
      <w:pPr>
        <w:pStyle w:val="Normal"/>
        <w:numPr>
          <w:ilvl w:val="0"/>
          <w:numId w:val="2"/>
        </w:numPr>
        <w:suppressAutoHyphens w:val="false"/>
        <w:spacing w:before="0" w:after="60"/>
        <w:jc w:val="both"/>
        <w:rPr/>
      </w:pPr>
      <w:r>
        <w:rPr>
          <w:rFonts w:eastAsia="Calibri" w:cs="Times New Roman" w:ascii="Times New Roman" w:hAnsi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  <w:tab/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</w:r>
    </w:p>
    <w:p>
      <w:pPr>
        <w:sectPr>
          <w:headerReference w:type="even" r:id="rId6"/>
          <w:headerReference w:type="default" r:id="rId7"/>
          <w:headerReference w:type="first" r:id="rId8"/>
          <w:footerReference w:type="even" r:id="rId9"/>
          <w:footerReference w:type="default" r:id="rId10"/>
          <w:footerReference w:type="first" r:id="rId11"/>
          <w:type w:val="nextPage"/>
          <w:pgSz w:orient="landscape" w:w="16838" w:h="11906"/>
          <w:pgMar w:left="1134" w:right="444" w:gutter="0" w:header="284" w:top="568" w:footer="441" w:bottom="709"/>
          <w:pgNumType w:fmt="decimal"/>
          <w:formProt w:val="false"/>
          <w:titlePg/>
          <w:textDirection w:val="lrTb"/>
          <w:docGrid w:type="default" w:linePitch="240" w:charSpace="16384"/>
        </w:sectPr>
        <w:pStyle w:val="ListParagraph"/>
        <w:widowControl/>
        <w:numPr>
          <w:ilvl w:val="0"/>
          <w:numId w:val="2"/>
        </w:numPr>
        <w:suppressAutoHyphens w:val="false"/>
        <w:overflowPunct w:val="false"/>
        <w:bidi w:val="0"/>
        <w:spacing w:before="0" w:after="60"/>
        <w:ind w:left="0" w:right="0" w:hanging="0"/>
        <w:contextualSpacing w:val="false"/>
        <w:jc w:val="both"/>
        <w:rPr/>
      </w:pPr>
      <w:r>
        <w:rPr>
          <w:rFonts w:eastAsia="Calibri" w:cs="Times New Roman" w:ascii="Times New Roman" w:hAnsi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  <w:t>Техническое предложение, подготовленное в соответствии с настоящими техническими требованиями по форме, представленной в документации о закупке.</w:t>
      </w:r>
    </w:p>
    <w:p>
      <w:pPr>
        <w:pStyle w:val="ListParagraph"/>
        <w:widowControl/>
        <w:numPr>
          <w:ilvl w:val="0"/>
          <w:numId w:val="2"/>
        </w:numPr>
        <w:suppressAutoHyphens w:val="false"/>
        <w:overflowPunct w:val="false"/>
        <w:bidi w:val="0"/>
        <w:spacing w:before="0" w:after="60"/>
        <w:ind w:left="0" w:right="0" w:firstLine="454"/>
        <w:contextualSpacing w:val="false"/>
        <w:jc w:val="both"/>
        <w:rPr/>
      </w:pPr>
      <w:bookmarkStart w:id="48" w:name="_Toc138696390"/>
      <w:bookmarkStart w:id="49" w:name="_Toc132812768"/>
      <w:r>
        <w:rPr>
          <w:rFonts w:eastAsia="Calibri" w:cs="Times New Roman" w:ascii="Times New Roman" w:hAnsi="Times New Roman"/>
          <w:b/>
          <w:bCs/>
          <w:color w:val="auto"/>
          <w:sz w:val="24"/>
          <w:szCs w:val="24"/>
          <w:lang w:val="ru-RU" w:eastAsia="en-US" w:bidi="ar-SA"/>
        </w:rPr>
        <w:t xml:space="preserve">3. Требования к документации по ценообразованию на этапе </w:t>
      </w:r>
      <w:bookmarkEnd w:id="48"/>
      <w:bookmarkEnd w:id="49"/>
      <w:r>
        <w:rPr>
          <w:rFonts w:eastAsia="Calibri" w:cs="Times New Roman" w:ascii="Times New Roman" w:hAnsi="Times New Roman"/>
          <w:b/>
          <w:bCs/>
          <w:color w:val="auto"/>
          <w:sz w:val="24"/>
          <w:szCs w:val="24"/>
          <w:lang w:val="ru-RU" w:eastAsia="en-US" w:bidi="ar-SA"/>
        </w:rPr>
        <w:t>закупки</w:t>
      </w:r>
    </w:p>
    <w:p>
      <w:pPr>
        <w:pStyle w:val="ListParagraph"/>
        <w:widowControl/>
        <w:numPr>
          <w:ilvl w:val="0"/>
          <w:numId w:val="2"/>
        </w:numPr>
        <w:suppressAutoHyphens w:val="false"/>
        <w:overflowPunct w:val="false"/>
        <w:bidi w:val="0"/>
        <w:spacing w:before="0" w:after="60"/>
        <w:ind w:left="0" w:right="0" w:firstLine="454"/>
        <w:contextualSpacing w:val="false"/>
        <w:jc w:val="both"/>
        <w:rPr/>
      </w:pPr>
      <w:bookmarkStart w:id="50" w:name="_Toc132812769"/>
      <w:bookmarkStart w:id="51" w:name="_Toc132812898"/>
      <w:bookmarkStart w:id="52" w:name="_Toc138696391"/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 xml:space="preserve">3.1. 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</w:t>
      </w:r>
      <w:r>
        <w:rPr>
          <w:rFonts w:cs="Times New Roman" w:ascii="Times New Roman" w:hAnsi="Times New Roman"/>
          <w:b w:val="false"/>
          <w:sz w:val="24"/>
          <w:szCs w:val="24"/>
          <w:lang w:val="ru-RU"/>
        </w:rPr>
        <w:t>.</w:t>
      </w:r>
      <w:bookmarkEnd w:id="50"/>
      <w:bookmarkEnd w:id="51"/>
      <w:bookmarkEnd w:id="52"/>
    </w:p>
    <w:p>
      <w:pPr>
        <w:pStyle w:val="ListParagraph"/>
        <w:widowControl/>
        <w:numPr>
          <w:ilvl w:val="0"/>
          <w:numId w:val="2"/>
        </w:numPr>
        <w:suppressAutoHyphens w:val="false"/>
        <w:overflowPunct w:val="false"/>
        <w:bidi w:val="0"/>
        <w:spacing w:before="0" w:after="60"/>
        <w:ind w:left="0" w:right="0" w:firstLine="454"/>
        <w:contextualSpacing w:val="false"/>
        <w:jc w:val="both"/>
        <w:rPr/>
      </w:pPr>
      <w:bookmarkStart w:id="53" w:name="_Toc132812770"/>
      <w:bookmarkStart w:id="54" w:name="_Toc138696392"/>
      <w:bookmarkStart w:id="55" w:name="_Toc132812899"/>
      <w:r>
        <w:rPr>
          <w:rFonts w:cs="Times New Roman" w:ascii="Times New Roman" w:hAnsi="Times New Roman"/>
          <w:b w:val="false"/>
          <w:bCs/>
          <w:iCs/>
          <w:sz w:val="24"/>
          <w:szCs w:val="24"/>
        </w:rPr>
        <w:t>3.2.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 w:val="false"/>
          <w:bCs/>
          <w:iCs/>
          <w:spacing w:val="-2"/>
          <w:sz w:val="24"/>
          <w:szCs w:val="24"/>
        </w:rPr>
        <w:t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  <w:bookmarkEnd w:id="53"/>
      <w:bookmarkEnd w:id="54"/>
      <w:bookmarkEnd w:id="55"/>
    </w:p>
    <w:p>
      <w:pPr>
        <w:pStyle w:val="ListParagraph"/>
        <w:widowControl/>
        <w:numPr>
          <w:ilvl w:val="0"/>
          <w:numId w:val="2"/>
        </w:numPr>
        <w:suppressAutoHyphens w:val="false"/>
        <w:overflowPunct w:val="false"/>
        <w:bidi w:val="0"/>
        <w:spacing w:before="0" w:after="60"/>
        <w:ind w:left="0" w:right="0" w:firstLine="454"/>
        <w:contextualSpacing w:val="false"/>
        <w:jc w:val="both"/>
        <w:rPr/>
      </w:pPr>
      <w:bookmarkStart w:id="56" w:name="_Toc132812900"/>
      <w:bookmarkStart w:id="57" w:name="_Toc138696393"/>
      <w:bookmarkStart w:id="58" w:name="_Toc132812771"/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 xml:space="preserve">3.3. 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</w:rPr>
        <w:t>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 и расходы поставщика, связанные с поставкой товара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>.</w:t>
      </w:r>
      <w:bookmarkEnd w:id="56"/>
      <w:bookmarkEnd w:id="57"/>
      <w:bookmarkEnd w:id="58"/>
    </w:p>
    <w:p>
      <w:pPr>
        <w:pStyle w:val="Heading1"/>
        <w:keepLines/>
        <w:numPr>
          <w:ilvl w:val="0"/>
          <w:numId w:val="2"/>
        </w:numPr>
        <w:suppressAutoHyphens w:val="false"/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numPr>
          <w:ilvl w:val="0"/>
          <w:numId w:val="2"/>
        </w:numPr>
        <w:suppressAutoHyphens w:val="false"/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numPr>
          <w:ilvl w:val="0"/>
          <w:numId w:val="2"/>
        </w:numPr>
        <w:suppressAutoHyphens w:val="false"/>
        <w:spacing w:before="0" w:after="0"/>
        <w:jc w:val="left"/>
        <w:rPr/>
      </w:pPr>
      <w:bookmarkStart w:id="59" w:name="__RefHeading___Toc26509_2696883597"/>
      <w:bookmarkStart w:id="60" w:name="_Toc138696394"/>
      <w:bookmarkEnd w:id="59"/>
      <w:r>
        <w:rPr>
          <w:rFonts w:cs="Times New Roman" w:ascii="Times New Roman" w:hAnsi="Times New Roman"/>
          <w:iCs/>
          <w:sz w:val="24"/>
          <w:szCs w:val="24"/>
        </w:rPr>
        <w:t>Приложения</w:t>
      </w:r>
      <w:bookmarkEnd w:id="60"/>
      <w:r>
        <w:rPr>
          <w:rFonts w:cs="Times New Roman" w:ascii="Times New Roman" w:hAnsi="Times New Roman"/>
          <w:iCs/>
          <w:sz w:val="24"/>
          <w:szCs w:val="24"/>
        </w:rPr>
        <w:t>:</w:t>
      </w:r>
    </w:p>
    <w:p>
      <w:pPr>
        <w:pStyle w:val="Normal"/>
        <w:widowControl w:val="false"/>
        <w:tabs>
          <w:tab w:val="clear" w:pos="643"/>
          <w:tab w:val="left" w:pos="426" w:leader="none"/>
        </w:tabs>
        <w:suppressAutoHyphens w:val="false"/>
        <w:jc w:val="both"/>
        <w:rPr/>
      </w:pPr>
      <w:r>
        <w:rPr>
          <w:rStyle w:val="Style9"/>
          <w:rFonts w:cs="Times New Roman" w:ascii="Times New Roman" w:hAnsi="Times New Roman"/>
          <w:bCs/>
          <w:i w:val="false"/>
          <w:sz w:val="24"/>
          <w:szCs w:val="24"/>
          <w:shd w:fill="FFFFFF" w:val="clear"/>
        </w:rPr>
        <w:t xml:space="preserve">Приложение №1: </w:t>
      </w:r>
      <w:r>
        <w:rPr>
          <w:rFonts w:cs="Times New Roman" w:ascii="Times New Roman" w:hAnsi="Times New Roman"/>
          <w:sz w:val="24"/>
          <w:szCs w:val="24"/>
        </w:rPr>
        <w:t>Спецификация</w:t>
      </w:r>
    </w:p>
    <w:p>
      <w:pPr>
        <w:pStyle w:val="Normal"/>
        <w:widowControl w:val="false"/>
        <w:suppressAutoHyphens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headerReference w:type="even" r:id="rId12"/>
          <w:headerReference w:type="default" r:id="rId13"/>
          <w:headerReference w:type="first" r:id="rId14"/>
          <w:footerReference w:type="even" r:id="rId15"/>
          <w:footerReference w:type="default" r:id="rId16"/>
          <w:footerReference w:type="first" r:id="rId17"/>
          <w:type w:val="nextPage"/>
          <w:pgSz w:w="11906" w:h="16838"/>
          <w:pgMar w:left="993" w:right="424" w:gutter="0" w:header="284" w:top="426" w:footer="380" w:bottom="709"/>
          <w:pgNumType w:fmt="decimal"/>
          <w:formProt w:val="false"/>
          <w:textDirection w:val="lrTb"/>
          <w:docGrid w:type="default" w:linePitch="360" w:charSpace="16384"/>
        </w:sectPr>
        <w:pStyle w:val="Normal"/>
        <w:widowControl w:val="false"/>
        <w:suppressAutoHyphens w:val="false"/>
        <w:overflowPunct w:val="false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643"/>
          <w:tab w:val="left" w:pos="426" w:leader="none"/>
        </w:tabs>
        <w:suppressAutoHyphens w:val="false"/>
        <w:jc w:val="right"/>
        <w:rPr/>
      </w:pPr>
      <w:r>
        <w:rPr>
          <w:rStyle w:val="Style9"/>
          <w:rFonts w:cs="Times New Roman" w:ascii="Times New Roman" w:hAnsi="Times New Roman"/>
          <w:i w:val="false"/>
          <w:iCs/>
          <w:sz w:val="24"/>
          <w:szCs w:val="24"/>
          <w:shd w:fill="FFFFFF" w:val="clear"/>
        </w:rPr>
        <w:t>Приложение № 1</w:t>
      </w:r>
    </w:p>
    <w:p>
      <w:pPr>
        <w:pStyle w:val="Normal"/>
        <w:widowControl w:val="false"/>
        <w:tabs>
          <w:tab w:val="clear" w:pos="643"/>
          <w:tab w:val="left" w:pos="426" w:leader="none"/>
        </w:tabs>
        <w:suppressAutoHyphens w:val="false"/>
        <w:jc w:val="right"/>
        <w:rPr/>
      </w:pPr>
      <w:r>
        <w:rPr>
          <w:rStyle w:val="Style9"/>
          <w:rFonts w:cs="Times New Roman" w:ascii="Times New Roman" w:hAnsi="Times New Roman"/>
          <w:i w:val="false"/>
          <w:iCs/>
          <w:sz w:val="24"/>
          <w:szCs w:val="24"/>
          <w:shd w:fill="FFFFFF" w:val="clear"/>
        </w:rPr>
        <w:t>к Техническим требованиям</w:t>
        <w:br/>
      </w:r>
    </w:p>
    <w:p>
      <w:pPr>
        <w:pStyle w:val="Normal"/>
        <w:suppressAutoHyphens w:val="false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Спецификация</w:t>
      </w:r>
    </w:p>
    <w:p>
      <w:pPr>
        <w:pStyle w:val="Normal"/>
        <w:suppressAutoHyphens w:val="false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5000" w:type="pct"/>
        <w:jc w:val="left"/>
        <w:tblInd w:w="23" w:type="dxa"/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512"/>
        <w:gridCol w:w="505"/>
        <w:gridCol w:w="867"/>
        <w:gridCol w:w="868"/>
        <w:gridCol w:w="746"/>
        <w:gridCol w:w="868"/>
        <w:gridCol w:w="1164"/>
        <w:gridCol w:w="918"/>
        <w:gridCol w:w="797"/>
        <w:gridCol w:w="1544"/>
        <w:gridCol w:w="713"/>
        <w:gridCol w:w="1024"/>
        <w:gridCol w:w="863"/>
        <w:gridCol w:w="847"/>
        <w:gridCol w:w="989"/>
        <w:gridCol w:w="2071"/>
      </w:tblGrid>
      <w:tr>
        <w:trPr>
          <w:trHeight w:val="526" w:hRule="atLeast"/>
        </w:trPr>
        <w:tc>
          <w:tcPr>
            <w:tcW w:w="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партии</w:t>
            </w:r>
          </w:p>
        </w:tc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поз.</w:t>
            </w:r>
          </w:p>
        </w:tc>
        <w:tc>
          <w:tcPr>
            <w:tcW w:w="8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Артикул, тип, марка</w:t>
            </w:r>
          </w:p>
        </w:tc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Завод изготовитель</w:t>
            </w:r>
          </w:p>
        </w:tc>
        <w:tc>
          <w:tcPr>
            <w:tcW w:w="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Страна происхождения Товара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1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pacing w:val="-10"/>
                <w:sz w:val="24"/>
                <w:szCs w:val="24"/>
                <w:lang w:eastAsia="ru-RU"/>
              </w:rPr>
              <w:t>Страна регистрации производителя Товара</w:t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Код ОКПД 2 (с наименованием)</w:t>
            </w: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Порядковый номер(а) реестровой(ых) записи(ей)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footnoteReference w:id="3"/>
            </w:r>
          </w:p>
        </w:tc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0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Цена за единицу, руб. без НДС</w:t>
            </w:r>
          </w:p>
        </w:tc>
        <w:tc>
          <w:tcPr>
            <w:tcW w:w="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Цена, руб. без НДС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НДС</w:t>
            </w:r>
          </w:p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(___%) руб.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Стоимость, руб., с НДС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322" w:hRule="atLeast"/>
        </w:trPr>
        <w:tc>
          <w:tcPr>
            <w:tcW w:w="512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4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9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44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2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8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512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4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9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44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2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8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2" w:hRule="atLeast"/>
        </w:trPr>
        <w:tc>
          <w:tcPr>
            <w:tcW w:w="12236" w:type="dxa"/>
            <w:gridSpan w:val="14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партии Товара №1, руб. с НДС</w:t>
            </w:r>
          </w:p>
        </w:tc>
        <w:tc>
          <w:tcPr>
            <w:tcW w:w="306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33" w:hRule="atLeast"/>
        </w:trPr>
        <w:tc>
          <w:tcPr>
            <w:tcW w:w="512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4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9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44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2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8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82" w:hRule="atLeast"/>
        </w:trPr>
        <w:tc>
          <w:tcPr>
            <w:tcW w:w="512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4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1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97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44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02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4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89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2" w:hRule="atLeast"/>
        </w:trPr>
        <w:tc>
          <w:tcPr>
            <w:tcW w:w="12236" w:type="dxa"/>
            <w:gridSpan w:val="14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партии Товара №2, руб. с НДС</w:t>
            </w:r>
          </w:p>
        </w:tc>
        <w:tc>
          <w:tcPr>
            <w:tcW w:w="306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62" w:hRule="atLeast"/>
        </w:trPr>
        <w:tc>
          <w:tcPr>
            <w:tcW w:w="12236" w:type="dxa"/>
            <w:gridSpan w:val="14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всего Товара (с учетом доставки), руб. с НДС:</w:t>
            </w:r>
          </w:p>
        </w:tc>
        <w:tc>
          <w:tcPr>
            <w:tcW w:w="306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uppressAutoHyphens w:val="false"/>
        <w:jc w:val="center"/>
        <w:rPr/>
      </w:pPr>
      <w:r>
        <w:rPr/>
      </w:r>
    </w:p>
    <w:sectPr>
      <w:headerReference w:type="even" r:id="rId18"/>
      <w:headerReference w:type="default" r:id="rId19"/>
      <w:headerReference w:type="first" r:id="rId20"/>
      <w:footerReference w:type="even" r:id="rId21"/>
      <w:footerReference w:type="default" r:id="rId22"/>
      <w:footerReference w:type="first" r:id="rId23"/>
      <w:footnotePr>
        <w:numFmt w:val="decimal"/>
      </w:footnotePr>
      <w:type w:val="nextPage"/>
      <w:pgSz w:orient="landscape" w:w="16838" w:h="11906"/>
      <w:pgMar w:left="992" w:right="546" w:gutter="0" w:header="440" w:top="900" w:footer="0" w:bottom="851"/>
      <w:pgNumType w:fmt="decimal"/>
      <w:formProt w:val="false"/>
      <w:textDirection w:val="lrTb"/>
      <w:docGrid w:type="default" w:linePitch="381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before="0" w:after="160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spacing w:before="0" w:after="160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 «О минимальной доле закупок товаров российского происхождения».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18"/>
      </w:rPr>
    </w:pPr>
    <w:r>
      <w:rPr>
        <w:sz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18"/>
      </w:rPr>
    </w:pPr>
    <w:r>
      <w:rPr>
        <w:sz w:val="18"/>
      </w:rPr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643"/>
  <w:autoHyphenation w:val="true"/>
  <w:hyphenationZone w:val="142"/>
  <w:evenAndOddHeaders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ru-RU" w:eastAsia="en-US" w:bidi="ar-SA"/>
    </w:rPr>
  </w:style>
  <w:style w:type="paragraph" w:styleId="Heading1">
    <w:name w:val="Heading 1"/>
    <w:basedOn w:val="Heading3"/>
    <w:qFormat/>
    <w:pPr>
      <w:numPr>
        <w:ilvl w:val="0"/>
        <w:numId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pPr>
      <w:numPr>
        <w:ilvl w:val="0"/>
        <w:numId w:val="0"/>
      </w:numPr>
      <w:tabs>
        <w:tab w:val="clear" w:pos="0"/>
      </w:tabs>
      <w:outlineLvl w:val="1"/>
    </w:pPr>
    <w:rPr/>
  </w:style>
  <w:style w:type="paragraph" w:styleId="Heading3">
    <w:name w:val="Heading 3"/>
    <w:basedOn w:val="Normal"/>
    <w:qFormat/>
    <w:pPr>
      <w:keepNext w:val="true"/>
      <w:numPr>
        <w:ilvl w:val="0"/>
        <w:numId w:val="0"/>
      </w:numPr>
      <w:tabs>
        <w:tab w:val="clear" w:pos="643"/>
        <w:tab w:val="left" w:pos="0" w:leader="none"/>
      </w:tabs>
      <w:spacing w:before="120" w:after="60"/>
      <w:outlineLvl w:val="2"/>
    </w:pPr>
    <w:rPr>
      <w:b/>
      <w:sz w:val="24"/>
      <w:szCs w:val="24"/>
      <w:lang w:val="x-none" w:eastAsia="x-none"/>
    </w:rPr>
  </w:style>
  <w:style w:type="paragraph" w:styleId="Heading4">
    <w:name w:val="Heading 4"/>
    <w:basedOn w:val="Heading3"/>
    <w:qFormat/>
    <w:pPr>
      <w:numPr>
        <w:ilvl w:val="0"/>
        <w:numId w:val="0"/>
      </w:numPr>
      <w:outlineLvl w:val="3"/>
    </w:pPr>
    <w:rPr>
      <w:bCs/>
    </w:rPr>
  </w:style>
  <w:style w:type="character" w:styleId="DefaultParagraphFont">
    <w:name w:val="Default Paragraph Font"/>
    <w:qFormat/>
    <w:rPr/>
  </w:style>
  <w:style w:type="character" w:styleId="Style5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rFonts w:cs="Times New Roman"/>
      <w:vertAlign w:val="superscript"/>
    </w:rPr>
  </w:style>
  <w:style w:type="character" w:styleId="Style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8">
    <w:name w:val="Символы концевой сноски"/>
    <w:qFormat/>
    <w:rPr/>
  </w:style>
  <w:style w:type="character" w:styleId="Style9">
    <w:name w:val="комментарий"/>
    <w:qFormat/>
    <w:rPr>
      <w:i/>
      <w:shd w:fill="FFFF99" w:val="clear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Style10">
    <w:name w:val="Ссылка указателя"/>
    <w:qFormat/>
    <w:rPr/>
  </w:style>
  <w:style w:type="character" w:styleId="Tooltip">
    <w:name w:val="tooltip"/>
    <w:basedOn w:val="DefaultParagraphFont"/>
    <w:qFormat/>
    <w:rPr/>
  </w:style>
  <w:style w:type="character" w:styleId="Strong1">
    <w:name w:val="Strong1"/>
    <w:basedOn w:val="DefaultParagraphFont"/>
    <w:qFormat/>
    <w:rPr>
      <w:b/>
      <w:bCs/>
    </w:rPr>
  </w:style>
  <w:style w:type="character" w:styleId="Apple-converted-space">
    <w:name w:val="apple-converted-space"/>
    <w:basedOn w:val="DefaultParagraphFont"/>
    <w:qFormat/>
    <w:rPr/>
  </w:style>
  <w:style w:type="character" w:styleId="1">
    <w:name w:val="Строгий1"/>
    <w:qFormat/>
    <w:rPr>
      <w:b/>
      <w:bCs/>
    </w:rPr>
  </w:style>
  <w:style w:type="character" w:styleId="Style11">
    <w:name w:val="Маркеры списка"/>
    <w:qFormat/>
    <w:rPr>
      <w:rFonts w:ascii="OpenSymbol" w:hAnsi="OpenSymbol" w:eastAsia="OpenSymbol" w:cs="OpenSymbol"/>
    </w:rPr>
  </w:style>
  <w:style w:type="character" w:styleId="Style12">
    <w:name w:val="Нижний колонтитул Знак"/>
    <w:basedOn w:val="DefaultParagraphFont"/>
    <w:qFormat/>
    <w:rPr>
      <w:rFonts w:ascii="Calibri" w:hAnsi="Calibri" w:eastAsia="Calibri"/>
      <w:color w:val="00000A"/>
      <w:sz w:val="22"/>
    </w:rPr>
  </w:style>
  <w:style w:type="character" w:styleId="Style13">
    <w:name w:val="Символ нумерации"/>
    <w:qFormat/>
    <w:rPr/>
  </w:style>
  <w:style w:type="character" w:styleId="WWCharLFO3LVL1">
    <w:name w:val="WW_CharLFO3LVL1"/>
    <w:qFormat/>
    <w:rPr>
      <w:rFonts w:ascii="Symbol" w:hAnsi="Symbol"/>
      <w:sz w:val="20"/>
    </w:rPr>
  </w:style>
  <w:style w:type="character" w:styleId="WWCharLFO3LVL2">
    <w:name w:val="WW_CharLFO3LVL2"/>
    <w:qFormat/>
    <w:rPr>
      <w:rFonts w:ascii="Courier New" w:hAnsi="Courier New"/>
      <w:sz w:val="20"/>
    </w:rPr>
  </w:style>
  <w:style w:type="character" w:styleId="WWCharLFO3LVL3">
    <w:name w:val="WW_CharLFO3LVL3"/>
    <w:qFormat/>
    <w:rPr>
      <w:rFonts w:ascii="Wingdings" w:hAnsi="Wingdings"/>
      <w:sz w:val="20"/>
    </w:rPr>
  </w:style>
  <w:style w:type="character" w:styleId="WWCharLFO3LVL4">
    <w:name w:val="WW_CharLFO3LVL4"/>
    <w:qFormat/>
    <w:rPr>
      <w:rFonts w:ascii="Wingdings" w:hAnsi="Wingdings"/>
      <w:sz w:val="20"/>
    </w:rPr>
  </w:style>
  <w:style w:type="character" w:styleId="WWCharLFO3LVL5">
    <w:name w:val="WW_CharLFO3LVL5"/>
    <w:qFormat/>
    <w:rPr>
      <w:rFonts w:ascii="Wingdings" w:hAnsi="Wingdings"/>
      <w:sz w:val="20"/>
    </w:rPr>
  </w:style>
  <w:style w:type="character" w:styleId="WWCharLFO3LVL6">
    <w:name w:val="WW_CharLFO3LVL6"/>
    <w:qFormat/>
    <w:rPr>
      <w:rFonts w:ascii="Wingdings" w:hAnsi="Wingdings"/>
      <w:sz w:val="20"/>
    </w:rPr>
  </w:style>
  <w:style w:type="character" w:styleId="WWCharLFO3LVL7">
    <w:name w:val="WW_CharLFO3LVL7"/>
    <w:qFormat/>
    <w:rPr>
      <w:rFonts w:ascii="Wingdings" w:hAnsi="Wingdings"/>
      <w:sz w:val="20"/>
    </w:rPr>
  </w:style>
  <w:style w:type="character" w:styleId="WWCharLFO3LVL8">
    <w:name w:val="WW_CharLFO3LVL8"/>
    <w:qFormat/>
    <w:rPr>
      <w:rFonts w:ascii="Wingdings" w:hAnsi="Wingdings"/>
      <w:sz w:val="20"/>
    </w:rPr>
  </w:style>
  <w:style w:type="character" w:styleId="WWCharLFO3LVL9">
    <w:name w:val="WW_CharLFO3LVL9"/>
    <w:qFormat/>
    <w:rPr>
      <w:rFonts w:ascii="Wingdings" w:hAnsi="Wingdings"/>
      <w:sz w:val="20"/>
    </w:rPr>
  </w:style>
  <w:style w:type="character" w:styleId="WWCharLFO4LVL1">
    <w:name w:val="WW_CharLFO4LVL1"/>
    <w:qFormat/>
    <w:rPr>
      <w:rFonts w:ascii="Symbol" w:hAnsi="Symbol"/>
      <w:sz w:val="20"/>
    </w:rPr>
  </w:style>
  <w:style w:type="character" w:styleId="WWCharLFO4LVL2">
    <w:name w:val="WW_CharLFO4LVL2"/>
    <w:qFormat/>
    <w:rPr>
      <w:rFonts w:ascii="Courier New" w:hAnsi="Courier New"/>
      <w:sz w:val="20"/>
    </w:rPr>
  </w:style>
  <w:style w:type="character" w:styleId="WWCharLFO4LVL3">
    <w:name w:val="WW_CharLFO4LVL3"/>
    <w:qFormat/>
    <w:rPr>
      <w:rFonts w:ascii="Wingdings" w:hAnsi="Wingdings"/>
      <w:sz w:val="20"/>
    </w:rPr>
  </w:style>
  <w:style w:type="character" w:styleId="WWCharLFO4LVL4">
    <w:name w:val="WW_CharLFO4LVL4"/>
    <w:qFormat/>
    <w:rPr>
      <w:rFonts w:ascii="Wingdings" w:hAnsi="Wingdings"/>
      <w:sz w:val="20"/>
    </w:rPr>
  </w:style>
  <w:style w:type="character" w:styleId="WWCharLFO4LVL5">
    <w:name w:val="WW_CharLFO4LVL5"/>
    <w:qFormat/>
    <w:rPr>
      <w:rFonts w:ascii="Wingdings" w:hAnsi="Wingdings"/>
      <w:sz w:val="20"/>
    </w:rPr>
  </w:style>
  <w:style w:type="character" w:styleId="WWCharLFO4LVL6">
    <w:name w:val="WW_CharLFO4LVL6"/>
    <w:qFormat/>
    <w:rPr>
      <w:rFonts w:ascii="Wingdings" w:hAnsi="Wingdings"/>
      <w:sz w:val="20"/>
    </w:rPr>
  </w:style>
  <w:style w:type="character" w:styleId="WWCharLFO4LVL7">
    <w:name w:val="WW_CharLFO4LVL7"/>
    <w:qFormat/>
    <w:rPr>
      <w:rFonts w:ascii="Wingdings" w:hAnsi="Wingdings"/>
      <w:sz w:val="20"/>
    </w:rPr>
  </w:style>
  <w:style w:type="character" w:styleId="WWCharLFO4LVL8">
    <w:name w:val="WW_CharLFO4LVL8"/>
    <w:qFormat/>
    <w:rPr>
      <w:rFonts w:ascii="Wingdings" w:hAnsi="Wingdings"/>
      <w:sz w:val="20"/>
    </w:rPr>
  </w:style>
  <w:style w:type="character" w:styleId="WWCharLFO4LVL9">
    <w:name w:val="WW_CharLFO4LVL9"/>
    <w:qFormat/>
    <w:rPr>
      <w:rFonts w:ascii="Wingdings" w:hAnsi="Wingdings"/>
      <w:sz w:val="20"/>
    </w:rPr>
  </w:style>
  <w:style w:type="character" w:styleId="Typography">
    <w:name w:val="typography"/>
    <w:basedOn w:val="DefaultParagraphFont"/>
    <w:qFormat/>
    <w:rPr/>
  </w:style>
  <w:style w:type="character" w:styleId="Label">
    <w:name w:val="label"/>
    <w:basedOn w:val="DefaultParagraphFont"/>
    <w:qFormat/>
    <w:rPr/>
  </w:style>
  <w:style w:type="character" w:styleId="Value">
    <w:name w:val="value"/>
    <w:basedOn w:val="DefaultParagraphFont"/>
    <w:qFormat/>
    <w:rPr/>
  </w:style>
  <w:style w:type="character" w:styleId="Catalog-element-article-name">
    <w:name w:val="catalog-element-article-name"/>
    <w:basedOn w:val="DefaultParagraphFont"/>
    <w:qFormat/>
    <w:rPr/>
  </w:style>
  <w:style w:type="character" w:styleId="Catalog-element-article-value">
    <w:name w:val="catalog-element-article-value"/>
    <w:basedOn w:val="DefaultParagraphFont"/>
    <w:qFormat/>
    <w:rPr/>
  </w:style>
  <w:style w:type="character" w:styleId="Style14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Linenumber1">
    <w:name w:val="line number1"/>
    <w:qFormat/>
    <w:rPr/>
  </w:style>
  <w:style w:type="character" w:styleId="Style15">
    <w:name w:val="Текст примечания Знак"/>
    <w:basedOn w:val="DefaultParagraphFont"/>
    <w:link w:val="Annotationtext"/>
    <w:qFormat/>
    <w:rPr>
      <w:szCs w:val="20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LineNumber">
    <w:name w:val="Line Number"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rPr>
      <w:color w:val="800000"/>
      <w:u w:val="single"/>
    </w:rPr>
  </w:style>
  <w:style w:type="character" w:styleId="Strong">
    <w:name w:val="Strong"/>
    <w:qFormat/>
    <w:rPr>
      <w:b/>
      <w:bCs/>
    </w:rPr>
  </w:style>
  <w:style w:type="character" w:styleId="Strong2">
    <w:name w:val="Strong2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FootnoteText">
    <w:name w:val="Footnote Text"/>
    <w:basedOn w:val="Normal"/>
    <w:pPr/>
    <w:rPr/>
  </w:style>
  <w:style w:type="paragraph" w:styleId="TOC1">
    <w:name w:val="TOC 1"/>
    <w:basedOn w:val="Normal"/>
    <w:pPr>
      <w:spacing w:before="120" w:after="0"/>
    </w:pPr>
    <w:rPr>
      <w:rFonts w:ascii="Times New Roman" w:hAnsi="Times New Roman" w:cs="Calibri Light (Заголовки)"/>
      <w:b/>
      <w:bCs/>
      <w:sz w:val="26"/>
      <w:szCs w:val="24"/>
    </w:rPr>
  </w:style>
  <w:style w:type="paragraph" w:styleId="TOC4">
    <w:name w:val="TOC 4"/>
    <w:basedOn w:val="Normal"/>
    <w:pPr>
      <w:ind w:left="560" w:right="0" w:hanging="0"/>
    </w:pPr>
    <w:rPr>
      <w:rFonts w:cs="Calibri"/>
      <w:szCs w:val="20"/>
    </w:rPr>
  </w:style>
  <w:style w:type="paragraph" w:styleId="TOC3">
    <w:name w:val="TOC 3"/>
    <w:basedOn w:val="Normal"/>
    <w:pPr>
      <w:ind w:left="280" w:right="0" w:hanging="0"/>
    </w:pPr>
    <w:rPr>
      <w:rFonts w:cs="Calibri"/>
      <w:szCs w:val="20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paragraph" w:styleId="Style2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Cs w:val="26"/>
    </w:rPr>
  </w:style>
  <w:style w:type="paragraph" w:styleId="Style22">
    <w:name w:val="Таблица"/>
    <w:basedOn w:val="Normal"/>
    <w:qFormat/>
    <w:pPr>
      <w:keepNext w:val="true"/>
      <w:spacing w:before="60" w:after="60"/>
      <w:jc w:val="center"/>
    </w:pPr>
    <w:rPr>
      <w:b/>
      <w:sz w:val="24"/>
      <w:szCs w:val="24"/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NormalWeb">
    <w:name w:val="Normal (Web)"/>
    <w:basedOn w:val="Normal"/>
    <w:qFormat/>
    <w:pPr>
      <w:suppressAutoHyphens w:val="false"/>
      <w:spacing w:before="100" w:after="100"/>
    </w:pPr>
    <w:rPr>
      <w:rFonts w:ascii="Times New Roman" w:hAnsi="Times New Roman" w:eastAsia="Times New Roman" w:cs="Times New Roman"/>
      <w:lang w:eastAsia="ru-RU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643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OC2">
    <w:name w:val="TOC 2"/>
    <w:basedOn w:val="Indexheading"/>
    <w:pPr/>
    <w:rPr/>
  </w:style>
  <w:style w:type="paragraph" w:styleId="Footer">
    <w:name w:val="Footer"/>
    <w:basedOn w:val="Normal"/>
    <w:link w:val="Style12"/>
    <w:pPr>
      <w:tabs>
        <w:tab w:val="clear" w:pos="643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qFormat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15"/>
    <w:qFormat/>
    <w:pPr/>
    <w:rPr>
      <w:szCs w:val="20"/>
    </w:rPr>
  </w:style>
  <w:style w:type="paragraph" w:styleId="Style24">
    <w:name w:val="Содержимое врезки"/>
    <w:basedOn w:val="Normal"/>
    <w:qFormat/>
    <w:pPr/>
    <w:rPr/>
  </w:style>
  <w:style w:type="numbering" w:styleId="123">
    <w:name w:val="Нумерованный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footer" Target="footer8.xml"/><Relationship Id="rId18" Type="http://schemas.openxmlformats.org/officeDocument/2006/relationships/header" Target="header9.xml"/><Relationship Id="rId19" Type="http://schemas.openxmlformats.org/officeDocument/2006/relationships/header" Target="header10.xml"/><Relationship Id="rId20" Type="http://schemas.openxmlformats.org/officeDocument/2006/relationships/header" Target="header11.xml"/><Relationship Id="rId21" Type="http://schemas.openxmlformats.org/officeDocument/2006/relationships/footer" Target="footer9.xml"/><Relationship Id="rId22" Type="http://schemas.openxmlformats.org/officeDocument/2006/relationships/footer" Target="footer10.xml"/><Relationship Id="rId23" Type="http://schemas.openxmlformats.org/officeDocument/2006/relationships/footer" Target="footer11.xml"/><Relationship Id="rId24" Type="http://schemas.openxmlformats.org/officeDocument/2006/relationships/footnotes" Target="footnotes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customXml" Target="../customXml/item1.xml"/><Relationship Id="rId29" Type="http://schemas.openxmlformats.org/officeDocument/2006/relationships/customXml" Target="../customXml/item2.xml"/><Relationship Id="rId30" Type="http://schemas.openxmlformats.org/officeDocument/2006/relationships/customXml" Target="../customXml/item3.xml"/>
</Relationships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4AE05A3776FA143842DA7E10496F8CA" ma:contentTypeVersion="1" ma:contentTypeDescription="Создание документа." ma:contentTypeScope="" ma:versionID="34295c66889a6e83ed9e035ef007cfb4">
  <xsd:schema xmlns:xsd="http://www.w3.org/2001/XMLSchema" xmlns:xs="http://www.w3.org/2001/XMLSchema" xmlns:p="http://schemas.microsoft.com/office/2006/metadata/properties" xmlns:ns2="f6214f18-05d5-4680-8c7e-3ef6c9a4b899" targetNamespace="http://schemas.microsoft.com/office/2006/metadata/properties" ma:root="true" ma:fieldsID="a51ea63f4ad633d6dd2f25ccefa77883" ns2:_="">
    <xsd:import namespace="f6214f18-05d5-4680-8c7e-3ef6c9a4b89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14f18-05d5-4680-8c7e-3ef6c9a4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28C609-2486-4AAF-B338-82FF16E7FF2F}"/>
</file>

<file path=customXml/itemProps2.xml><?xml version="1.0" encoding="utf-8"?>
<ds:datastoreItem xmlns:ds="http://schemas.openxmlformats.org/officeDocument/2006/customXml" ds:itemID="{61E590D5-CFCC-4CCD-A6A5-5DDCDE63E411}"/>
</file>

<file path=customXml/itemProps3.xml><?xml version="1.0" encoding="utf-8"?>
<ds:datastoreItem xmlns:ds="http://schemas.openxmlformats.org/officeDocument/2006/customXml" ds:itemID="{F4086AE1-D833-4D7B-BD25-9665BAEA3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6477</TotalTime>
  <Application>AlterOffice/3.4.0.9$Linux_X86_64 LibreOffice_project/b8daf9e823b1a5463a2f48435ddc2e8696e7d4fc</Application>
  <AppVersion>15.0000</AppVersion>
  <Pages>9</Pages>
  <Words>1815</Words>
  <Characters>12258</Characters>
  <CharactersWithSpaces>13823</CharactersWithSpaces>
  <Paragraphs>268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2023-04-24T07:20:00Z</dcterms:created>
  <dc:creator>Каткова Анжела Александровна</dc:creator>
  <dc:description/>
  <dc:language>ru-RU</dc:language>
  <cp:lastModifiedBy>kovalevaev@corp.gidroogk.com</cp:lastModifiedBy>
  <cp:lastPrinted>2026-07-27T09:08:39Z</cp:lastPrinted>
  <dcterms:modified xsi:type="dcterms:W3CDTF">2026-07-31T09:15:51Z</dcterms:modified>
  <cp:revision>349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0x01010084AE05A3776FA143842DA7E10496F8CA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  <property fmtid="{D5CDD505-2E9C-101B-9397-08002B2CF9AE}" pid="7" name="_MarkAsFinal">
    <vt:bool>1</vt:bool>
  </property>
</Properties>
</file>