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529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keepNext w:val="true"/>
        <w:keepLines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"/>
      <w:bookmarkStart w:id="1" w:name="_Toc139856287"/>
      <w:bookmarkStart w:id="2" w:name="_Toc137554584"/>
      <w:bookmarkStart w:id="3" w:name="_Toc141696704"/>
      <w:bookmarkStart w:id="4" w:name="_Toc139856287"/>
      <w:bookmarkStart w:id="5" w:name="_Toc137554584"/>
    </w:p>
    <w:p>
      <w:pPr>
        <w:pStyle w:val="Normal"/>
        <w:keepNext w:val="true"/>
        <w:keepLines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Heading1"/>
        <w:keepNext w:val="true"/>
        <w:keepLines/>
        <w:jc w:val="center"/>
        <w:rPr/>
      </w:pPr>
      <w:bookmarkStart w:id="6" w:name="_Toc141696704"/>
      <w:bookmarkStart w:id="7" w:name="_Toc139856287"/>
      <w:bookmarkStart w:id="8" w:name="_Toc137554584"/>
      <w:r>
        <w:rPr>
          <w:rFonts w:eastAsia="Calibri"/>
          <w:b/>
        </w:rPr>
        <w:t xml:space="preserve">ОКПД2 49.41.20.000 на оказание услуг по перевозке разукрупненных частей гидроагрегата по маршруту Чиркейская ГЭС — База ГСО ПАО «РусГидро», г. Кизилюрт и перевозке </w:t>
      </w:r>
      <w:bookmarkEnd w:id="6"/>
      <w:bookmarkEnd w:id="7"/>
      <w:bookmarkEnd w:id="8"/>
      <w:r>
        <w:rPr>
          <w:rFonts w:eastAsia="Calibri"/>
          <w:b/>
        </w:rPr>
        <w:t>оборудования по маршруту База ГСО ПАО «РусГидро», г. Кизилюрт — Чиркейская ГЭС.</w:t>
      </w:r>
    </w:p>
    <w:p>
      <w:pPr>
        <w:pStyle w:val="Normal"/>
        <w:keepNext w:val="true"/>
        <w:keepLines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both"/>
        <w:rPr/>
      </w:pPr>
      <w:r>
        <w:rPr/>
      </w:r>
      <w:r>
        <w:br w:type="page"/>
      </w:r>
    </w:p>
    <w:p>
      <w:pPr>
        <w:pStyle w:val="Normal"/>
        <w:jc w:val="center"/>
        <w:rPr/>
      </w:pPr>
      <w:bookmarkStart w:id="9" w:name="_Toc233731382"/>
      <w:bookmarkStart w:id="10" w:name="_Toc141772985"/>
      <w:r>
        <w:rPr>
          <w:b/>
          <w:bCs/>
          <w:lang w:eastAsia="ar-SA"/>
        </w:rPr>
        <w:t>СОДЕРЖАНИЕ</w:t>
      </w:r>
      <w:bookmarkEnd w:id="9"/>
      <w:bookmarkEnd w:id="10"/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11" w:leader="none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8"/>
              <w:szCs w:val="28"/>
            </w:rPr>
          </w:pPr>
          <w:r>
            <w:fldChar w:fldCharType="begin"/>
          </w:r>
          <w:r>
            <w:rPr>
              <w:webHidden/>
              <w:rStyle w:val="Style17"/>
              <w:sz w:val="28"/>
              <w:b w:val="false"/>
              <w:szCs w:val="28"/>
            </w:rPr>
            <w:instrText xml:space="preserve"> TOC \z \o "1-3" \u \h</w:instrText>
          </w:r>
          <w:r>
            <w:rPr>
              <w:webHidden/>
              <w:rStyle w:val="Style17"/>
              <w:sz w:val="28"/>
              <w:b w:val="false"/>
              <w:szCs w:val="28"/>
            </w:rPr>
            <w:fldChar w:fldCharType="separate"/>
          </w:r>
          <w:hyperlink w:anchor="_Toc233731633">
            <w:r>
              <w:rPr>
                <w:webHidden/>
                <w:rStyle w:val="Style17"/>
                <w:b w:val="false"/>
                <w:sz w:val="28"/>
                <w:szCs w:val="28"/>
              </w:rPr>
              <w:t>1. 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_Toc233731633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 w:val="false"/>
                <w:vanish w:val="false"/>
                <w:sz w:val="28"/>
                <w:szCs w:val="2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none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8"/>
              <w:szCs w:val="28"/>
            </w:rPr>
          </w:pPr>
          <w:hyperlink w:anchor="_Toc233731634">
            <w:r>
              <w:rPr>
                <w:webHidden/>
                <w:rStyle w:val="Style17"/>
                <w:b w:val="false"/>
                <w:sz w:val="28"/>
                <w:szCs w:val="28"/>
              </w:rPr>
              <w:t>2. 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_Toc233731634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 w:val="false"/>
                <w:vanish w:val="false"/>
                <w:sz w:val="28"/>
                <w:szCs w:val="2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none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8"/>
              <w:szCs w:val="28"/>
            </w:rPr>
          </w:pPr>
          <w:hyperlink w:anchor="_Toc233731635">
            <w:r>
              <w:rPr>
                <w:webHidden/>
                <w:rStyle w:val="Style17"/>
                <w:b w:val="false"/>
                <w:sz w:val="28"/>
                <w:szCs w:val="28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_Toc233731635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 w:val="false"/>
                <w:vanish w:val="false"/>
                <w:sz w:val="28"/>
                <w:szCs w:val="2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none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8"/>
              <w:szCs w:val="28"/>
            </w:rPr>
          </w:pPr>
          <w:hyperlink w:anchor="_Toc233731636">
            <w:r>
              <w:rPr>
                <w:webHidden/>
                <w:rStyle w:val="Style17"/>
                <w:b w:val="false"/>
                <w:sz w:val="28"/>
                <w:szCs w:val="28"/>
              </w:rPr>
              <w:t>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_Toc233731636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 w:val="false"/>
                <w:vanish w:val="false"/>
                <w:sz w:val="28"/>
                <w:szCs w:val="28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none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8"/>
              <w:szCs w:val="28"/>
            </w:rPr>
          </w:pPr>
          <w:hyperlink w:anchor="_Toc233731637">
            <w:r>
              <w:rPr>
                <w:webHidden/>
                <w:rStyle w:val="Style17"/>
                <w:b w:val="false"/>
                <w:sz w:val="28"/>
                <w:szCs w:val="28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_Toc233731637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 w:val="false"/>
                <w:vanish w:val="false"/>
                <w:sz w:val="28"/>
                <w:szCs w:val="28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none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8"/>
              <w:szCs w:val="28"/>
            </w:rPr>
          </w:pPr>
          <w:hyperlink w:anchor="_Toc233731638">
            <w:r>
              <w:rPr>
                <w:webHidden/>
                <w:rStyle w:val="Style17"/>
                <w:b w:val="false"/>
                <w:sz w:val="28"/>
                <w:szCs w:val="28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_Toc233731638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 w:val="false"/>
                <w:vanish w:val="false"/>
                <w:sz w:val="28"/>
                <w:szCs w:val="28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none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8"/>
              <w:szCs w:val="28"/>
            </w:rPr>
          </w:pPr>
          <w:hyperlink w:anchor="_Toc233731639">
            <w:r>
              <w:rPr>
                <w:webHidden/>
                <w:rStyle w:val="Style17"/>
                <w:b w:val="false"/>
                <w:sz w:val="28"/>
                <w:szCs w:val="28"/>
              </w:rPr>
              <w:t>Таблица 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_Toc233731639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 w:val="false"/>
                <w:vanish w:val="false"/>
                <w:sz w:val="28"/>
                <w:szCs w:val="28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none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8"/>
              <w:szCs w:val="28"/>
            </w:rPr>
          </w:pPr>
          <w:hyperlink w:anchor="_Toc233731640">
            <w:r>
              <w:rPr>
                <w:webHidden/>
                <w:rStyle w:val="Style17"/>
                <w:b w:val="false"/>
                <w:sz w:val="28"/>
                <w:szCs w:val="28"/>
              </w:rPr>
              <w:t>4. Требования к документации по ценообразованию на этапе закупки: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_Toc233731640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 w:val="false"/>
                <w:vanish w:val="false"/>
                <w:sz w:val="28"/>
                <w:szCs w:val="28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7"/>
              <w:sz w:val="28"/>
              <w:b w:val="false"/>
              <w:szCs w:val="28"/>
              <w:vanish w:val="false"/>
            </w:rPr>
            <w:fldChar w:fldCharType="end"/>
          </w:r>
        </w:p>
      </w:sdtContent>
    </w:sdt>
    <w:p>
      <w:pPr>
        <w:pStyle w:val="Normal"/>
        <w:widowControl/>
        <w:suppressAutoHyphens w:val="true"/>
        <w:bidi w:val="0"/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  <w:bookmarkStart w:id="11" w:name="_GoBack"/>
      <w:bookmarkStart w:id="12" w:name="_GoBack"/>
      <w:bookmarkEnd w:id="12"/>
    </w:p>
    <w:p>
      <w:pPr>
        <w:pStyle w:val="Normal"/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/>
      </w:pPr>
      <w:r>
        <w:rPr>
          <w:rFonts w:eastAsia="新細明體" w:eastAsiaTheme="minorEastAsia"/>
        </w:rPr>
        <w:tab/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Normal"/>
        <w:tabs>
          <w:tab w:val="clear" w:pos="708"/>
          <w:tab w:val="left" w:pos="5447" w:leader="none"/>
        </w:tabs>
        <w:jc w:val="both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Heading1"/>
        <w:rPr/>
      </w:pPr>
      <w:bookmarkStart w:id="13" w:name="_Toc54643694"/>
      <w:bookmarkStart w:id="14" w:name="_Toc233731633"/>
      <w:r>
        <w:rPr>
          <w:sz w:val="24"/>
          <w:szCs w:val="24"/>
          <w:lang w:val="ru-RU"/>
        </w:rPr>
        <w:t xml:space="preserve">1. </w:t>
      </w:r>
      <w:r>
        <w:rPr>
          <w:sz w:val="24"/>
          <w:szCs w:val="24"/>
        </w:rPr>
        <w:t>Обозначения и сокращения</w:t>
      </w:r>
      <w:bookmarkEnd w:id="14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ГСО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Гидро-силовое оборудование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/>
            </w:pPr>
            <w:r>
              <w:rPr>
                <w:iCs/>
                <w:sz w:val="24"/>
                <w:szCs w:val="24"/>
              </w:rPr>
              <w:t>ГА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/>
            </w:pPr>
            <w:r>
              <w:rPr>
                <w:iCs/>
                <w:sz w:val="24"/>
                <w:szCs w:val="24"/>
              </w:rPr>
              <w:t>гидроагрегат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/>
            </w:pPr>
            <w:r>
              <w:rPr>
                <w:iCs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/>
            </w:pPr>
            <w:r>
              <w:rPr>
                <w:iCs/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ГСМ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горюче-смазочный материал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ГПМ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грузо-подъемный механизм</w:t>
            </w:r>
          </w:p>
        </w:tc>
      </w:tr>
    </w:tbl>
    <w:p>
      <w:pPr>
        <w:pStyle w:val="Heading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rPr/>
      </w:pPr>
      <w:bookmarkStart w:id="15" w:name="_Toc233731634"/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Общие сведения</w:t>
      </w:r>
      <w:bookmarkEnd w:id="13"/>
      <w:bookmarkEnd w:id="15"/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bookmarkStart w:id="16" w:name="_Toc46743506"/>
      <w:bookmarkStart w:id="17" w:name="_Toc54643696"/>
      <w:r>
        <w:rPr>
          <w:sz w:val="24"/>
          <w:szCs w:val="24"/>
        </w:rPr>
        <w:t>2.1. Наименование закупаемой продукции</w:t>
      </w:r>
      <w:bookmarkEnd w:id="16"/>
      <w:bookmarkEnd w:id="17"/>
      <w:r>
        <w:rPr>
          <w:sz w:val="24"/>
          <w:szCs w:val="24"/>
        </w:rPr>
        <w:t>: оказание услуг по перевозке разукрупненных частей гидроагрегата, оказание услуг по перевозке оборудования по маршруту База ГСО ПАО «РусГидро», г. Кизилюрт —  Чиркейская ГЭС.и загрузки с Чиркейской ГЭС на базу ГСО в г. Кизилюрт.и перемещение грузов по объекту (Чиркейская ГЭС).</w:t>
      </w:r>
    </w:p>
    <w:p>
      <w:pPr>
        <w:pStyle w:val="Heading4"/>
        <w:rPr>
          <w:lang w:val="ru-RU"/>
        </w:rPr>
      </w:pPr>
      <w:r>
        <w:rPr>
          <w:lang w:val="ru-RU"/>
        </w:rPr>
      </w:r>
    </w:p>
    <w:p>
      <w:pPr>
        <w:pStyle w:val="Normal"/>
        <w:rPr>
          <w:sz w:val="24"/>
          <w:szCs w:val="24"/>
        </w:rPr>
      </w:pPr>
      <w:bookmarkStart w:id="18" w:name="_Toc54643697"/>
      <w:bookmarkStart w:id="19" w:name="_Toc46743507"/>
      <w:r>
        <w:rPr>
          <w:sz w:val="24"/>
          <w:szCs w:val="24"/>
        </w:rPr>
        <w:t xml:space="preserve">2.2. Цель </w:t>
      </w:r>
      <w:bookmarkEnd w:id="19"/>
      <w:r>
        <w:rPr>
          <w:sz w:val="24"/>
          <w:szCs w:val="24"/>
        </w:rPr>
        <w:t xml:space="preserve">оказания услуг: </w:t>
      </w:r>
      <w:bookmarkEnd w:id="18"/>
      <w:r>
        <w:rPr>
          <w:rStyle w:val="Style8"/>
          <w:b w:val="false"/>
          <w:i w:val="false"/>
          <w:sz w:val="24"/>
          <w:szCs w:val="24"/>
          <w:shd w:fill="auto" w:val="clear"/>
        </w:rPr>
        <w:t>выполнение работ в рамках исполнения договоров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№1080-524-2023 от 23.11.2023 «Строительно-монтажные работы по техническому перевооружению гидроагрегатов №1-4 Чиркейской ГЭС, включая оборудования системы пневматического хозяйства и оборудования системы турбинного маслохозяйства».</w:t>
      </w:r>
    </w:p>
    <w:p>
      <w:pPr>
        <w:pStyle w:val="Heading1"/>
        <w:rPr/>
      </w:pPr>
      <w:bookmarkStart w:id="20" w:name="_Toc233731635"/>
      <w:bookmarkStart w:id="21" w:name="_Toc54643699"/>
      <w:r>
        <w:rPr>
          <w:sz w:val="24"/>
          <w:szCs w:val="24"/>
        </w:rPr>
        <w:t>Таблица 1. Перечень объектов заказчика</w:t>
      </w:r>
      <w:bookmarkEnd w:id="20"/>
      <w:bookmarkEnd w:id="21"/>
    </w:p>
    <w:tbl>
      <w:tblPr>
        <w:tblW w:w="1005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3"/>
        <w:gridCol w:w="1872"/>
        <w:gridCol w:w="2839"/>
        <w:gridCol w:w="2551"/>
        <w:gridCol w:w="1984"/>
      </w:tblGrid>
      <w:tr>
        <w:trPr/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Адрес погрузки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Адрес выгрузки</w:t>
            </w:r>
          </w:p>
        </w:tc>
      </w:tr>
      <w:tr>
        <w:trPr/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jc w:val="both"/>
              <w:rPr/>
            </w:pPr>
            <w:r>
              <w:rPr/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Чиркейская ГЭС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iCs/>
                <w:sz w:val="24"/>
                <w:szCs w:val="24"/>
                <w:shd w:fill="FFFFFF" w:val="clear"/>
              </w:rPr>
              <w:t>Республика Дагестан, г. Кизилюрт, ул. Гагарина 50, База ГСО ПАО “РусГидро”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ГА №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Чиркейской ГЭС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iCs/>
                <w:sz w:val="24"/>
                <w:szCs w:val="24"/>
              </w:rPr>
              <w:t>Республика Дагестан, Чиркейская ГЭС</w:t>
            </w:r>
          </w:p>
        </w:tc>
      </w:tr>
      <w:tr>
        <w:trPr>
          <w:trHeight w:val="881" w:hRule="atLeast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jc w:val="both"/>
              <w:rPr/>
            </w:pPr>
            <w:r>
              <w:rPr/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Чиркейская ГЭС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iCs/>
                <w:sz w:val="24"/>
                <w:szCs w:val="24"/>
              </w:rPr>
              <w:t>Республика Дагестан, Чиркейская ГЭС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ГА №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Чиркейской ГЭС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iCs/>
                <w:sz w:val="24"/>
                <w:szCs w:val="24"/>
                <w:shd w:fill="FFFFFF" w:val="clear"/>
              </w:rPr>
              <w:t>Республика Дагестан, г. Кизилюрт, ул. Гагарина 50, База ГСО ПАО “РусГидро”</w:t>
            </w:r>
          </w:p>
        </w:tc>
      </w:tr>
      <w:tr>
        <w:trPr>
          <w:trHeight w:val="881" w:hRule="atLeast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jc w:val="both"/>
              <w:rPr/>
            </w:pPr>
            <w:r>
              <w:rPr/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Чиркейская ГЭС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iCs/>
                <w:sz w:val="24"/>
                <w:szCs w:val="24"/>
              </w:rPr>
              <w:t>Республика Дагестан, Чиркейская ГЭС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ГА №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Чиркейской ГЭС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iCs/>
                <w:sz w:val="24"/>
                <w:szCs w:val="24"/>
              </w:rPr>
              <w:t>Республика Дагестан, Чиркейская ГЭС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bookmarkStart w:id="22" w:name="_Toc54643700"/>
      <w:bookmarkStart w:id="23" w:name="_Hlk49857604"/>
      <w:bookmarkStart w:id="24" w:name="_Toc46743509"/>
      <w:r>
        <w:rPr>
          <w:sz w:val="24"/>
          <w:szCs w:val="24"/>
        </w:rPr>
        <w:t xml:space="preserve">2.3. Информация в отношении исполнения договора, </w:t>
      </w:r>
      <w:bookmarkStart w:id="25" w:name="_Hlk46492347"/>
      <w:r>
        <w:rPr>
          <w:sz w:val="24"/>
          <w:szCs w:val="24"/>
        </w:rPr>
        <w:t xml:space="preserve">которая должна быть учтена при подготовке заявки </w:t>
      </w:r>
      <w:bookmarkEnd w:id="25"/>
      <w:r>
        <w:rPr>
          <w:sz w:val="24"/>
          <w:szCs w:val="24"/>
        </w:rPr>
        <w:t>(в том числе перечень ресурсов, услуг и документов, предоставляемых заказчиком на этапе исполнения договора)</w:t>
      </w:r>
      <w:bookmarkStart w:id="26" w:name="_Hlk48209761"/>
      <w:bookmarkEnd w:id="22"/>
      <w:bookmarkEnd w:id="23"/>
      <w:bookmarkEnd w:id="24"/>
      <w:r>
        <w:rPr>
          <w:sz w:val="24"/>
          <w:szCs w:val="24"/>
        </w:rPr>
        <w:t xml:space="preserve">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2.3.1. Наличие собственной техники или документально подтвержденной привлеченной техники (договор аренды или оказания услуг по перевозке грузов) со следующими характеристиками:</w:t>
      </w:r>
    </w:p>
    <w:p>
      <w:pPr>
        <w:pStyle w:val="Normal"/>
        <w:jc w:val="both"/>
        <w:rPr>
          <w:sz w:val="24"/>
          <w:szCs w:val="24"/>
        </w:rPr>
      </w:pPr>
      <w:r>
        <w:rPr>
          <w:color w:val="0F1115"/>
          <w:sz w:val="24"/>
          <w:szCs w:val="24"/>
        </w:rPr>
        <w:t>1. Габаритная перевозка груза весом до 20 тонн и шириной до 2,55 м</w:t>
      </w:r>
    </w:p>
    <w:p>
      <w:pPr>
        <w:pStyle w:val="Normal"/>
        <w:jc w:val="both"/>
        <w:rPr>
          <w:sz w:val="24"/>
          <w:szCs w:val="24"/>
        </w:rPr>
      </w:pPr>
      <w:r>
        <w:rPr>
          <w:rStyle w:val="Strong"/>
          <w:b w:val="false"/>
          <w:bCs w:val="false"/>
          <w:color w:val="0F1115"/>
          <w:sz w:val="24"/>
          <w:szCs w:val="24"/>
        </w:rPr>
        <w:t>Тип перевозки</w:t>
      </w:r>
      <w:r>
        <w:rPr>
          <w:color w:val="0F1115"/>
          <w:sz w:val="24"/>
          <w:szCs w:val="24"/>
        </w:rPr>
        <w:t>: Габаритная.</w:t>
      </w:r>
    </w:p>
    <w:p>
      <w:pPr>
        <w:pStyle w:val="Normal"/>
        <w:jc w:val="both"/>
        <w:rPr>
          <w:sz w:val="24"/>
          <w:szCs w:val="24"/>
        </w:rPr>
      </w:pPr>
      <w:r>
        <w:rPr>
          <w:rStyle w:val="Strong"/>
          <w:b w:val="false"/>
          <w:bCs w:val="false"/>
          <w:color w:val="0F1115"/>
          <w:sz w:val="24"/>
          <w:szCs w:val="24"/>
        </w:rPr>
        <w:t>Характеристики груза</w:t>
      </w:r>
      <w:r>
        <w:rPr>
          <w:color w:val="0F1115"/>
          <w:sz w:val="24"/>
          <w:szCs w:val="24"/>
        </w:rPr>
        <w:t>: вес ≤ 20 т, ширина ≤ 2,55 м.</w:t>
      </w:r>
    </w:p>
    <w:p>
      <w:pPr>
        <w:pStyle w:val="Normal"/>
        <w:jc w:val="both"/>
        <w:rPr>
          <w:sz w:val="24"/>
          <w:szCs w:val="24"/>
        </w:rPr>
      </w:pPr>
      <w:r>
        <w:rPr>
          <w:rStyle w:val="Strong"/>
          <w:b w:val="false"/>
          <w:bCs w:val="false"/>
          <w:color w:val="0F1115"/>
          <w:sz w:val="24"/>
          <w:szCs w:val="24"/>
        </w:rPr>
        <w:t>Тягач</w:t>
      </w:r>
      <w:r>
        <w:rPr>
          <w:color w:val="0F1115"/>
          <w:sz w:val="24"/>
          <w:szCs w:val="24"/>
        </w:rPr>
        <w:t>: стандартный седельный тягач (4×2 или 6×2)</w:t>
      </w:r>
    </w:p>
    <w:p>
      <w:pPr>
        <w:pStyle w:val="BodyText"/>
        <w:spacing w:before="0" w:after="0"/>
        <w:jc w:val="both"/>
        <w:rPr/>
      </w:pPr>
      <w:r>
        <w:rPr>
          <w:rStyle w:val="Strong"/>
          <w:b w:val="false"/>
          <w:bCs w:val="false"/>
          <w:color w:val="0F1115"/>
          <w:sz w:val="24"/>
          <w:szCs w:val="24"/>
        </w:rPr>
        <w:t>Платформа/прицеп</w:t>
      </w:r>
      <w:r>
        <w:rPr>
          <w:color w:val="0F1115"/>
          <w:sz w:val="24"/>
          <w:szCs w:val="24"/>
        </w:rPr>
        <w:t>: стандартный полуприцеп-платформа (высокорамный) или бортовой прицеп.</w:t>
      </w:r>
    </w:p>
    <w:p>
      <w:pPr>
        <w:pStyle w:val="BodyText"/>
        <w:spacing w:before="0" w:after="0"/>
        <w:jc w:val="both"/>
        <w:rPr/>
      </w:pPr>
      <w:r>
        <w:rPr>
          <w:rStyle w:val="Strong"/>
          <w:b w:val="false"/>
          <w:bCs w:val="false"/>
          <w:color w:val="0F1115"/>
          <w:sz w:val="24"/>
          <w:szCs w:val="24"/>
        </w:rPr>
        <w:t>Характеристики платформы</w:t>
      </w:r>
      <w:r>
        <w:rPr>
          <w:color w:val="0F1115"/>
          <w:sz w:val="24"/>
          <w:szCs w:val="24"/>
        </w:rPr>
        <w:t>: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Грузоподъёмность: до 20 т.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Длина грузовой площадки: от 12 - 13,6 м (еврофура) или до 16 м (автопоезд).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Ширина платформы: 2,45–2,55 м (без уширителей).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Высота платформы от дороги: 1,2–1,4 м (стандартная).</w:t>
      </w:r>
    </w:p>
    <w:p>
      <w:pPr>
        <w:pStyle w:val="BodyText"/>
        <w:jc w:val="both"/>
        <w:rPr/>
      </w:pPr>
      <w:r>
        <w:rPr>
          <w:rStyle w:val="Strong"/>
          <w:b w:val="false"/>
          <w:bCs w:val="false"/>
          <w:color w:val="0F1115"/>
          <w:sz w:val="24"/>
          <w:szCs w:val="24"/>
        </w:rPr>
        <w:t>Особенности</w:t>
      </w:r>
      <w:r>
        <w:rPr>
          <w:color w:val="0F1115"/>
          <w:sz w:val="24"/>
          <w:szCs w:val="24"/>
        </w:rPr>
        <w:t xml:space="preserve">: </w:t>
      </w:r>
      <w:r>
        <w:rPr>
          <w:color w:val="0F1115"/>
          <w:sz w:val="24"/>
          <w:szCs w:val="24"/>
          <w:lang w:eastAsia="x-none"/>
        </w:rPr>
        <w:t>наличие съемных бортов, погрузка сверху, погрузка сбоку, погрузка сзади.  Наличие сцепных устройств (цепи и талрепы) г/п не менее 20 тонн.</w:t>
      </w:r>
    </w:p>
    <w:p>
      <w:pPr>
        <w:pStyle w:val="Normal"/>
        <w:jc w:val="both"/>
        <w:rPr/>
      </w:pPr>
      <w:r>
        <w:rPr>
          <w:color w:val="0F1115"/>
          <w:sz w:val="24"/>
          <w:szCs w:val="24"/>
        </w:rPr>
        <w:t>2. Негабаритная перевозка груза весом до 20 тонн и шириной от 2,56 м до 3,0 м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Тип перевозки: негабаритная (только по ширине), тяжеловесной не является.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Груз: вес ≤ 20 т, ширина 2,56–3,0 м.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Тягач: седельный тягач, возможен полноприводный вариант.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Платформа/трал: лёгкий низкорамный трал с гидравлическим опусканием и выдвижными уширителями.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Характеристики трала: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Грузоподъёмность: до 20 т.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Длина платформы: от 12 м.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Базовая ширина: 2,5–2,55 м.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Ширина с уширителями: до 3,1 м (регулируется под груз до 3,0 м).</w:t>
      </w:r>
    </w:p>
    <w:p>
      <w:pPr>
        <w:pStyle w:val="BodyText"/>
        <w:spacing w:lineRule="atLeast" w:line="0"/>
        <w:jc w:val="both"/>
        <w:rPr/>
      </w:pPr>
      <w:r>
        <w:rPr>
          <w:color w:val="0F1115"/>
          <w:sz w:val="24"/>
          <w:szCs w:val="24"/>
        </w:rPr>
        <w:t>Высота платформы в опущенном состоянии: 0,6–0,9 м.</w:t>
      </w:r>
    </w:p>
    <w:p>
      <w:pPr>
        <w:pStyle w:val="BodyText"/>
        <w:spacing w:lineRule="atLeast" w:line="0"/>
        <w:jc w:val="both"/>
        <w:rPr/>
      </w:pPr>
      <w:r>
        <w:rPr>
          <w:rStyle w:val="Strong"/>
          <w:b w:val="false"/>
          <w:bCs w:val="false"/>
          <w:color w:val="0F1115"/>
          <w:sz w:val="24"/>
          <w:szCs w:val="24"/>
        </w:rPr>
        <w:t>Особенности</w:t>
      </w:r>
      <w:r>
        <w:rPr>
          <w:color w:val="0F1115"/>
          <w:sz w:val="24"/>
          <w:szCs w:val="24"/>
        </w:rPr>
        <w:t xml:space="preserve">: </w:t>
      </w:r>
      <w:r>
        <w:rPr>
          <w:color w:val="0F1115"/>
          <w:sz w:val="24"/>
          <w:szCs w:val="24"/>
          <w:lang w:eastAsia="x-none"/>
        </w:rPr>
        <w:t>наличие съемных бортов, погрузка сверху, погрузка сбоку, погрузка сзади. Наличие сцепных устройств (цепи и талрепы) г/п не менее 20 тонн.</w:t>
      </w:r>
    </w:p>
    <w:p>
      <w:pPr>
        <w:pStyle w:val="BodyText"/>
        <w:jc w:val="both"/>
        <w:rPr/>
      </w:pPr>
      <w:r>
        <w:rPr>
          <w:color w:val="0F1115"/>
          <w:sz w:val="24"/>
          <w:szCs w:val="24"/>
        </w:rPr>
        <w:t>3. Негабаритная (тяжеловесная) перевозка груза весом от 20 до 30 тонн и шириной от 2,56 до 3,0 м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Тип перевозки: негабаритная + тяжеловесная.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Груз: вес 20–30 т, ширина 2,56–3,0 м.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Тягач: повышенной мощности, колёсная формула 6×4 или 8×4.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Платформа/трал: средний низкорамный трал с гидравликой и телескопической рамой.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Характеристики трала: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Грузоподъёмность: до 30 т.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Длина платформы: 9–14 м (телескопическая до 16 м).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Базовая ширина: 2,55–2,8 м.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Ширина с уширителями: до 3,1 м (под груз до 3,0 м).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Высота платформы: 0,5–0,8 м.</w:t>
      </w:r>
    </w:p>
    <w:p>
      <w:pPr>
        <w:pStyle w:val="BodyText"/>
        <w:spacing w:lineRule="atLeast" w:line="0"/>
        <w:jc w:val="both"/>
        <w:rPr/>
      </w:pPr>
      <w:r>
        <w:rPr>
          <w:rStyle w:val="Strong"/>
          <w:b w:val="false"/>
          <w:bCs w:val="false"/>
          <w:color w:val="0F1115"/>
          <w:sz w:val="24"/>
          <w:szCs w:val="24"/>
        </w:rPr>
        <w:t>Особенности</w:t>
      </w:r>
      <w:r>
        <w:rPr>
          <w:color w:val="0F1115"/>
          <w:sz w:val="24"/>
          <w:szCs w:val="24"/>
        </w:rPr>
        <w:t>:</w:t>
      </w:r>
      <w:r>
        <w:rPr>
          <w:color w:val="0F1115"/>
          <w:sz w:val="24"/>
          <w:szCs w:val="24"/>
          <w:lang w:eastAsia="x-none"/>
        </w:rPr>
        <w:t xml:space="preserve"> погрузка сверху, погрузка сбоку, погрузка сзади. Наличие сцепных устройств (цепи и талрепы) г/п не менее 20 тонн.</w:t>
      </w:r>
    </w:p>
    <w:p>
      <w:pPr>
        <w:pStyle w:val="BodyText"/>
        <w:spacing w:before="240" w:after="0"/>
        <w:jc w:val="both"/>
        <w:rPr/>
      </w:pPr>
      <w:r>
        <w:rPr>
          <w:color w:val="0F1115"/>
          <w:sz w:val="24"/>
          <w:szCs w:val="24"/>
        </w:rPr>
        <w:t>4. Негабаритная (тяжеловесная) перевозка груза весом от 30 до 40 тонн и шириной от 2,56 до 3,0 м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Тип перевозки: негабаритная + тяжеловесная.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Груз: вес 30–40 т, ширина 2,56–3,0 м.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Тягач: мощный тягач, 8×4 или 6×6, с гидравлической подвеской.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Платформа/трал: тяжёлый низкорамный трал с усиленной рамой.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Характеристики трала: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Грузоподъёмность: до 40 т.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Длина платформы: 10–16 м (телескопическая до 18 м).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Базовая ширина: 2,7–3,0 м.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Ширина с уширителями: до 3,1 м (под груз до 3,0 м).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Высота платформы: 0,4–0,7 м (заниженная).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  <w:szCs w:val="24"/>
        </w:rPr>
        <w:t>Количество осей: 4–5.</w:t>
      </w:r>
    </w:p>
    <w:p>
      <w:pPr>
        <w:pStyle w:val="BodyText"/>
        <w:spacing w:lineRule="atLeast" w:line="0"/>
        <w:jc w:val="both"/>
        <w:rPr/>
      </w:pPr>
      <w:r>
        <w:rPr>
          <w:rStyle w:val="Strong"/>
          <w:b w:val="false"/>
          <w:bCs w:val="false"/>
          <w:color w:val="0F1115"/>
          <w:sz w:val="24"/>
          <w:szCs w:val="24"/>
        </w:rPr>
        <w:t>Особенности</w:t>
      </w:r>
      <w:r>
        <w:rPr>
          <w:color w:val="0F1115"/>
          <w:sz w:val="24"/>
          <w:szCs w:val="24"/>
        </w:rPr>
        <w:t>:</w:t>
      </w:r>
      <w:r>
        <w:rPr>
          <w:color w:val="0F1115"/>
          <w:sz w:val="24"/>
          <w:szCs w:val="24"/>
          <w:lang w:eastAsia="x-none"/>
        </w:rPr>
        <w:t xml:space="preserve"> погрузка сверху, погрузка сбоку, погрузка сзади. Наличие сцепных устройств (цепи и талрепы) г/п не менее 20 тонн.</w:t>
      </w:r>
    </w:p>
    <w:p>
      <w:pPr>
        <w:pStyle w:val="BodyText"/>
        <w:spacing w:before="240" w:after="0"/>
        <w:jc w:val="both"/>
        <w:rPr/>
      </w:pPr>
      <w:r>
        <w:rPr>
          <w:color w:val="0F1115"/>
          <w:sz w:val="24"/>
        </w:rPr>
        <w:t>5. Негабаритная (тяжеловесная) перевозка груза весом от 40 до 50 тонн и шириной от 2,56 до 3,5 м по территории Чиркейской ГЭС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Тип перевозки: негабаритная + тяжеловесная (крупногабаритная).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Груз: вес 40–50 т, ширина 2,56–3,5 м.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Тягач: сверхмощный тягач, полноприводный, с балластной платформой для увеличения сцепного веса.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Платформа/трал: тяжёлый трал с усиленной многоколёсной ходовой частью.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Характеристики трала: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Грузоподъёмность: до 50 т.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Длина платформы: 12–18 м (телескопическая до 20 м).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Базовая ширина: 3,0–3,2 м.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Ширина с уширителями: до 3,6 м (регулируется под груз до 3,5 м).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Высота платформы: 0,3–0,6 м (очень низкая).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Количество осей: 5-6.</w:t>
      </w:r>
    </w:p>
    <w:p>
      <w:pPr>
        <w:pStyle w:val="BodyText"/>
        <w:spacing w:before="240" w:after="0"/>
        <w:jc w:val="both"/>
        <w:rPr/>
      </w:pPr>
      <w:r>
        <w:rPr>
          <w:color w:val="0F1115"/>
          <w:sz w:val="24"/>
        </w:rPr>
        <w:t>6. Негабаритная (тяжеловесная) перевозка груза весом от 50 до 60 тонн и шириной от 2,56 до 3,5 м по территории Чиркейской ГЭС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Тип перевозки: негабаритная + тяжеловесная (особо крупногабаритная).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Груз: вес 50–60 т, ширина 2,56–3,5 м.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Тягач: специальный тягач-тяжеловоз с гидромеханической трансмиссией, усиленной рамой.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Платформа/трал: сверхтяжёлый модульный трал с гидравлической системой выравнивания нагрузки.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Характеристики трала: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Грузоподъёмность: до 60 т.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Длина платформы: 14–20 м (составная, модульная).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Базовая ширина: 3,0–3,5 м.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Ширина с уширителями: до 3,6 м (под груз до 3,5 м).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Высота платформы: 0,3–0,5 м (минимальная).</w:t>
      </w:r>
    </w:p>
    <w:p>
      <w:pPr>
        <w:pStyle w:val="BodyText"/>
        <w:spacing w:before="0" w:after="0"/>
        <w:jc w:val="both"/>
        <w:rPr/>
      </w:pPr>
      <w:r>
        <w:rPr>
          <w:color w:val="0F1115"/>
          <w:sz w:val="24"/>
        </w:rPr>
        <w:t>Количество осей: 6–8 (с независимой подвеской и системой поворота всех колёс).</w:t>
      </w:r>
    </w:p>
    <w:p>
      <w:pPr>
        <w:pStyle w:val="BodyText"/>
        <w:spacing w:before="0" w:after="0"/>
        <w:jc w:val="both"/>
        <w:rPr>
          <w:color w:val="0F1115"/>
          <w:sz w:val="24"/>
        </w:rPr>
      </w:pPr>
      <w:r>
        <w:rPr>
          <w:color w:val="0F1115"/>
          <w:sz w:val="24"/>
        </w:rPr>
      </w:r>
    </w:p>
    <w:p>
      <w:pPr>
        <w:pStyle w:val="BodyText"/>
        <w:spacing w:before="0" w:after="0"/>
        <w:jc w:val="both"/>
        <w:rPr/>
      </w:pPr>
      <w:r>
        <w:rPr>
          <w:sz w:val="24"/>
          <w:szCs w:val="24"/>
        </w:rPr>
        <w:t>2.3.2. Исполнитель обязан нести все расходы, связанные с оказанием услуг по перевозке.</w:t>
      </w:r>
    </w:p>
    <w:p>
      <w:pPr>
        <w:pStyle w:val="BodyText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2.3.3. Предоставляемая техника должна находиться в технически исправном состоянии с заправкой ГСМ и необходимой документацией (в т.ч. путевым листом оформленным в соответствии с требованиями статьи 6 Федерального закона № 259-ФЗ от 08.11.2007 г.), укомплектованная необходимыми вспомогательными средствами: огнетушителем, аварийным знаком, аптечкой с медикаментами, в соответствии с согласованными Сторонами в Заявке временем и местом подачи. Исполнитель несет ответственность за техническое состояние техники. Исполнитель должен обеспечить соблюдение водителями (машинистами) правил и инструкций по охране труда, безопасности дорожного движения, пожарной и электробезопасности во время оказания услуг. Исполнитель несет ответственность за соблюдение действующих норм и правил при работе с ГПМ</w:t>
      </w:r>
    </w:p>
    <w:p>
      <w:pPr>
        <w:pStyle w:val="BodyText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2.3.4. Лица, управляющие техникой, должны иметь действующие квалификационные удостоверения на работу с техникой в действующих электроустановках и водительское удостоверение с разрешенной категорией.</w:t>
      </w:r>
    </w:p>
    <w:p>
      <w:pPr>
        <w:pStyle w:val="BodyText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2.3.5. Исполнитель должен соблюдать требования технологической, производственной и трудовой дисциплины.</w:t>
      </w:r>
    </w:p>
    <w:p>
      <w:pPr>
        <w:pStyle w:val="BodyText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2.3.6. Исполнитель несет ответственность за сохранность груза с момента загрузки на базе ГСО в г. Кизилюрт и выгрузки на Чиркейской ГЭС, загрузки на Чиркейской ГЭС и выгрузки на базу ГСО в г. Кизилюрт и перемещение грузов по объекту (Чиркейская ГЭС).</w:t>
      </w:r>
    </w:p>
    <w:p>
      <w:pPr>
        <w:pStyle w:val="Normal"/>
        <w:rPr/>
      </w:pPr>
      <w:r>
        <w:rPr>
          <w:sz w:val="24"/>
          <w:lang w:eastAsia="x-none"/>
        </w:rPr>
        <w:t>2.3.7 После</w:t>
      </w:r>
      <w:r>
        <w:rPr>
          <w:sz w:val="24"/>
          <w:szCs w:val="24"/>
        </w:rPr>
        <w:t xml:space="preserve"> окончания работ, копии путевых листов сдаются заказчику.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2.4. Исполнитель обязан возместить ущерб, причиненный третьим лицам</w:t>
        <w:br/>
        <w:t>транспортным средством, его механизмами, устройствами и оборудованием, в случае если ущерб причинен по вине сотрудников Исполнителя (или привлеченных соисполнителей).</w:t>
      </w:r>
    </w:p>
    <w:p>
      <w:pPr>
        <w:pStyle w:val="Heading1"/>
        <w:ind w:hanging="0"/>
        <w:rPr/>
      </w:pPr>
      <w:bookmarkStart w:id="27" w:name="_Toc233731636"/>
      <w:bookmarkStart w:id="28" w:name="_Toc51339693"/>
      <w:bookmarkStart w:id="29" w:name="_Toc54643702"/>
      <w:bookmarkStart w:id="30" w:name="_Toc46743510"/>
      <w:bookmarkStart w:id="31" w:name="_Toc50125126"/>
      <w:bookmarkEnd w:id="26"/>
      <w:bookmarkEnd w:id="30"/>
      <w:bookmarkEnd w:id="31"/>
      <w:r>
        <w:rPr>
          <w:sz w:val="24"/>
          <w:szCs w:val="24"/>
          <w:lang w:val="ru-RU"/>
        </w:rPr>
        <w:t>3. Требования</w:t>
      </w:r>
      <w:r>
        <w:rPr>
          <w:sz w:val="24"/>
          <w:szCs w:val="24"/>
        </w:rPr>
        <w:t xml:space="preserve"> к продукции</w:t>
      </w:r>
      <w:bookmarkEnd w:id="27"/>
      <w:bookmarkEnd w:id="28"/>
      <w:bookmarkEnd w:id="29"/>
    </w:p>
    <w:p>
      <w:pPr>
        <w:pStyle w:val="Normal"/>
        <w:rPr>
          <w:sz w:val="24"/>
          <w:szCs w:val="24"/>
        </w:rPr>
      </w:pPr>
      <w:bookmarkStart w:id="32" w:name="_Toc54643703"/>
      <w:r>
        <w:rPr>
          <w:sz w:val="24"/>
          <w:szCs w:val="24"/>
        </w:rPr>
        <w:t>3.1 Требования к объемам и срокам оказания услуг</w:t>
      </w:r>
      <w:bookmarkEnd w:id="32"/>
    </w:p>
    <w:p>
      <w:pPr>
        <w:pStyle w:val="Normal"/>
        <w:rPr>
          <w:sz w:val="24"/>
          <w:szCs w:val="24"/>
        </w:rPr>
      </w:pPr>
      <w:bookmarkStart w:id="33" w:name="_Toc54643704"/>
      <w:r>
        <w:rPr>
          <w:sz w:val="24"/>
          <w:szCs w:val="24"/>
        </w:rPr>
        <w:t>Требования к перечню и объему услуг</w:t>
      </w:r>
      <w:bookmarkEnd w:id="33"/>
    </w:p>
    <w:p>
      <w:pPr>
        <w:pStyle w:val="Heading1"/>
        <w:rPr/>
      </w:pPr>
      <w:bookmarkStart w:id="34" w:name="_Toc233731637"/>
      <w:bookmarkStart w:id="35" w:name="_Toc54643705"/>
      <w:bookmarkStart w:id="36" w:name="_Toc51339695"/>
      <w:r>
        <w:rPr>
          <w:sz w:val="24"/>
          <w:szCs w:val="24"/>
        </w:rPr>
        <w:t xml:space="preserve">Таблица 2. Перечень </w:t>
      </w:r>
      <w:bookmarkEnd w:id="36"/>
      <w:r>
        <w:rPr>
          <w:sz w:val="24"/>
          <w:szCs w:val="24"/>
        </w:rPr>
        <w:t>и объем оказываемых услуг</w:t>
      </w:r>
      <w:bookmarkEnd w:id="34"/>
      <w:bookmarkEnd w:id="35"/>
    </w:p>
    <w:tbl>
      <w:tblPr>
        <w:tblW w:w="9810" w:type="dxa"/>
        <w:jc w:val="left"/>
        <w:tblInd w:w="-5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000" w:noHBand="0" w:noVBand="0" w:firstColumn="0" w:lastRow="0" w:lastColumn="0" w:firstRow="0"/>
      </w:tblPr>
      <w:tblGrid>
        <w:gridCol w:w="726"/>
        <w:gridCol w:w="4471"/>
        <w:gridCol w:w="1398"/>
        <w:gridCol w:w="1398"/>
        <w:gridCol w:w="1817"/>
      </w:tblGrid>
      <w:tr>
        <w:trPr/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Маршрут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Ориентировочное Количество*</w:t>
            </w:r>
          </w:p>
        </w:tc>
      </w:tr>
      <w:tr>
        <w:trPr/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Габаритная перевозка груза весом до 20 тонн и шириной до 2,55 метров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1, п.1, 2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маш/час</w:t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320</w:t>
            </w:r>
          </w:p>
        </w:tc>
      </w:tr>
      <w:tr>
        <w:trPr/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Негабаритная перевозка груза весом до 20 тонн и шириной от 2,56 метров до 3,0 метров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1, п.1, 2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маш/час </w:t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160</w:t>
            </w:r>
          </w:p>
        </w:tc>
      </w:tr>
      <w:tr>
        <w:trPr/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Негабаритная (тяжеловесная) перевозка груза весом от 20 до 30 тонн и шириной от 2,56 метров до 3,0 метров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1, п.1, 2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маш/час</w:t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176</w:t>
            </w:r>
          </w:p>
        </w:tc>
      </w:tr>
      <w:tr>
        <w:trPr/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Негабаритная (тяжеловесная) перевозка груза весом от 30 до 40 тонн и шириной от 2,56 метров до 3,0 метров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1, п.1, 2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маш/час</w:t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136</w:t>
            </w:r>
          </w:p>
        </w:tc>
      </w:tr>
      <w:tr>
        <w:trPr/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Негабаритная (тяжеловесная) перевозка груза весом от 40 до 50 тонн и шириной от 2,56 метров до 3,5 метров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1, п.3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маш/час</w:t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48</w:t>
            </w:r>
          </w:p>
        </w:tc>
      </w:tr>
      <w:tr>
        <w:trPr/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Негабаритная (тяжеловесная) перевозка груза весом от 50 до 60 тонн и шириной от 2,56 метров до 3,5 метров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1, п.3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маш/час</w:t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48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*Количество часов по указанным категориям перевозок из Таблицы 2 может меняться в соответствии с потребностями Заказчика. Итоговое количество часов по каждой категории из таблицы 2 будет сформировано на основании заявок Заказчика.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bookmarkStart w:id="37" w:name="_Toc54643706"/>
      <w:bookmarkStart w:id="38" w:name="_Toc51339696"/>
      <w:bookmarkStart w:id="39" w:name="_Toc54643706"/>
      <w:bookmarkStart w:id="40" w:name="_Toc51339696"/>
    </w:p>
    <w:p>
      <w:pPr>
        <w:pStyle w:val="Normal"/>
        <w:rPr>
          <w:sz w:val="24"/>
          <w:szCs w:val="24"/>
        </w:rPr>
      </w:pPr>
      <w:bookmarkStart w:id="41" w:name="_Toc51339696"/>
      <w:r>
        <w:rPr>
          <w:sz w:val="24"/>
          <w:szCs w:val="24"/>
        </w:rPr>
        <w:t xml:space="preserve">Требования </w:t>
      </w:r>
      <w:bookmarkEnd w:id="41"/>
      <w:r>
        <w:rPr>
          <w:sz w:val="24"/>
          <w:szCs w:val="24"/>
        </w:rPr>
        <w:t>к срокам оказания услуг</w:t>
      </w:r>
      <w:bookmarkEnd w:id="39"/>
    </w:p>
    <w:p>
      <w:pPr>
        <w:pStyle w:val="Heading1"/>
        <w:rPr/>
      </w:pPr>
      <w:bookmarkStart w:id="42" w:name="_Toc233731638"/>
      <w:bookmarkStart w:id="43" w:name="_Toc54643707"/>
      <w:bookmarkStart w:id="44" w:name="_Toc50125127"/>
      <w:bookmarkStart w:id="45" w:name="_Toc51339697"/>
      <w:bookmarkStart w:id="46" w:name="_Toc501251261"/>
      <w:bookmarkEnd w:id="4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47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44"/>
      <w:bookmarkEnd w:id="45"/>
      <w:bookmarkEnd w:id="47"/>
      <w:r>
        <w:rPr>
          <w:sz w:val="24"/>
          <w:szCs w:val="24"/>
          <w:lang w:val="ru-RU"/>
        </w:rPr>
        <w:t>оказания услуг</w:t>
      </w:r>
      <w:bookmarkEnd w:id="42"/>
      <w:bookmarkEnd w:id="43"/>
    </w:p>
    <w:tbl>
      <w:tblPr>
        <w:tblW w:w="977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3"/>
        <w:gridCol w:w="4106"/>
        <w:gridCol w:w="2557"/>
        <w:gridCol w:w="1979"/>
      </w:tblGrid>
      <w:tr>
        <w:trPr/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Габаритная перевозка груза весом до 20 тонн и шириной до 2,55 метров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 w:themeColor="text1"/>
                <w:sz w:val="24"/>
                <w:szCs w:val="24"/>
              </w:rPr>
              <w:t>Не позднее 30.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12</w:t>
            </w:r>
            <w:r>
              <w:rPr>
                <w:color w:val="000000" w:themeColor="text1"/>
                <w:sz w:val="24"/>
                <w:szCs w:val="24"/>
              </w:rPr>
              <w:t>.2027г.</w:t>
            </w:r>
          </w:p>
        </w:tc>
      </w:tr>
      <w:tr>
        <w:trPr/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Негабаритная перевозка груза весом до 20 тонн и шириной от 2,56 метров до 3,0 метров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 w:themeColor="text1"/>
                <w:sz w:val="24"/>
                <w:szCs w:val="24"/>
              </w:rPr>
              <w:t>Не позднее 30.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12</w:t>
            </w:r>
            <w:r>
              <w:rPr>
                <w:color w:val="000000" w:themeColor="text1"/>
                <w:sz w:val="24"/>
                <w:szCs w:val="24"/>
              </w:rPr>
              <w:t>.2027г.</w:t>
            </w:r>
          </w:p>
        </w:tc>
      </w:tr>
      <w:tr>
        <w:trPr/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Негабаритная (тяжеловесная) перевозка груза весом от 20 до 30 тонн и шириной от 2,56 метров до 3,0 метров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 w:themeColor="text1"/>
                <w:sz w:val="24"/>
                <w:szCs w:val="24"/>
              </w:rPr>
              <w:t>Не позднее 30.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12</w:t>
            </w:r>
            <w:r>
              <w:rPr>
                <w:color w:val="000000" w:themeColor="text1"/>
                <w:sz w:val="24"/>
                <w:szCs w:val="24"/>
              </w:rPr>
              <w:t>.2027г.</w:t>
            </w:r>
          </w:p>
        </w:tc>
      </w:tr>
      <w:tr>
        <w:trPr/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Негабаритная (тяжеловесная) перевозка груза весом от 30 до 40 тонн и шириной от 2,56 метров до 3,0 метров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 w:themeColor="text1"/>
                <w:sz w:val="24"/>
                <w:szCs w:val="24"/>
              </w:rPr>
              <w:t>Не позднее 30.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12</w:t>
            </w:r>
            <w:r>
              <w:rPr>
                <w:color w:val="000000" w:themeColor="text1"/>
                <w:sz w:val="24"/>
                <w:szCs w:val="24"/>
              </w:rPr>
              <w:t>.2027г.</w:t>
            </w:r>
          </w:p>
        </w:tc>
      </w:tr>
      <w:tr>
        <w:trPr/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Негабаритная (тяжеловесная) перевозка груза весом от 40 до 50 тонн и шириной от 2,56 метров до 3,5 метров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 w:themeColor="text1"/>
                <w:sz w:val="24"/>
                <w:szCs w:val="24"/>
              </w:rPr>
              <w:t>Не позднее 30.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12</w:t>
            </w:r>
            <w:r>
              <w:rPr>
                <w:color w:val="000000" w:themeColor="text1"/>
                <w:sz w:val="24"/>
                <w:szCs w:val="24"/>
              </w:rPr>
              <w:t>.2027г.</w:t>
            </w:r>
          </w:p>
        </w:tc>
      </w:tr>
      <w:tr>
        <w:trPr/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4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Негабаритная (тяжеловесная) перевозка груза весом от 50 до 60 тонн и шириной от 2,56 метров до 3,5 метров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 w:themeColor="text1"/>
                <w:sz w:val="24"/>
                <w:szCs w:val="24"/>
              </w:rPr>
              <w:t>Не позднее 30.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12</w:t>
            </w:r>
            <w:r>
              <w:rPr>
                <w:color w:val="000000" w:themeColor="text1"/>
                <w:sz w:val="24"/>
                <w:szCs w:val="24"/>
              </w:rPr>
              <w:t>.2027г.</w:t>
            </w:r>
          </w:p>
        </w:tc>
      </w:tr>
    </w:tbl>
    <w:p>
      <w:pPr>
        <w:pStyle w:val="Normal"/>
        <w:jc w:val="both"/>
        <w:rPr/>
      </w:pPr>
      <w:bookmarkStart w:id="48" w:name="_Toc467435101"/>
      <w:bookmarkEnd w:id="48"/>
      <w:r>
        <w:rPr>
          <w:sz w:val="24"/>
          <w:szCs w:val="24"/>
        </w:rPr>
        <w:t>3.1. Требования к качеству услуг</w:t>
      </w:r>
    </w:p>
    <w:p>
      <w:pPr>
        <w:pStyle w:val="Heading1"/>
        <w:rPr/>
      </w:pPr>
      <w:bookmarkStart w:id="49" w:name="_Toc233731639"/>
      <w:bookmarkStart w:id="50" w:name="_Toc54643709"/>
      <w:bookmarkStart w:id="51" w:name="_Toc141969504"/>
      <w:bookmarkStart w:id="52" w:name="_Toc51339698"/>
      <w:bookmarkStart w:id="53" w:name="_Toc50125131"/>
      <w:r>
        <w:rPr>
          <w:sz w:val="24"/>
          <w:szCs w:val="24"/>
        </w:rPr>
        <w:t xml:space="preserve">Таблица 4. Требования к </w:t>
      </w:r>
      <w:bookmarkEnd w:id="52"/>
      <w:bookmarkEnd w:id="53"/>
      <w:r>
        <w:rPr>
          <w:sz w:val="24"/>
          <w:szCs w:val="24"/>
        </w:rPr>
        <w:t>качеству услуг</w:t>
      </w:r>
      <w:bookmarkEnd w:id="49"/>
      <w:bookmarkEnd w:id="50"/>
      <w:bookmarkEnd w:id="51"/>
      <w:r>
        <w:rPr>
          <w:sz w:val="24"/>
          <w:szCs w:val="24"/>
        </w:rPr>
        <w:t xml:space="preserve"> </w:t>
      </w:r>
    </w:p>
    <w:tbl>
      <w:tblPr>
        <w:tblStyle w:val="affffa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3"/>
        <w:gridCol w:w="3260"/>
        <w:gridCol w:w="6102"/>
      </w:tblGrid>
      <w:tr>
        <w:trPr>
          <w:trHeight w:val="322" w:hRule="atLeast"/>
        </w:trPr>
        <w:tc>
          <w:tcPr>
            <w:tcW w:w="70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26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10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937" w:hRule="atLeast"/>
        </w:trPr>
        <w:tc>
          <w:tcPr>
            <w:tcW w:w="70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1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bookmarkStart w:id="54" w:name="_Toc53499667"/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54"/>
          </w:p>
        </w:tc>
        <w:tc>
          <w:tcPr>
            <w:tcW w:w="32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1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9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6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предоставляемой технике</w:t>
            </w:r>
          </w:p>
        </w:tc>
        <w:tc>
          <w:tcPr>
            <w:tcW w:w="61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иметь технику для исполнения договора в собственности или на праве аренды материально-технических ресурсов (машин и механизмов, специальных приспособлений и инструментов) на оказание услуг по предмету закупки.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70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Ответственность Исполнителя в части оказания услуг</w:t>
            </w:r>
          </w:p>
        </w:tc>
        <w:tc>
          <w:tcPr>
            <w:tcW w:w="610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несет ответственность за сохранность груза с момента загрузки на базе ГСО в г. Кизилюрт  и выгрузки на Чиркейской ГЭС,и с погрузки с Чиркейской ГЭС на базу ГСО в г.Кизилюрт.</w:t>
            </w:r>
          </w:p>
        </w:tc>
      </w:tr>
      <w:tr>
        <w:trPr/>
        <w:tc>
          <w:tcPr>
            <w:tcW w:w="70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1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оказывает Услуги, в соответствии с потребностью Заказчика, на основании соответствующей заявки</w:t>
            </w:r>
          </w:p>
        </w:tc>
      </w:tr>
      <w:tr>
        <w:trPr/>
        <w:tc>
          <w:tcPr>
            <w:tcW w:w="70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1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производит страхование Техники и несет ответственность за возможный ущерб, причиненный Заказчику, в случае ненадлежащей эксплуатации Исполнителем ТС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</w:tr>
      <w:tr>
        <w:trPr>
          <w:trHeight w:val="1390" w:hRule="atLeast"/>
        </w:trPr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техники законодательству РФ</w:t>
            </w:r>
          </w:p>
        </w:tc>
        <w:tc>
          <w:tcPr>
            <w:tcW w:w="61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Используемые ТС должны соответствовать требованиям безопасности, общим требованиям, установленным «ГОСТ 25646-95. Эксплуатация строительных машин. Общие требования», ГОСТ 33997-2016 «Колесные транспортные средства. Требования к безопасности в эксплуатации и методы проверки»</w:t>
            </w:r>
          </w:p>
        </w:tc>
      </w:tr>
      <w:tr>
        <w:trPr/>
        <w:tc>
          <w:tcPr>
            <w:tcW w:w="703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60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техническому состоянию Техники</w:t>
            </w:r>
          </w:p>
        </w:tc>
        <w:tc>
          <w:tcPr>
            <w:tcW w:w="61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Допускается выпускать на маршрут технически исправную Технику, прошедшую в установленном порядке государственный технический осмотр.</w:t>
            </w:r>
          </w:p>
        </w:tc>
      </w:tr>
      <w:tr>
        <w:trPr/>
        <w:tc>
          <w:tcPr>
            <w:tcW w:w="703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60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1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Содержание (мойка (по мере необходимости), техническое обслуживание и ремонт, в том числе приобретение запасных частей, шин, расходных материалов) заправка топливом и смазочными материалами автотранспорта и спецтехники осуществляется силами и средствами Исполнителя, в том числе все виды обязательного страхования, предусмотренные законодательством РФ для оказания вышеперечисленных услуг.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703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60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6102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Лица, управляющие техникой, должны иметь действующие квалификационные удостоверения на работу с техникой и водительское удостоверение с разрешенной категорией</w:t>
            </w:r>
          </w:p>
        </w:tc>
      </w:tr>
      <w:tr>
        <w:trPr/>
        <w:tc>
          <w:tcPr>
            <w:tcW w:w="703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6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102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Разрешается допускать к управлению, только специально обученных и имеющих опыт работы на ТС операторов-водителей, имеющих соответствующую квалификацию, прошедших стажировку и медицинское освидетельствование, пред рейсовый, после рейсовый медосмотр собственным лицензированным медицинским работником или, при наличии договора на данный вид услуг, медицинским учреждением согласно рекомендациям Минздрава РФ и Минтранса РФ от 29.01.02 г и требованиями ФЗ от 10.12.1995 № 96-ФЗ «О безопасности дорожного движения».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true"/>
              <w:spacing w:before="60" w:after="60"/>
              <w:ind w:firstLine="142" w:left="-117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соблюдению Исполнителя технологической, производственной и трудовой дисциплин</w:t>
            </w:r>
          </w:p>
        </w:tc>
        <w:tc>
          <w:tcPr>
            <w:tcW w:w="61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соблюдать требования технологической, производственной и трудовой дисциплины</w:t>
            </w:r>
          </w:p>
        </w:tc>
      </w:tr>
      <w:tr>
        <w:trPr>
          <w:trHeight w:val="64" w:hRule="atLeast"/>
        </w:trPr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9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ТС законодательству РФ</w:t>
            </w:r>
          </w:p>
        </w:tc>
        <w:tc>
          <w:tcPr>
            <w:tcW w:w="61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соблюдать законодательство РФ при эксплуатации, обслуживании и предоставлении техники предоставляемых Заказчику.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61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нести все расходы, связанные с эксплуатацией техники,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спецтехники, оплату стоимости налоговых пошлин, страховых сборов, оплату штрафов, и иных расходов, возникающих в связи с эксплуатацией спецтехники.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2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61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Исполнитель обязан при невозможности предоставления спецтехники, согласованной в Заявке (ДТП, постановка в ремонт / на техническое обслуживание, угон ТС, иные причины) незамедлительно уведомить об этом Заказчика и по согласованию с Заказчиком предоставить подменную технику с аналогичными техническими характеристиками, соответствующими условиям Договора и на условиях, согласованных в Заявках. 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за 1 машино-час</w:t>
            </w:r>
          </w:p>
        </w:tc>
        <w:tc>
          <w:tcPr>
            <w:tcW w:w="61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1 машино-часа является фиксированной и постоянной на протяжении всего срока действия договора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Конфиденциальность</w:t>
            </w:r>
          </w:p>
        </w:tc>
        <w:tc>
          <w:tcPr>
            <w:tcW w:w="61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гарантировать наличие у персонала необходимых допусков и разрешений для оказания услуг, соблюдение установленных на объекте режимных требований при входе и выходе персонала, въезде, выезде Техники и ввозе материалов, условий конфиденциальности и неразглашения информации, а также других требований, описанных в данном техническом задании.</w:t>
            </w:r>
          </w:p>
        </w:tc>
      </w:tr>
    </w:tbl>
    <w:p>
      <w:pPr>
        <w:pStyle w:val="Heading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hanging="0"/>
        <w:rPr/>
      </w:pPr>
      <w:bookmarkStart w:id="55" w:name="_Toc233731640"/>
      <w:r>
        <w:rPr>
          <w:sz w:val="24"/>
          <w:szCs w:val="24"/>
          <w:lang w:val="ru-RU"/>
        </w:rPr>
        <w:t xml:space="preserve">4. </w:t>
      </w:r>
      <w:r>
        <w:rPr>
          <w:sz w:val="24"/>
          <w:szCs w:val="24"/>
        </w:rPr>
        <w:t>Требования к документации по ценообразованию на этапе закупки</w:t>
      </w:r>
      <w:r>
        <w:rPr>
          <w:sz w:val="24"/>
          <w:szCs w:val="24"/>
          <w:lang w:val="ru-RU"/>
        </w:rPr>
        <w:t>:</w:t>
      </w:r>
      <w:bookmarkEnd w:id="55"/>
    </w:p>
    <w:p>
      <w:pPr>
        <w:pStyle w:val="Heading4"/>
        <w:numPr>
          <w:ilvl w:val="1"/>
          <w:numId w:val="9"/>
        </w:numPr>
        <w:rPr/>
      </w:pPr>
      <w:r>
        <w:rPr/>
        <w:t xml:space="preserve">В обоснование стоимости своей заявки Участник предоставляет Коммерческое предложение по стоимости </w:t>
      </w:r>
      <w:r>
        <w:rPr>
          <w:lang w:val="ru-RU"/>
        </w:rPr>
        <w:t>перевозки по каждой позиции из Таблицы 2.</w:t>
      </w:r>
    </w:p>
    <w:p>
      <w:pPr>
        <w:pStyle w:val="Heading4"/>
        <w:numPr>
          <w:ilvl w:val="1"/>
          <w:numId w:val="9"/>
        </w:numPr>
        <w:rPr/>
      </w:pPr>
      <w:r>
        <w:rPr/>
        <w:t>Критерием оценки предпочтительности является</w:t>
      </w:r>
      <w:r>
        <w:rPr>
          <w:lang w:val="ru-RU"/>
        </w:rPr>
        <w:t xml:space="preserve"> суммарная</w:t>
      </w:r>
      <w:r>
        <w:rPr/>
        <w:t xml:space="preserve"> стоимость </w:t>
      </w:r>
      <w:r>
        <w:rPr>
          <w:lang w:val="ru-RU"/>
        </w:rPr>
        <w:t>расчетного заказа</w:t>
      </w:r>
      <w:r>
        <w:rPr/>
        <w:t>.</w:t>
      </w:r>
    </w:p>
    <w:p>
      <w:pPr>
        <w:pStyle w:val="Normal"/>
        <w:jc w:val="both"/>
        <w:rPr>
          <w:sz w:val="26"/>
          <w:szCs w:val="26"/>
          <w:lang w:val="x-none" w:eastAsia="x-none"/>
        </w:rPr>
      </w:pPr>
      <w:r>
        <w:rPr>
          <w:sz w:val="26"/>
          <w:szCs w:val="26"/>
          <w:lang w:val="x-none" w:eastAsia="x-none"/>
        </w:rPr>
      </w:r>
    </w:p>
    <w:p>
      <w:pPr>
        <w:pStyle w:val="Normal"/>
        <w:jc w:val="both"/>
        <w:rPr>
          <w:sz w:val="26"/>
          <w:szCs w:val="26"/>
          <w:lang w:val="x-none" w:eastAsia="x-none"/>
        </w:rPr>
      </w:pPr>
      <w:r>
        <w:rPr>
          <w:sz w:val="26"/>
          <w:szCs w:val="26"/>
          <w:lang w:val="x-none" w:eastAsia="x-none"/>
        </w:rPr>
      </w:r>
    </w:p>
    <w:p>
      <w:pPr>
        <w:pStyle w:val="Normal"/>
        <w:jc w:val="both"/>
        <w:rPr>
          <w:sz w:val="26"/>
          <w:szCs w:val="26"/>
          <w:lang w:val="x-none" w:eastAsia="x-none"/>
        </w:rPr>
      </w:pPr>
      <w:r>
        <w:rPr>
          <w:sz w:val="26"/>
          <w:szCs w:val="26"/>
          <w:lang w:val="x-none" w:eastAsia="x-none"/>
        </w:rPr>
      </w:r>
    </w:p>
    <w:p>
      <w:pPr>
        <w:pStyle w:val="Normal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140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PT Sans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 w:val="false"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6"/>
        <w:i w:val="false"/>
        <w:b w:val="false"/>
        <w:szCs w:val="26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3f6e4c"/>
    <w:pPr>
      <w:keepNext w:val="true"/>
      <w:tabs>
        <w:tab w:val="clear" w:pos="708"/>
        <w:tab w:val="left" w:pos="851" w:leader="none"/>
      </w:tabs>
      <w:spacing w:before="120" w:after="60"/>
      <w:ind w:hanging="11"/>
      <w:jc w:val="both"/>
      <w:outlineLvl w:val="2"/>
    </w:pPr>
    <w:rPr>
      <w:rFonts w:eastAsia="Calibri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1" w:customStyle="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3f6e4c"/>
    <w:rPr>
      <w:rFonts w:eastAsia="Calibri"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Основной текст_"/>
    <w:link w:val="19"/>
    <w:uiPriority w:val="99"/>
    <w:qFormat/>
    <w:locked/>
    <w:rsid w:val="008e58aa"/>
    <w:rPr>
      <w:sz w:val="28"/>
      <w:szCs w:val="28"/>
      <w:shd w:fill="FFFFFF" w:val="clear"/>
    </w:rPr>
  </w:style>
  <w:style w:type="character" w:styleId="Style15" w:customStyle="1">
    <w:name w:val="Основной текст + Малые прописные"/>
    <w:uiPriority w:val="99"/>
    <w:qFormat/>
    <w:rsid w:val="008e58aa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Style16" w:customStyle="1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Style17">
    <w:name w:val="Ссылка указателя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99"/>
    <w:qFormat/>
    <w:rsid w:val="00d22f6d"/>
    <w:pPr>
      <w:spacing w:before="0" w:after="0"/>
      <w:ind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left" w:pos="567" w:leader="none"/>
        <w:tab w:val="left" w:pos="851" w:leader="none"/>
      </w:tabs>
      <w:spacing w:before="480" w:after="240"/>
      <w:ind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9" w:customStyle="1">
    <w:name w:val="Основной текст1"/>
    <w:basedOn w:val="Normal"/>
    <w:link w:val="Style14"/>
    <w:uiPriority w:val="99"/>
    <w:qFormat/>
    <w:rsid w:val="008e58aa"/>
    <w:pPr>
      <w:widowControl w:val="false"/>
      <w:shd w:val="clear" w:color="auto" w:fill="FFFFFF"/>
      <w:spacing w:lineRule="exact" w:line="302"/>
    </w:pPr>
    <w:rPr/>
  </w:style>
  <w:style w:type="paragraph" w:styleId="Default" w:customStyle="1">
    <w:name w:val="Default"/>
    <w:qFormat/>
    <w:rsid w:val="008e58a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Style39" w:customStyle="1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39EBC-4E23-46C0-8AC8-CB6E53B20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Application>AlterOffice/2026.1.1.1$Linux_X86_64 LibreOffice_project/3e21501661f60bfec03e40427f644625fc6a58b7</Application>
  <AppVersion>15.0000</AppVersion>
  <Pages>9</Pages>
  <Words>2161</Words>
  <Characters>13558</Characters>
  <CharactersWithSpaces>15432</CharactersWithSpaces>
  <Paragraphs>272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2025-02-06T13:42:00Z</dcterms:created>
  <dc:creator>Быстров Олег Геннадьевич</dc:creator>
  <dc:description/>
  <dc:language>ru-RU</dc:language>
  <cp:lastModifiedBy>gaidarbekovra@corp.gidroogk.com</cp:lastModifiedBy>
  <cp:lastPrinted>2025-01-24T11:15:00Z</cp:lastPrinted>
  <dcterms:modified xsi:type="dcterms:W3CDTF">2026-07-31T17:03:49Z</dcterms:modified>
  <cp:revision>16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