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ТЕХНИЧЕСКИЕ ТРЕБОВАНИЯ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/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ОКПД2: </w:t>
      </w: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23.19.12.111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«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Поставка 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б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лок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ов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стеклянн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ых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пустотелы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х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бесцветны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х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, размер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ом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190х190х80 мм.»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для выполнения работ на Новосибирской ГЭС»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sz w:val="26"/>
          <w:szCs w:val="26"/>
        </w:rPr>
      </w:pPr>
      <w:r>
        <w:rPr>
          <w:rFonts w:cs="Times New Roman"/>
          <w:color w:val="000000"/>
          <w:sz w:val="26"/>
          <w:szCs w:val="26"/>
          <w:shd w:fill="FFFF00" w:val="clear"/>
        </w:rPr>
        <w:t xml:space="preserve">Лот № 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rPr>
          <w:szCs w:val="24"/>
        </w:rPr>
      </w:pPr>
      <w:r>
        <w:rPr>
          <w:b/>
          <w:bCs/>
          <w:szCs w:val="24"/>
        </w:rPr>
        <w:t>1. Общие сведения</w:t>
      </w:r>
      <w:r>
        <w:rPr>
          <w:szCs w:val="24"/>
        </w:rPr>
        <w:tab/>
        <w:t>………………………………………..............................….............</w:t>
        <w:tab/>
        <w:t>3</w:t>
      </w:r>
    </w:p>
    <w:p>
      <w:pPr>
        <w:pStyle w:val="Normal"/>
        <w:rPr/>
      </w:pPr>
      <w:r>
        <w:rPr>
          <w:szCs w:val="24"/>
        </w:rPr>
        <w:t>1.1 Наименование закупаемой продукции</w:t>
        <w:tab/>
        <w:t>…….…...………..………………………….</w:t>
        <w:tab/>
        <w:t>3</w:t>
      </w:r>
    </w:p>
    <w:p>
      <w:pPr>
        <w:pStyle w:val="Normal"/>
        <w:rPr/>
      </w:pPr>
      <w:r>
        <w:rPr>
          <w:szCs w:val="24"/>
        </w:rPr>
        <w:t>1.2. Цель использования закупаемой продукции</w:t>
        <w:tab/>
        <w:t>………………………………..…….</w:t>
        <w:tab/>
        <w:t>3</w:t>
      </w:r>
    </w:p>
    <w:p>
      <w:pPr>
        <w:pStyle w:val="Normal"/>
        <w:rPr/>
      </w:pPr>
      <w:r>
        <w:rPr>
          <w:b/>
          <w:bCs/>
          <w:szCs w:val="24"/>
        </w:rPr>
        <w:t>2. Требования к продукции</w:t>
      </w:r>
      <w:r>
        <w:rPr>
          <w:szCs w:val="24"/>
        </w:rPr>
        <w:tab/>
        <w:t>………………….…………………..………..……..</w:t>
        <w:tab/>
        <w:t>3</w:t>
      </w:r>
    </w:p>
    <w:p>
      <w:pPr>
        <w:pStyle w:val="Normal"/>
        <w:rPr/>
      </w:pPr>
      <w:r>
        <w:rPr>
          <w:szCs w:val="24"/>
        </w:rPr>
        <w:t>2.1. Требования к объемам и срокам поставки…………….…………………………....</w:t>
        <w:tab/>
        <w:t>3</w:t>
      </w:r>
    </w:p>
    <w:p>
      <w:pPr>
        <w:pStyle w:val="Normal"/>
        <w:rPr/>
      </w:pPr>
      <w:r>
        <w:rPr>
          <w:szCs w:val="24"/>
        </w:rPr>
        <w:t>2.1.1. Перечень и объем закупаемой продукции…………...………………………..….</w:t>
        <w:tab/>
        <w:t>3</w:t>
      </w:r>
    </w:p>
    <w:p>
      <w:pPr>
        <w:pStyle w:val="Normal"/>
        <w:rPr/>
      </w:pPr>
      <w:r>
        <w:rPr>
          <w:b/>
          <w:bCs/>
          <w:szCs w:val="24"/>
        </w:rPr>
        <w:t>Таблица 2.1. Перечень и объем закупаемой продукции</w:t>
      </w:r>
      <w:r>
        <w:rPr>
          <w:szCs w:val="24"/>
        </w:rPr>
        <w:t>…..……………………..….</w:t>
        <w:tab/>
        <w:t>3</w:t>
      </w:r>
    </w:p>
    <w:p>
      <w:pPr>
        <w:pStyle w:val="Normal"/>
        <w:rPr/>
      </w:pPr>
      <w:r>
        <w:rPr>
          <w:szCs w:val="24"/>
        </w:rPr>
        <w:t>2.1.2. Требования к срокам поставки продукции.…………………..………..………….</w:t>
        <w:tab/>
        <w:t>4</w:t>
      </w:r>
    </w:p>
    <w:p>
      <w:pPr>
        <w:pStyle w:val="Normal"/>
        <w:rPr/>
      </w:pPr>
      <w:r>
        <w:rPr>
          <w:b/>
          <w:bCs/>
          <w:szCs w:val="24"/>
        </w:rPr>
        <w:t>Таблица 2.2 Требования по срокам поставки продукции</w:t>
      </w:r>
      <w:r>
        <w:rPr>
          <w:szCs w:val="24"/>
        </w:rPr>
        <w:t>………………………….</w:t>
        <w:tab/>
        <w:t>4</w:t>
      </w:r>
    </w:p>
    <w:p>
      <w:pPr>
        <w:pStyle w:val="Normal"/>
        <w:rPr/>
      </w:pPr>
      <w:r>
        <w:rPr>
          <w:szCs w:val="24"/>
        </w:rPr>
        <w:t>2.2. Требования к качеству продукции</w:t>
        <w:tab/>
        <w:t>……...………………….………………...…</w:t>
        <w:tab/>
        <w:t>4</w:t>
      </w:r>
    </w:p>
    <w:p>
      <w:pPr>
        <w:pStyle w:val="Normal"/>
        <w:rPr/>
      </w:pPr>
      <w:r>
        <w:rPr>
          <w:b/>
          <w:bCs/>
          <w:szCs w:val="24"/>
        </w:rPr>
        <w:t>Таблица 2.3 Требования к продукции</w:t>
      </w:r>
      <w:r>
        <w:rPr>
          <w:szCs w:val="24"/>
        </w:rPr>
        <w:t>……………………...………………………....</w:t>
        <w:tab/>
        <w:t>5</w:t>
      </w:r>
    </w:p>
    <w:p>
      <w:pPr>
        <w:pStyle w:val="Normal"/>
        <w:rPr/>
      </w:pPr>
      <w:r>
        <w:rPr>
          <w:b/>
          <w:bCs/>
          <w:szCs w:val="24"/>
        </w:rPr>
        <w:t>3. Требования к документации по ценообразованию</w:t>
      </w:r>
      <w:r>
        <w:rPr>
          <w:b/>
          <w:bCs/>
        </w:rPr>
        <w:t xml:space="preserve"> </w:t>
      </w:r>
      <w:r>
        <w:rPr>
          <w:b/>
          <w:bCs/>
          <w:szCs w:val="24"/>
        </w:rPr>
        <w:t>на этапе закупки</w:t>
      </w:r>
      <w:r>
        <w:rPr>
          <w:szCs w:val="24"/>
        </w:rPr>
        <w:tab/>
        <w:t>..….....</w:t>
        <w:tab/>
        <w:t>7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</w:r>
    </w:p>
    <w:p>
      <w:pPr>
        <w:pStyle w:val="Normal"/>
        <w:keepNext w:val="true"/>
        <w:keepLines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  <w:r>
        <w:br w:type="page"/>
      </w:r>
    </w:p>
    <w:p>
      <w:pPr>
        <w:pStyle w:val="Heading4"/>
        <w:numPr>
          <w:ilvl w:val="0"/>
          <w:numId w:val="6"/>
        </w:numPr>
        <w:tabs>
          <w:tab w:val="clear" w:pos="709"/>
          <w:tab w:val="left" w:pos="0" w:leader="none"/>
        </w:tabs>
        <w:ind w:left="426" w:hanging="360"/>
        <w:jc w:val="center"/>
        <w:rPr>
          <w:color w:val="000000"/>
        </w:rPr>
      </w:pPr>
      <w:r>
        <w:rPr>
          <w:color w:val="000000"/>
        </w:rPr>
        <w:t>Общие сведения</w:t>
      </w:r>
    </w:p>
    <w:p>
      <w:pPr>
        <w:pStyle w:val="Normal"/>
        <w:tabs>
          <w:tab w:val="clear" w:pos="720"/>
          <w:tab w:val="left" w:pos="0" w:leader="none"/>
        </w:tabs>
        <w:ind w:left="426" w:hanging="360"/>
        <w:jc w:val="center"/>
        <w:rPr>
          <w:color w:val="000000"/>
        </w:rPr>
      </w:pPr>
      <w:r>
        <w:rPr>
          <w:color w:val="000000"/>
        </w:rPr>
      </w:r>
    </w:p>
    <w:p>
      <w:pPr>
        <w:pStyle w:val="Heading4"/>
        <w:numPr>
          <w:ilvl w:val="1"/>
          <w:numId w:val="7"/>
        </w:numPr>
        <w:ind w:left="0" w:firstLine="709"/>
        <w:rPr>
          <w:color w:val="000000"/>
        </w:rPr>
      </w:pPr>
      <w:bookmarkStart w:id="0" w:name="_Toc75446568"/>
      <w:bookmarkStart w:id="1" w:name="_Toc75446569"/>
      <w:bookmarkStart w:id="2" w:name="_Toc46743506"/>
      <w:bookmarkEnd w:id="1"/>
      <w:r>
        <w:rPr>
          <w:color w:val="000000"/>
        </w:rPr>
        <w:t>Наименование закупаемой продукции</w:t>
      </w:r>
      <w:bookmarkEnd w:id="0"/>
      <w:bookmarkEnd w:id="2"/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/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ОКПД2: </w:t>
      </w: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23.19.12.111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«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Поставка 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б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лок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ов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стеклянн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ых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пустотелы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х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бесцветны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х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, размер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ом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190х190х80 мм.»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для выполнения работ на Новосибирской ГЭС»</w:t>
      </w:r>
    </w:p>
    <w:p>
      <w:pPr>
        <w:pStyle w:val="Heading4"/>
        <w:numPr>
          <w:ilvl w:val="1"/>
          <w:numId w:val="7"/>
        </w:numPr>
        <w:ind w:left="0" w:firstLine="709"/>
        <w:rPr>
          <w:color w:val="000000"/>
        </w:rPr>
      </w:pPr>
      <w:bookmarkStart w:id="3" w:name="_Toc46743507"/>
      <w:bookmarkStart w:id="4" w:name="_Toc75446569_Копия_1"/>
      <w:bookmarkEnd w:id="4"/>
      <w:r>
        <w:rPr>
          <w:color w:val="000000"/>
        </w:rPr>
        <w:t xml:space="preserve">Цель </w:t>
      </w:r>
      <w:bookmarkEnd w:id="3"/>
      <w:r>
        <w:rPr>
          <w:color w:val="000000"/>
        </w:rPr>
        <w:t xml:space="preserve">использования закупаемой продукции </w:t>
      </w:r>
    </w:p>
    <w:p>
      <w:pPr>
        <w:pStyle w:val="Heading4"/>
        <w:rPr>
          <w:b w:val="false"/>
          <w:color w:val="000000"/>
          <w:shd w:fill="FFFFFF" w:val="clear"/>
        </w:rPr>
      </w:pPr>
      <w:r>
        <w:rPr>
          <w:rStyle w:val="Style"/>
          <w:b/>
          <w:i w:val="false"/>
          <w:color w:val="000000"/>
          <w:shd w:fill="FFFFFF" w:val="clear"/>
        </w:rPr>
        <w:t>Исполнение договоров:</w:t>
      </w:r>
    </w:p>
    <w:p>
      <w:pPr>
        <w:pStyle w:val="Normal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color w:val="000000"/>
        </w:rPr>
        <w:t>- №</w:t>
      </w:r>
      <w:r>
        <w:rPr>
          <w:color w:val="000000"/>
        </w:rPr>
        <w:t>9</w:t>
      </w:r>
      <w:r>
        <w:rPr>
          <w:color w:val="000000"/>
        </w:rPr>
        <w:t xml:space="preserve">-РЕМ-2026 от </w:t>
      </w:r>
      <w:r>
        <w:rPr>
          <w:color w:val="000000"/>
        </w:rPr>
        <w:t>08</w:t>
      </w:r>
      <w:r>
        <w:rPr>
          <w:color w:val="000000"/>
        </w:rPr>
        <w:t>.0</w:t>
      </w:r>
      <w:r>
        <w:rPr>
          <w:color w:val="000000"/>
        </w:rPr>
        <w:t>7</w:t>
      </w:r>
      <w:r>
        <w:rPr>
          <w:color w:val="000000"/>
        </w:rPr>
        <w:t>.2026 «</w:t>
      </w:r>
      <w:r>
        <w:rPr>
          <w:color w:val="000000"/>
        </w:rPr>
        <w:t xml:space="preserve">Текущий ремонт фасада здания </w:t>
      </w:r>
      <w:r>
        <w:rPr>
          <w:color w:val="000000"/>
        </w:rPr>
        <w:t>Новосибирской ГЭС».</w:t>
      </w:r>
    </w:p>
    <w:p>
      <w:pPr>
        <w:pStyle w:val="Heading1"/>
        <w:numPr>
          <w:ilvl w:val="0"/>
          <w:numId w:val="6"/>
        </w:numPr>
        <w:tabs>
          <w:tab w:val="clear" w:pos="0"/>
          <w:tab w:val="clear" w:pos="709"/>
        </w:tabs>
        <w:ind w:left="426" w:hanging="360"/>
        <w:jc w:val="center"/>
        <w:rPr>
          <w:caps/>
          <w:color w:val="000000"/>
          <w:sz w:val="24"/>
          <w:lang w:val="ru-RU"/>
        </w:rPr>
      </w:pPr>
      <w:bookmarkStart w:id="5" w:name="_Toc51339693"/>
      <w:bookmarkStart w:id="6" w:name="_Toc75446573"/>
      <w:r>
        <w:rPr>
          <w:color w:val="000000"/>
          <w:sz w:val="24"/>
        </w:rPr>
        <w:t>Требования к продукции</w:t>
      </w:r>
      <w:bookmarkEnd w:id="5"/>
      <w:bookmarkEnd w:id="6"/>
    </w:p>
    <w:p>
      <w:pPr>
        <w:pStyle w:val="Normal"/>
        <w:rPr>
          <w:rFonts w:cs="Times New Roman"/>
          <w:color w:val="000000"/>
          <w:lang w:eastAsia="x-none"/>
        </w:rPr>
      </w:pPr>
      <w:r>
        <w:rPr>
          <w:rFonts w:cs="Times New Roman"/>
          <w:color w:val="000000"/>
          <w:lang w:eastAsia="x-none"/>
        </w:rPr>
      </w:r>
    </w:p>
    <w:p>
      <w:pPr>
        <w:pStyle w:val="Heading4"/>
        <w:numPr>
          <w:ilvl w:val="1"/>
          <w:numId w:val="6"/>
        </w:numPr>
        <w:tabs>
          <w:tab w:val="clear" w:pos="0"/>
          <w:tab w:val="left" w:pos="709" w:leader="none"/>
        </w:tabs>
        <w:ind w:left="1134" w:hanging="360"/>
        <w:rPr>
          <w:color w:val="000000"/>
          <w:lang w:val="ru-RU"/>
        </w:rPr>
      </w:pPr>
      <w:bookmarkStart w:id="7" w:name="_Toc75446574"/>
      <w:r>
        <w:rPr>
          <w:color w:val="000000"/>
        </w:rPr>
        <w:t xml:space="preserve">Требования к объемам и срокам </w:t>
      </w:r>
      <w:r>
        <w:rPr>
          <w:color w:val="000000"/>
          <w:lang w:val="ru-RU"/>
        </w:rPr>
        <w:t>поставки</w:t>
      </w:r>
      <w:bookmarkEnd w:id="7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6"/>
        </w:numPr>
        <w:tabs>
          <w:tab w:val="clear" w:pos="0"/>
          <w:tab w:val="left" w:pos="709" w:leader="none"/>
        </w:tabs>
        <w:ind w:left="0" w:firstLine="709"/>
        <w:rPr>
          <w:color w:val="000000"/>
        </w:rPr>
      </w:pPr>
      <w:bookmarkStart w:id="8" w:name="_Toc75446575"/>
      <w:r>
        <w:rPr>
          <w:color w:val="000000"/>
        </w:rPr>
        <w:t>Перечень и объем закупаемой продукции</w:t>
      </w:r>
      <w:bookmarkEnd w:id="8"/>
    </w:p>
    <w:p>
      <w:pPr>
        <w:pStyle w:val="Normal"/>
        <w:rPr>
          <w:rFonts w:cs="Times New Roman"/>
          <w:color w:val="000000"/>
          <w:lang w:val="x-none" w:eastAsia="x-none"/>
        </w:rPr>
      </w:pPr>
      <w:r>
        <w:rPr>
          <w:rFonts w:cs="Times New Roman"/>
          <w:color w:val="000000"/>
          <w:lang w:val="x-none" w:eastAsia="x-none"/>
        </w:rPr>
      </w:r>
    </w:p>
    <w:p>
      <w:pPr>
        <w:pStyle w:val="Normal"/>
        <w:jc w:val="both"/>
        <w:rPr>
          <w:rFonts w:cs="Times New Roman"/>
          <w:color w:val="000000"/>
          <w:szCs w:val="24"/>
        </w:rPr>
      </w:pPr>
      <w:bookmarkStart w:id="9" w:name="_Toc75446576"/>
      <w:bookmarkStart w:id="10" w:name="_Toc51339695"/>
      <w:r>
        <w:rPr>
          <w:rFonts w:cs="Times New Roman"/>
          <w:color w:val="000000"/>
          <w:szCs w:val="24"/>
        </w:rPr>
        <w:t xml:space="preserve">Таблица 2.1 Перечень </w:t>
      </w:r>
      <w:bookmarkEnd w:id="10"/>
      <w:r>
        <w:rPr>
          <w:rFonts w:cs="Times New Roman"/>
          <w:color w:val="000000"/>
          <w:szCs w:val="24"/>
        </w:rPr>
        <w:t>и объем закупаемой продукци</w:t>
      </w:r>
      <w:bookmarkEnd w:id="9"/>
      <w:r>
        <w:rPr>
          <w:rFonts w:cs="Times New Roman"/>
          <w:color w:val="000000"/>
          <w:szCs w:val="24"/>
        </w:rPr>
        <w:t>и</w:t>
      </w:r>
    </w:p>
    <w:tbl>
      <w:tblPr>
        <w:tblW w:w="944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5999"/>
        <w:gridCol w:w="1276"/>
        <w:gridCol w:w="1319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п/п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lang w:eastAsia="x-none"/>
              </w:rPr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Единица измерения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lang w:eastAsia="x-none"/>
              </w:rPr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sz w:val="22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lang w:eastAsia="x-none"/>
              </w:rPr>
            </w:pPr>
            <w:r>
              <w:rPr>
                <w:rFonts w:cs="Times New Roman"/>
                <w:color w:val="000000"/>
                <w:lang w:eastAsia="x-none"/>
              </w:rPr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1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4</w:t>
            </w:r>
          </w:p>
        </w:tc>
      </w:tr>
      <w:tr>
        <w:trPr>
          <w:trHeight w:val="333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1.1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Блоки стеклянные пустотелые бесцветные, размеры 190х190х80 мм</w:t>
            </w:r>
          </w:p>
          <w:p>
            <w:pPr>
              <w:pStyle w:val="Normal"/>
              <w:widowControl w:val="false"/>
              <w:overflowPunct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шт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1650</w:t>
            </w:r>
          </w:p>
        </w:tc>
      </w:tr>
    </w:tbl>
    <w:p>
      <w:pPr>
        <w:pStyle w:val="Normal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Heading3"/>
        <w:numPr>
          <w:ilvl w:val="2"/>
          <w:numId w:val="6"/>
        </w:numPr>
        <w:tabs>
          <w:tab w:val="clear" w:pos="0"/>
          <w:tab w:val="left" w:pos="709" w:leader="none"/>
        </w:tabs>
        <w:ind w:left="0" w:firstLine="709"/>
        <w:rPr>
          <w:color w:val="000000"/>
        </w:rPr>
      </w:pPr>
      <w:bookmarkStart w:id="11" w:name="_Toc75446578"/>
      <w:bookmarkStart w:id="12" w:name="_Toc51339696"/>
      <w:r>
        <w:rPr>
          <w:color w:val="000000"/>
        </w:rPr>
        <w:t xml:space="preserve">Требования </w:t>
      </w:r>
      <w:bookmarkEnd w:id="12"/>
      <w:r>
        <w:rPr>
          <w:color w:val="000000"/>
        </w:rPr>
        <w:t xml:space="preserve">к срокам поставки продукции </w:t>
      </w:r>
      <w:bookmarkEnd w:id="11"/>
    </w:p>
    <w:p>
      <w:pPr>
        <w:pStyle w:val="Normal"/>
        <w:rPr>
          <w:rFonts w:cs="Times New Roman"/>
          <w:color w:val="000000"/>
          <w:lang w:val="x-none" w:eastAsia="x-none"/>
        </w:rPr>
      </w:pPr>
      <w:r>
        <w:rPr>
          <w:rFonts w:cs="Times New Roman"/>
          <w:color w:val="000000"/>
          <w:lang w:val="x-none" w:eastAsia="x-none"/>
        </w:rPr>
      </w:r>
    </w:p>
    <w:p>
      <w:pPr>
        <w:pStyle w:val="Normal"/>
        <w:rPr>
          <w:rFonts w:cs="Times New Roman"/>
          <w:color w:val="000000"/>
          <w:szCs w:val="24"/>
          <w:lang w:eastAsia="x-none"/>
        </w:rPr>
      </w:pPr>
      <w:bookmarkStart w:id="13" w:name="_Toc75446579"/>
      <w:bookmarkStart w:id="14" w:name="_Toc51339697"/>
      <w:bookmarkStart w:id="15" w:name="_Toc50125127"/>
      <w:r>
        <w:rPr>
          <w:rFonts w:cs="Times New Roman"/>
          <w:color w:val="000000"/>
          <w:szCs w:val="24"/>
          <w:lang w:eastAsia="x-none"/>
        </w:rPr>
        <w:t xml:space="preserve">Таблица 2.2 </w:t>
      </w:r>
      <w:bookmarkStart w:id="16" w:name="_Hlk50465284"/>
      <w:r>
        <w:rPr>
          <w:rFonts w:cs="Times New Roman"/>
          <w:color w:val="000000"/>
          <w:szCs w:val="24"/>
          <w:lang w:eastAsia="x-none"/>
        </w:rPr>
        <w:t xml:space="preserve">Требования по срокам </w:t>
      </w:r>
      <w:bookmarkEnd w:id="14"/>
      <w:bookmarkEnd w:id="15"/>
      <w:bookmarkEnd w:id="16"/>
      <w:r>
        <w:rPr>
          <w:rFonts w:cs="Times New Roman"/>
          <w:color w:val="000000"/>
          <w:szCs w:val="24"/>
          <w:lang w:eastAsia="x-none"/>
        </w:rPr>
        <w:t>поставки продукции</w:t>
      </w:r>
      <w:bookmarkEnd w:id="13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96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2"/>
        <w:gridCol w:w="5108"/>
        <w:gridCol w:w="1856"/>
        <w:gridCol w:w="1838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№ </w:t>
            </w: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 / партии продукции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9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b/>
                <w:bCs/>
                <w:sz w:val="22"/>
              </w:rPr>
              <w:t>Поставка на Новосибирскую ГЭС</w:t>
            </w:r>
          </w:p>
        </w:tc>
      </w:tr>
      <w:tr>
        <w:trPr>
          <w:trHeight w:val="1124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70" w:hanging="0"/>
              <w:jc w:val="center"/>
              <w:rPr/>
            </w:pPr>
            <w:r>
              <w:rPr>
                <w:color w:val="000000"/>
              </w:rPr>
              <w:t>1.1.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900" w:leader="none"/>
              </w:tabs>
              <w:spacing w:lineRule="auto" w:line="276"/>
              <w:ind w:left="0" w:hanging="0"/>
              <w:jc w:val="center"/>
              <w:outlineLvl w:val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ОКПД2: </w:t>
            </w:r>
            <w:r>
              <w:rPr>
                <w:rStyle w:val="Strong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23.19.12.111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«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Поставка 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б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лок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ов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 стеклянн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ых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 пустотелы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х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 бесцветны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х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, размер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ом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 190х190х80 мм.»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для выполнения работ на Новосибирской ГЭС»</w:t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В течение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календарных ней с даты подписания Договора: не позднее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30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  <w:r>
              <w:rPr>
                <w:rFonts w:cs="Times New Roman"/>
                <w:color w:val="000000"/>
                <w:sz w:val="24"/>
                <w:szCs w:val="24"/>
              </w:rPr>
              <w:t>.2026.</w:t>
            </w:r>
          </w:p>
        </w:tc>
      </w:tr>
    </w:tbl>
    <w:p>
      <w:pPr>
        <w:pStyle w:val="Normal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ListParagraph"/>
        <w:numPr>
          <w:ilvl w:val="1"/>
          <w:numId w:val="6"/>
        </w:numPr>
        <w:rPr>
          <w:b/>
          <w:color w:val="000000"/>
          <w:lang w:eastAsia="x-none"/>
        </w:rPr>
      </w:pPr>
      <w:r>
        <w:rPr>
          <w:b/>
          <w:color w:val="000000"/>
          <w:lang w:eastAsia="x-none"/>
        </w:rPr>
        <w:t xml:space="preserve">Требования к качеству продукции </w:t>
      </w:r>
    </w:p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ind w:firstLine="432"/>
        <w:jc w:val="both"/>
        <w:rPr>
          <w:bCs/>
          <w:i/>
          <w:i/>
          <w:szCs w:val="24"/>
          <w:lang w:eastAsia="x-none"/>
        </w:rPr>
      </w:pPr>
      <w:r>
        <w:rPr>
          <w:bCs/>
          <w:i/>
          <w:szCs w:val="24"/>
          <w:lang w:eastAsia="x-none"/>
        </w:rPr>
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</w:r>
    </w:p>
    <w:p>
      <w:pPr>
        <w:pStyle w:val="Normal"/>
        <w:rPr>
          <w:rFonts w:cs="Times New Roman"/>
          <w:color w:val="000000"/>
          <w:szCs w:val="24"/>
          <w:lang w:eastAsia="x-none"/>
        </w:rPr>
      </w:pPr>
      <w:bookmarkStart w:id="17" w:name="_Toc75446582"/>
      <w:r>
        <w:rPr>
          <w:rFonts w:cs="Times New Roman"/>
          <w:color w:val="000000"/>
          <w:szCs w:val="24"/>
          <w:lang w:eastAsia="x-none"/>
        </w:rPr>
        <w:t>Таблица 2.3. Требования к продукции</w:t>
      </w:r>
      <w:bookmarkEnd w:id="17"/>
    </w:p>
    <w:p>
      <w:pPr>
        <w:pStyle w:val="Normal"/>
        <w:rPr/>
      </w:pPr>
      <w:r>
        <w:rPr/>
      </w:r>
    </w:p>
    <w:tbl>
      <w:tblPr>
        <w:tblW w:w="1502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0"/>
        <w:gridCol w:w="2326"/>
        <w:gridCol w:w="2099"/>
        <w:gridCol w:w="2518"/>
        <w:gridCol w:w="2470"/>
        <w:gridCol w:w="2775"/>
        <w:gridCol w:w="1986"/>
      </w:tblGrid>
      <w:tr>
        <w:trPr>
          <w:trHeight w:val="424" w:hRule="atLeast"/>
        </w:trPr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textAlignment w:val="baseline"/>
              <w:rPr/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Наименование продукции (позиция № 1.1 (Таблицы 2.3):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</w:rPr>
              <w:t xml:space="preserve">ОКПД2: </w:t>
            </w:r>
            <w:r>
              <w:rPr>
                <w:rStyle w:val="Strong"/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23.19.12.111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</w:rPr>
              <w:t xml:space="preserve">Поставка 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б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лок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ов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 стеклянн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ых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 пустотелы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х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 бесцветны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х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, размер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ом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 190х190х80 мм.»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</w:rPr>
              <w:t xml:space="preserve"> для выполнения работ на Новосибирской ГЭС»</w:t>
            </w:r>
          </w:p>
        </w:tc>
      </w:tr>
      <w:tr>
        <w:trPr>
          <w:trHeight w:val="544" w:hRule="atLeast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4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продукции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параметра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Требование заказчика</w:t>
            </w:r>
          </w:p>
        </w:tc>
        <w:tc>
          <w:tcPr>
            <w:tcW w:w="4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332" w:hRule="atLeast"/>
        </w:trPr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73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4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</w:t>
            </w:r>
          </w:p>
        </w:tc>
      </w:tr>
      <w:tr>
        <w:trPr>
          <w:trHeight w:val="267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41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55" w:hRule="atLeast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1.1.</w:t>
            </w:r>
          </w:p>
        </w:tc>
        <w:tc>
          <w:tcPr>
            <w:tcW w:w="4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Блоки стеклянные пустотелые бесцветные, размеры 190х190х80 мм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/>
              <w:t>Описание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Стандартный стеклоблок для интерьера. Ультра белый оттенок стекла.</w:t>
            </w:r>
          </w:p>
          <w:p>
            <w:pPr>
              <w:pStyle w:val="BodyText"/>
              <w:widowControl/>
              <w:pBdr/>
              <w:spacing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Бесцветный, без матировки, структура "АЛЬФА" или "ЛИНЗА"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Доставка и выгрузка</w:t>
            </w:r>
            <w:bookmarkStart w:id="18" w:name="_GoBack"/>
            <w:bookmarkEnd w:id="18"/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Автотранспортом Поставщика (кран-манипулятор бортовой) на территорию Новосибирской ГЭС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135" w:hRule="atLeast"/>
        </w:trPr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Срок окончания действия сертификата качества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ранее 31.12.2026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41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Место поставки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i/>
              </w:rPr>
              <w:t>Производственный участок АО «Гидроремонт-ВКК» в г. Новосибирск, 630056, Новосибирская обл., г. Новосибирск, ул. Новоморская, д. 4/1.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Приемка продукции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i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2.3</w:t>
            </w:r>
          </w:p>
        </w:tc>
        <w:tc>
          <w:tcPr>
            <w:tcW w:w="9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rFonts w:eastAsia="Times New Roman" w:cs="Times New Roman"/>
                <w:i/>
                <w:szCs w:val="24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 по тел. 8 (383) 379-07-74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Сроки гарантии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Не менее 36 месяцев с даты подписания сторонами ТОРГ-12 (УПД)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9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Документы, передаваемые вместе с продукцией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Cs w:val="24"/>
              </w:rPr>
            </w:pPr>
            <w:r>
              <w:rPr>
                <w:i/>
                <w:szCs w:val="24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 </w:t>
            </w:r>
            <w:r>
              <w:rPr>
                <w:i/>
              </w:rPr>
              <w:t>со штампом отдела технического контроля (ОТК) изготовителя.</w:t>
            </w:r>
            <w:r>
              <w:rPr>
                <w:i/>
                <w:szCs w:val="24"/>
              </w:rPr>
              <w:t>; товарную накладную унифицированной формы ТОРГ-12(УПД) в 2 экз.</w:t>
            </w:r>
            <w:r>
              <w:rPr>
                <w:bCs/>
                <w:i/>
                <w:iCs/>
                <w:szCs w:val="24"/>
              </w:rPr>
              <w:t>, транспортную накладную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9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</w:rPr>
            </w:pPr>
            <w:r>
              <w:rPr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5.1</w:t>
            </w:r>
          </w:p>
        </w:tc>
        <w:tc>
          <w:tcPr>
            <w:tcW w:w="9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</w:rPr>
            </w:pPr>
            <w:r>
              <w:rPr>
                <w:i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jc w:val="both"/>
              <w:rPr>
                <w:bCs/>
                <w:i/>
                <w:i/>
                <w:szCs w:val="24"/>
                <w:lang w:eastAsia="x-none"/>
              </w:rPr>
            </w:pPr>
            <w:r>
              <w:rPr>
                <w:bCs/>
                <w:i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</w:rPr>
            </w:pPr>
            <w:r>
              <w:rPr>
                <w:bCs/>
                <w:i/>
                <w:szCs w:val="24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bCs/>
                <w:i/>
                <w:szCs w:val="24"/>
                <w:lang w:eastAsia="ru-RU"/>
              </w:rPr>
              <w:t>Продукция поставщика должна быть пригодна для ремонта гидроагрегатов Филиала ПАО «РусГидро» - «Новосибирская ГЭС» и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стандартов, поставщик обязан согласовывать это с Покупателем.</w:t>
            </w:r>
          </w:p>
        </w:tc>
        <w:tc>
          <w:tcPr>
            <w:tcW w:w="2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5"/>
        </w:numPr>
        <w:rPr>
          <w:color w:val="000000"/>
          <w:sz w:val="24"/>
          <w:lang w:val="ru-RU"/>
        </w:rPr>
      </w:pPr>
      <w:r>
        <w:rPr>
          <w:color w:val="000000"/>
          <w:sz w:val="24"/>
        </w:rPr>
        <w:t>Требования к документации по ценообразованию на этапе закупки</w:t>
      </w:r>
    </w:p>
    <w:p>
      <w:pPr>
        <w:pStyle w:val="ListParagraph"/>
        <w:numPr>
          <w:ilvl w:val="1"/>
          <w:numId w:val="5"/>
        </w:numPr>
        <w:rPr>
          <w:i/>
          <w:i/>
          <w:color w:val="000000"/>
          <w:szCs w:val="20"/>
          <w:lang w:eastAsia="x-none"/>
        </w:rPr>
      </w:pPr>
      <w:r>
        <w:rPr>
          <w:i/>
          <w:color w:val="000000"/>
          <w:szCs w:val="20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19" w:name="_Hlk88325985"/>
      <w:r>
        <w:rPr>
          <w:i/>
          <w:color w:val="000000"/>
          <w:szCs w:val="20"/>
          <w:lang w:eastAsia="x-none"/>
        </w:rPr>
        <w:t>(с учетом прилагаемой к ней инструкции по заполнению)</w:t>
      </w:r>
      <w:bookmarkEnd w:id="19"/>
      <w:r>
        <w:rPr>
          <w:i/>
          <w:color w:val="000000"/>
          <w:szCs w:val="20"/>
          <w:lang w:eastAsia="x-none"/>
        </w:rPr>
        <w:t>, приведенной в Документации о закупке.</w:t>
      </w:r>
    </w:p>
    <w:p>
      <w:pPr>
        <w:pStyle w:val="ListParagraph"/>
        <w:numPr>
          <w:ilvl w:val="1"/>
          <w:numId w:val="5"/>
        </w:numPr>
        <w:rPr>
          <w:color w:val="000000"/>
          <w:szCs w:val="20"/>
          <w:lang w:eastAsia="x-none"/>
        </w:rPr>
      </w:pPr>
      <w:bookmarkStart w:id="20" w:name="_Hlk88327292"/>
      <w:r>
        <w:rPr>
          <w:i/>
          <w:color w:val="000000"/>
          <w:szCs w:val="20"/>
          <w:lang w:eastAsia="x-none"/>
        </w:rPr>
        <w:t>Дополнительные документы по ценообразованию</w:t>
      </w:r>
      <w:bookmarkEnd w:id="20"/>
      <w:r>
        <w:rPr>
          <w:i/>
          <w:color w:val="000000"/>
          <w:szCs w:val="20"/>
          <w:lang w:eastAsia="x-none"/>
        </w:rPr>
        <w:t xml:space="preserve"> в состав заявки не включаются.</w:t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568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NewRomanPSMT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3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20"/>
        <w:tab w:val="left" w:pos="0" w:leader="none"/>
        <w:tab w:val="left" w:pos="709" w:leader="none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2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C-gruppedpropsprop-value" w:customStyle="1">
    <w:name w:val="c-gruppedprops__prop-value"/>
    <w:basedOn w:val="DefaultParagraphFont"/>
    <w:qFormat/>
    <w:rPr/>
  </w:style>
  <w:style w:type="character" w:styleId="Label" w:customStyle="1">
    <w:name w:val="label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rong4">
    <w:name w:val="Strong4"/>
    <w:qFormat/>
    <w:rPr>
      <w:b/>
      <w:bCs/>
    </w:rPr>
  </w:style>
  <w:style w:type="character" w:styleId="Strong3">
    <w:name w:val="Strong3"/>
    <w:qFormat/>
    <w:rPr>
      <w:b/>
      <w:bCs/>
    </w:rPr>
  </w:style>
  <w:style w:type="character" w:styleId="Strong2">
    <w:name w:val="Strong2"/>
    <w:qFormat/>
    <w:rPr>
      <w:b/>
      <w:bCs/>
    </w:rPr>
  </w:style>
  <w:style w:type="character" w:styleId="Extended-textfull">
    <w:name w:val="extended-text__full"/>
    <w:basedOn w:val="DefaultParagraphFont"/>
    <w:qFormat/>
    <w:rPr/>
  </w:style>
  <w:style w:type="character" w:styleId="Extended-textshort">
    <w:name w:val="extended-text__short"/>
    <w:basedOn w:val="DefaultParagraphFont"/>
    <w:qFormat/>
    <w:rPr/>
  </w:style>
  <w:style w:type="character" w:styleId="Js-phone-number">
    <w:name w:val="js-phone-number"/>
    <w:basedOn w:val="DefaultParagraphFont"/>
    <w:qFormat/>
    <w:rPr/>
  </w:style>
  <w:style w:type="character" w:styleId="Bx-font">
    <w:name w:val="bx-font"/>
    <w:basedOn w:val="DefaultParagraphFont"/>
    <w:qFormat/>
    <w:rPr/>
  </w:style>
  <w:style w:type="character" w:styleId="W">
    <w:name w:val="w"/>
    <w:basedOn w:val="DefaultParagraphFont"/>
    <w:qFormat/>
    <w:rPr/>
  </w:style>
  <w:style w:type="character" w:styleId="Strong11">
    <w:name w:val="Strong11"/>
    <w:basedOn w:val="DefaultParagraphFont"/>
    <w:qFormat/>
    <w:rPr>
      <w:b/>
      <w:bCs/>
    </w:rPr>
  </w:style>
  <w:style w:type="character" w:styleId="41">
    <w:name w:val="Пункт_4 Знак"/>
    <w:qFormat/>
    <w:rPr>
      <w:sz w:val="28"/>
    </w:rPr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Style20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1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2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3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5" w:customStyle="1">
    <w:name w:val="Подпункт"/>
    <w:basedOn w:val="Normal"/>
    <w:link w:val="11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26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7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8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ind w:left="708" w:hanging="0"/>
    </w:pPr>
    <w:rPr/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29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0" w:customStyle="1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1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2" w:customStyle="1">
    <w:name w:val="Подподпункт"/>
    <w:basedOn w:val="Style25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pPr>
      <w:numPr>
        <w:ilvl w:val="3"/>
        <w:numId w:val="3"/>
      </w:numPr>
      <w:spacing w:lineRule="exact" w:line="360" w:before="120" w:after="0"/>
      <w:ind w:left="1728" w:hanging="648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pPr>
      <w:numPr>
        <w:ilvl w:val="4"/>
        <w:numId w:val="3"/>
      </w:numPr>
      <w:spacing w:lineRule="exact" w:line="360" w:before="120" w:after="0"/>
      <w:ind w:left="2232" w:hanging="792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pPr>
      <w:numPr>
        <w:ilvl w:val="6"/>
        <w:numId w:val="3"/>
      </w:numPr>
      <w:spacing w:lineRule="exact" w:line="360" w:before="120" w:after="0"/>
      <w:ind w:left="3240" w:hanging="1080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3"/>
    <w:qFormat/>
    <w:pPr>
      <w:numPr>
        <w:ilvl w:val="7"/>
        <w:numId w:val="3"/>
      </w:numPr>
      <w:spacing w:lineRule="exact" w:line="360" w:before="120" w:after="0"/>
      <w:jc w:val="both"/>
    </w:pPr>
    <w:rPr>
      <w:sz w:val="26"/>
      <w:szCs w:val="28"/>
    </w:rPr>
  </w:style>
  <w:style w:type="paragraph" w:styleId="Style34" w:customStyle="1">
    <w:name w:val="УРОВЕНЬ_Подпись"/>
    <w:basedOn w:val="ListParagraph"/>
    <w:qFormat/>
    <w:pPr>
      <w:keepNext w:val="true"/>
      <w:numPr>
        <w:ilvl w:val="5"/>
        <w:numId w:val="3"/>
      </w:numPr>
      <w:spacing w:lineRule="exact" w:line="360" w:before="120" w:after="120"/>
      <w:ind w:left="2736" w:hanging="936"/>
      <w:jc w:val="right"/>
      <w:outlineLvl w:val="3"/>
    </w:pPr>
    <w:rPr>
      <w:sz w:val="26"/>
      <w:szCs w:val="28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6" w:customStyle="1">
    <w:name w:val="Знак Знак Знак Знак"/>
    <w:basedOn w:val="Normal"/>
    <w:qFormat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20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20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7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8" w:customStyle="1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39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1" w:customStyle="1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Jss308" w:customStyle="1">
    <w:name w:val="jss308"/>
    <w:basedOn w:val="Normal"/>
    <w:qFormat/>
    <w:pPr>
      <w:suppressAutoHyphens w:val="false"/>
      <w:spacing w:before="280" w:after="280"/>
    </w:pPr>
    <w:rPr>
      <w:rFonts w:eastAsia="Times New Roman" w:cs="Times New Roman"/>
      <w:szCs w:val="24"/>
      <w:lang w:eastAsia="ru-RU"/>
    </w:rPr>
  </w:style>
  <w:style w:type="paragraph" w:styleId="Style4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1" w:customStyle="1">
    <w:name w:val="Заголовок таблицы"/>
    <w:basedOn w:val="Style40"/>
    <w:qFormat/>
    <w:pPr>
      <w:jc w:val="center"/>
    </w:pPr>
    <w:rPr>
      <w:b/>
      <w:bCs/>
    </w:rPr>
  </w:style>
  <w:style w:type="paragraph" w:styleId="Style42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andard" w:customStyle="1">
    <w:name w:val="Standard"/>
    <w:qFormat/>
    <w:rsid w:val="00ec3344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paragraph" w:styleId="112">
    <w:name w:val="Пункт1"/>
    <w:basedOn w:val="Normal"/>
    <w:qFormat/>
    <w:pPr>
      <w:tabs>
        <w:tab w:val="clear" w:pos="720"/>
        <w:tab w:val="left" w:pos="567" w:leader="none"/>
      </w:tabs>
      <w:spacing w:before="240" w:after="0"/>
      <w:ind w:left="567" w:right="0" w:hanging="279"/>
      <w:jc w:val="center"/>
    </w:pPr>
    <w:rPr>
      <w:rFonts w:ascii="Arial" w:hAnsi="Arial"/>
      <w:b/>
      <w:szCs w:val="28"/>
    </w:rPr>
  </w:style>
  <w:style w:type="paragraph" w:styleId="113">
    <w:name w:val="Пункт_1"/>
    <w:basedOn w:val="Normal"/>
    <w:qFormat/>
    <w:pPr>
      <w:keepNext w:val="true"/>
      <w:numPr>
        <w:ilvl w:val="0"/>
        <w:numId w:val="3"/>
      </w:numPr>
      <w:spacing w:lineRule="auto" w:line="240" w:before="480" w:after="240"/>
      <w:ind w:left="567" w:right="0" w:hanging="567"/>
      <w:jc w:val="center"/>
      <w:outlineLvl w:val="0"/>
    </w:pPr>
    <w:rPr>
      <w:rFonts w:ascii="Arial" w:hAnsi="Arial"/>
      <w:b/>
      <w:sz w:val="32"/>
      <w:szCs w:val="28"/>
    </w:rPr>
  </w:style>
  <w:style w:type="paragraph" w:styleId="5ABCD">
    <w:name w:val="Пункт_5_ABCD"/>
    <w:basedOn w:val="Normal"/>
    <w:qFormat/>
    <w:pPr>
      <w:numPr>
        <w:ilvl w:val="4"/>
        <w:numId w:val="3"/>
      </w:numPr>
    </w:pPr>
    <w:rPr/>
  </w:style>
  <w:style w:type="paragraph" w:styleId="42">
    <w:name w:val="Пункт_4"/>
    <w:basedOn w:val="38"/>
    <w:qFormat/>
    <w:pPr>
      <w:snapToGrid w:val="true"/>
    </w:pPr>
    <w:rPr>
      <w:rFonts w:ascii="Calibri" w:hAnsi="Calibri" w:eastAsia="Calibri" w:cs="Tahoma"/>
      <w:szCs w:val="22"/>
      <w:lang w:eastAsia="en-US"/>
    </w:rPr>
  </w:style>
  <w:style w:type="paragraph" w:styleId="38">
    <w:name w:val="Пункт_3"/>
    <w:basedOn w:val="212"/>
    <w:qFormat/>
    <w:pPr/>
    <w:rPr/>
  </w:style>
  <w:style w:type="paragraph" w:styleId="212">
    <w:name w:val="Пункт_2"/>
    <w:basedOn w:val="Normal"/>
    <w:qFormat/>
    <w:pPr>
      <w:numPr>
        <w:ilvl w:val="1"/>
        <w:numId w:val="3"/>
      </w:numPr>
    </w:pPr>
    <w:rPr/>
  </w:style>
  <w:style w:type="paragraph" w:styleId="Indexheading2">
    <w:name w:val="index heading2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qFormat/>
  </w:style>
  <w:style w:type="numbering" w:styleId="213" w:customStyle="1">
    <w:name w:val="Стиль2"/>
    <w:qFormat/>
  </w:style>
  <w:style w:type="numbering" w:styleId="115" w:customStyle="1">
    <w:name w:val="Нет списка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8352</TotalTime>
  <Application>AlterOffice/3.4.0.9$Linux_X86_64 LibreOffice_project/b8daf9e823b1a5463a2f48435ddc2e8696e7d4fc</Application>
  <AppVersion>15.0000</AppVersion>
  <Pages>5</Pages>
  <Words>764</Words>
  <Characters>5667</Characters>
  <CharactersWithSpaces>6314</CharactersWithSpaces>
  <Paragraphs>114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2023-12-07T22:27:00Z</dcterms:created>
  <dc:creator>Вашкевич Ольга Владимировна</dc:creator>
  <dc:description/>
  <dc:language>ru-RU</dc:language>
  <cp:lastModifiedBy>savilovoa@corp.gidroogk.com</cp:lastModifiedBy>
  <cp:lastPrinted>2025-01-16T11:07:00Z</cp:lastPrinted>
  <dcterms:modified xsi:type="dcterms:W3CDTF">2026-07-31T13:28:48Z</dcterms:modified>
  <cp:revision>1220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