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footnotes.xml.rels" ContentType="application/vnd.openxmlformats-package.relationships+xml"/>
  <Override PartName="/word/_rels/document.xml.rels" ContentType="application/vnd.openxmlformats-package.relationships+xml"/>
  <Override PartName="/word/footer8.xml" ContentType="application/vnd.openxmlformats-officedocument.wordprocessingml.footer+xml"/>
  <Override PartName="/word/footer7.xml" ContentType="application/vnd.openxmlformats-officedocument.wordprocessingml.footer+xml"/>
  <Override PartName="/word/numbering.xml" ContentType="application/vnd.openxmlformats-officedocument.wordprocessingml.numbering+xml"/>
  <Override PartName="/word/footer5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footer9.xml" ContentType="application/vnd.openxmlformats-officedocument.wordprocessingml.footer+xml"/>
  <Override PartName="/word/styles.xml" ContentType="application/vnd.openxmlformats-officedocument.wordprocessingml.styles+xml"/>
  <Override PartName="/word/footer6.xml" ContentType="application/vnd.openxmlformats-officedocument.wordprocessingml.footer+xml"/>
  <Override PartName="/word/footer4.xml" ContentType="application/vnd.openxmlformats-officedocument.wordprocessingml.footer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rmal1"/>
        <w:widowControl/>
        <w:tabs>
          <w:tab w:val="clear" w:pos="709"/>
          <w:tab w:val="left" w:pos="1260" w:leader="none"/>
        </w:tabs>
        <w:ind w:left="1260" w:hanging="1080"/>
        <w:jc w:val="center"/>
        <w:rPr>
          <w:rFonts w:ascii="Times New Roman" w:hAnsi="Times New Roman"/>
          <w:sz w:val="22"/>
          <w:szCs w:val="22"/>
        </w:rPr>
      </w:pPr>
      <w:r>
        <w:rPr>
          <w:rFonts w:eastAsia="Calibri" w:ascii="Times New Roman" w:hAnsi="Times New Roman"/>
        </w:rPr>
        <w:tab/>
      </w:r>
      <w:r>
        <w:rPr>
          <w:rFonts w:eastAsia="Calibri" w:ascii="Times New Roman" w:hAnsi="Times New Roman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</w:p>
    <w:p>
      <w:pPr>
        <w:pStyle w:val="Normal"/>
        <w:tabs>
          <w:tab w:val="clear" w:pos="709"/>
          <w:tab w:val="left" w:pos="13334" w:leader="none"/>
        </w:tabs>
        <w:spacing w:lineRule="auto" w:line="240" w:before="0" w:after="0"/>
        <w:rPr>
          <w:rFonts w:ascii="Times New Roman" w:hAnsi="Times New Roman" w:eastAsia="Calibri"/>
        </w:rPr>
      </w:pPr>
      <w:r>
        <w:rPr>
          <w:rFonts w:eastAsia="Calibri" w:ascii="Times New Roman" w:hAnsi="Times New Roman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Calibri"/>
        </w:rPr>
      </w:pPr>
      <w:r>
        <w:rPr>
          <w:rFonts w:eastAsia="Calibri" w:ascii="Times New Roman" w:hAnsi="Times New Roman"/>
        </w:rPr>
        <w:t xml:space="preserve">Приложение № </w:t>
      </w:r>
      <w:r>
        <w:rPr>
          <w:rFonts w:eastAsia="Calibri" w:ascii="Times New Roman" w:hAnsi="Times New Roman"/>
        </w:rPr>
        <w:t>4</w:t>
      </w:r>
      <w:r>
        <w:rPr>
          <w:rFonts w:eastAsia="Calibri" w:ascii="Times New Roman" w:hAnsi="Times New Roman"/>
        </w:rPr>
        <w:t xml:space="preserve">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Calibri"/>
        </w:rPr>
      </w:pPr>
      <w:r>
        <w:rPr>
          <w:rFonts w:eastAsia="Calibri" w:ascii="Times New Roman" w:hAnsi="Times New Roman"/>
        </w:rPr>
        <w:t xml:space="preserve"> </w:t>
      </w:r>
      <w:r>
        <w:rPr>
          <w:rFonts w:eastAsia="Calibri" w:ascii="Times New Roman" w:hAnsi="Times New Roman"/>
        </w:rPr>
        <w:t>к Техническим требованиям</w:t>
      </w:r>
    </w:p>
    <w:p>
      <w:pPr>
        <w:pStyle w:val="ConsPlusNormal1"/>
        <w:widowControl/>
        <w:tabs>
          <w:tab w:val="clear" w:pos="709"/>
          <w:tab w:val="left" w:pos="1260" w:leader="none"/>
        </w:tabs>
        <w:ind w:left="1260" w:hanging="108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</w:r>
    </w:p>
    <w:p>
      <w:pPr>
        <w:pStyle w:val="ConsPlusNormal1"/>
        <w:widowControl/>
        <w:tabs>
          <w:tab w:val="clear" w:pos="709"/>
          <w:tab w:val="left" w:pos="1260" w:leader="none"/>
        </w:tabs>
        <w:ind w:left="1260" w:hanging="108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</w:r>
    </w:p>
    <w:p>
      <w:pPr>
        <w:pStyle w:val="ConsPlusNormal1"/>
        <w:widowControl/>
        <w:tabs>
          <w:tab w:val="clear" w:pos="709"/>
          <w:tab w:val="left" w:pos="1260" w:leader="none"/>
        </w:tabs>
        <w:ind w:left="1260" w:hanging="108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</w:r>
    </w:p>
    <w:p>
      <w:pPr>
        <w:pStyle w:val="ConsPlusNormal1"/>
        <w:widowControl/>
        <w:tabs>
          <w:tab w:val="clear" w:pos="709"/>
          <w:tab w:val="left" w:pos="1260" w:leader="none"/>
        </w:tabs>
        <w:ind w:left="1260" w:hanging="108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  <w:t>Требования к оформлению и составлению</w:t>
      </w:r>
    </w:p>
    <w:p>
      <w:pPr>
        <w:pStyle w:val="ConsPlusNormal1"/>
        <w:widowControl/>
        <w:tabs>
          <w:tab w:val="clear" w:pos="709"/>
          <w:tab w:val="left" w:pos="1620" w:leader="none"/>
        </w:tabs>
        <w:ind w:firstLine="180"/>
        <w:jc w:val="center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  <w:t xml:space="preserve"> </w:t>
      </w:r>
      <w:r>
        <w:rPr>
          <w:rFonts w:cs="Times New Roman" w:ascii="Times New Roman" w:hAnsi="Times New Roman"/>
          <w:b/>
          <w:sz w:val="22"/>
          <w:szCs w:val="22"/>
        </w:rPr>
        <w:t xml:space="preserve">сметной документации на работы по реконструкции и техническому перевооружению </w:t>
      </w:r>
    </w:p>
    <w:p>
      <w:pPr>
        <w:pStyle w:val="ConsPlusNormal1"/>
        <w:widowControl/>
        <w:tabs>
          <w:tab w:val="clear" w:pos="709"/>
          <w:tab w:val="left" w:pos="1620" w:leader="none"/>
        </w:tabs>
        <w:ind w:firstLine="18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</w:r>
    </w:p>
    <w:p>
      <w:pPr>
        <w:pStyle w:val="ConsPlusNormal1"/>
        <w:widowControl/>
        <w:numPr>
          <w:ilvl w:val="0"/>
          <w:numId w:val="5"/>
        </w:numPr>
        <w:tabs>
          <w:tab w:val="clear" w:pos="709"/>
          <w:tab w:val="left" w:pos="426" w:leader="none"/>
          <w:tab w:val="left" w:pos="993" w:leader="none"/>
        </w:tabs>
        <w:spacing w:before="40" w:after="40"/>
        <w:ind w:left="0"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Настоящие требования разработаны для единого подхода к оформлению и составлению сметной документации на работы по реконструкции и техническому перевооружению.</w:t>
      </w:r>
    </w:p>
    <w:p>
      <w:pPr>
        <w:pStyle w:val="ConsPlusNormal1"/>
        <w:widowControl/>
        <w:numPr>
          <w:ilvl w:val="0"/>
          <w:numId w:val="5"/>
        </w:numPr>
        <w:tabs>
          <w:tab w:val="clear" w:pos="709"/>
          <w:tab w:val="left" w:pos="426" w:leader="none"/>
          <w:tab w:val="left" w:pos="993" w:leader="none"/>
        </w:tabs>
        <w:spacing w:before="40" w:after="40"/>
        <w:ind w:left="0"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Использование</w:t>
      </w:r>
      <w:r>
        <w:rPr>
          <w:rFonts w:ascii="Times New Roman" w:hAnsi="Times New Roman"/>
          <w:sz w:val="22"/>
          <w:szCs w:val="22"/>
        </w:rPr>
        <w:t xml:space="preserve"> нормативов ценообразования, не зарегистрированных и не вошедших в ФРСН, </w:t>
      </w:r>
      <w:r>
        <w:rPr>
          <w:rFonts w:ascii="Times New Roman" w:hAnsi="Times New Roman"/>
          <w:b/>
          <w:sz w:val="22"/>
          <w:szCs w:val="22"/>
          <w:u w:val="single"/>
        </w:rPr>
        <w:t>не допускается</w:t>
      </w:r>
      <w:r>
        <w:rPr>
          <w:rFonts w:ascii="Times New Roman" w:hAnsi="Times New Roman"/>
          <w:sz w:val="22"/>
          <w:szCs w:val="22"/>
        </w:rPr>
        <w:t>, кроме случаев, прямо указанных в настоящих требованиях.</w:t>
      </w:r>
    </w:p>
    <w:p>
      <w:pPr>
        <w:pStyle w:val="ConsPlusNormal1"/>
        <w:widowControl/>
        <w:numPr>
          <w:ilvl w:val="0"/>
          <w:numId w:val="5"/>
        </w:numPr>
        <w:tabs>
          <w:tab w:val="clear" w:pos="709"/>
          <w:tab w:val="left" w:pos="426" w:leader="none"/>
          <w:tab w:val="left" w:pos="993" w:leader="none"/>
        </w:tabs>
        <w:spacing w:before="40" w:after="40"/>
        <w:ind w:left="0"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Версия программного комплекса «Гранд-Смета» (далее–ПК «Гранд-смета») </w:t>
      </w:r>
      <w:r>
        <w:rPr>
          <w:rFonts w:cs="Times New Roman" w:ascii="Times New Roman" w:hAnsi="Times New Roman"/>
          <w:sz w:val="22"/>
          <w:szCs w:val="22"/>
          <w:u w:val="single"/>
        </w:rPr>
        <w:t>должна быть не ниже 2025.1.</w:t>
      </w:r>
    </w:p>
    <w:p>
      <w:pPr>
        <w:pStyle w:val="ConsPlusNormal1"/>
        <w:widowControl/>
        <w:numPr>
          <w:ilvl w:val="0"/>
          <w:numId w:val="5"/>
        </w:numPr>
        <w:tabs>
          <w:tab w:val="clear" w:pos="709"/>
          <w:tab w:val="left" w:pos="1134" w:leader="none"/>
        </w:tabs>
        <w:ind w:left="0"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При составлении смет руководствоваться Методикой определения сметной стоимости строительства,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 на территории Российской Федерации», введенной в действие Приказом Министерства строительства и ЖКХ РФ от 04.08.2020 № 421/пр. (далее - Методикой определения сметной стоимости строительства), с учетом изменений и дополнений в редакции приказов от 07.07.2022 № 557/пр, от 30.01.2024 55/пр., от 23.01.2025 30/пр.,  Методикой определения сметной стоимости строительства с применением федеральных единичных расценок и их отдельных составляющих, утвержденной приказом Министерства строительства и жилищно-коммунального хозяйства Российской Федерации от 8 августа 2022 г. №648/пр., приказу ПАО «РусГидро» от 22.11.2022 №891 «Об утверждении Единой методики установления требований и критериев (отбора, оценки) при подготовке и проведении закупок в Группе РусГидро», приказу ПАО «РусГидро» от 23.11.2022 №893 (в редакции  приказа ПАО «РусГидро» от 21.11.2024 №806)  «Об утверждении  Единой методики формирования плановой цены на закупаемую продукцию для организаций группы РусГидро». </w:t>
      </w:r>
    </w:p>
    <w:p>
      <w:pPr>
        <w:pStyle w:val="ConsPlusNormal1"/>
        <w:widowControl/>
        <w:numPr>
          <w:ilvl w:val="0"/>
          <w:numId w:val="0"/>
        </w:numPr>
        <w:tabs>
          <w:tab w:val="clear" w:pos="709"/>
          <w:tab w:val="left" w:pos="426" w:leader="none"/>
          <w:tab w:val="left" w:pos="993" w:leader="none"/>
        </w:tabs>
        <w:spacing w:before="40" w:after="40"/>
        <w:ind w:left="0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ConsPlusNormal1"/>
        <w:widowControl/>
        <w:numPr>
          <w:ilvl w:val="0"/>
          <w:numId w:val="5"/>
        </w:numPr>
        <w:tabs>
          <w:tab w:val="clear" w:pos="709"/>
          <w:tab w:val="left" w:pos="426" w:leader="none"/>
          <w:tab w:val="left" w:pos="993" w:leader="none"/>
        </w:tabs>
        <w:spacing w:before="40" w:after="40"/>
        <w:ind w:left="0"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При составлении сметной документации необходимо использовать сметно-нормативную базу ФСНБ-2022 актуальную СНБ на момент составления сметной документации .</w:t>
      </w:r>
    </w:p>
    <w:p>
      <w:pPr>
        <w:pStyle w:val="ConsPlusNormal1"/>
        <w:widowControl/>
        <w:numPr>
          <w:ilvl w:val="0"/>
          <w:numId w:val="5"/>
        </w:numPr>
        <w:tabs>
          <w:tab w:val="clear" w:pos="709"/>
          <w:tab w:val="left" w:pos="426" w:leader="none"/>
          <w:tab w:val="left" w:pos="1134" w:leader="none"/>
        </w:tabs>
        <w:ind w:left="0"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Сметная стоимость работ определяется ресурсно-индексным методом (далее – РИМ) с использованием сметных норм, сметных цен строительных ресурсов в базисном уровне и одновременным применением сметных цен строительных ресурсов в текущем уровне цен, информации об индексах изменения сметной стоимости с строительства по группам однородных строительных ресурсов и с учетом иной информации, используемой для определения сметной стоимости строительства, размещенных в ФГИС ЦС.</w:t>
      </w:r>
    </w:p>
    <w:p>
      <w:pPr>
        <w:pStyle w:val="ConsPlusNormal1"/>
        <w:widowControl/>
        <w:numPr>
          <w:ilvl w:val="0"/>
          <w:numId w:val="5"/>
        </w:numPr>
        <w:tabs>
          <w:tab w:val="clear" w:pos="709"/>
          <w:tab w:val="left" w:pos="426" w:leader="none"/>
          <w:tab w:val="left" w:pos="1134" w:leader="none"/>
        </w:tabs>
        <w:ind w:left="0"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При определении сметной стоимости ресурсно-индексным методом применяются:</w:t>
      </w:r>
    </w:p>
    <w:p>
      <w:pPr>
        <w:pStyle w:val="ListParagraph"/>
        <w:numPr>
          <w:ilvl w:val="0"/>
          <w:numId w:val="9"/>
        </w:numPr>
        <w:tabs>
          <w:tab w:val="clear" w:pos="709"/>
          <w:tab w:val="left" w:pos="993" w:leader="none"/>
        </w:tabs>
        <w:spacing w:lineRule="auto" w:line="240" w:before="40" w:after="40"/>
        <w:ind w:left="0" w:firstLine="567"/>
        <w:contextualSpacing w:val="false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2"/>
          <w:szCs w:val="22"/>
          <w:shd w:fill="auto" w:val="clear"/>
        </w:rPr>
        <w:t>индексы к отдельным строительным ресурсам, индексы к группам строительных ресурсов</w:t>
      </w:r>
      <w:r>
        <w:rPr>
          <w:rFonts w:ascii="Times New Roman" w:hAnsi="Times New Roman"/>
          <w:b/>
          <w:sz w:val="22"/>
          <w:szCs w:val="22"/>
          <w:shd w:fill="auto" w:val="clear"/>
        </w:rPr>
        <w:t xml:space="preserve"> (индексы к сметной стоимости отдельных материалов, изделий, конструкций, оборудования, эксплуатации машин и механизмов или к стоимости однородных групп таких строительных ресурсов)</w:t>
      </w:r>
      <w:r>
        <w:rPr>
          <w:rFonts w:ascii="Times New Roman" w:hAnsi="Times New Roman"/>
          <w:sz w:val="22"/>
          <w:szCs w:val="22"/>
          <w:shd w:fill="auto" w:val="clear"/>
        </w:rPr>
        <w:t>;</w:t>
      </w:r>
    </w:p>
    <w:p>
      <w:pPr>
        <w:pStyle w:val="ListParagraph"/>
        <w:numPr>
          <w:ilvl w:val="0"/>
          <w:numId w:val="9"/>
        </w:numPr>
        <w:tabs>
          <w:tab w:val="clear" w:pos="709"/>
          <w:tab w:val="left" w:pos="993" w:leader="none"/>
        </w:tabs>
        <w:spacing w:lineRule="auto" w:line="240" w:before="40" w:after="40"/>
        <w:ind w:left="0" w:firstLine="567"/>
        <w:contextualSpacing w:val="false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2"/>
          <w:szCs w:val="22"/>
          <w:shd w:fill="auto" w:val="clear"/>
        </w:rPr>
        <w:t xml:space="preserve">индексы изменения сметных цен </w:t>
      </w:r>
      <w:r>
        <w:rPr>
          <w:rFonts w:ascii="Times New Roman" w:hAnsi="Times New Roman"/>
          <w:b/>
          <w:sz w:val="22"/>
          <w:szCs w:val="22"/>
          <w:shd w:fill="auto" w:val="clear"/>
        </w:rPr>
        <w:t>на перевозку грузов</w:t>
      </w:r>
      <w:r>
        <w:rPr>
          <w:rFonts w:ascii="Times New Roman" w:hAnsi="Times New Roman"/>
          <w:sz w:val="22"/>
          <w:szCs w:val="22"/>
          <w:shd w:fill="auto" w:val="clear"/>
        </w:rPr>
        <w:t xml:space="preserve"> – применяются к сметной стоимости затрат на перевозку грузов для строительства автомобильным транспортом, в том числе на дополнительное расстояние, сверх учтенного сметными ценами на материальные ресурсы и оборудование, в соответствии с типом автотранспортных средств;</w:t>
      </w:r>
    </w:p>
    <w:p>
      <w:pPr>
        <w:pStyle w:val="ListParagraph"/>
        <w:numPr>
          <w:ilvl w:val="0"/>
          <w:numId w:val="9"/>
        </w:numPr>
        <w:tabs>
          <w:tab w:val="clear" w:pos="709"/>
          <w:tab w:val="left" w:pos="993" w:leader="none"/>
        </w:tabs>
        <w:spacing w:lineRule="auto" w:line="240" w:before="40" w:after="40"/>
        <w:ind w:left="0" w:firstLine="567"/>
        <w:contextualSpacing w:val="false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2"/>
          <w:szCs w:val="22"/>
          <w:shd w:fill="auto" w:val="clear"/>
        </w:rPr>
        <w:t xml:space="preserve">индексы изменения сметной </w:t>
      </w:r>
      <w:r>
        <w:rPr>
          <w:rFonts w:ascii="Times New Roman" w:hAnsi="Times New Roman"/>
          <w:b/>
          <w:sz w:val="22"/>
          <w:szCs w:val="22"/>
          <w:shd w:fill="auto" w:val="clear"/>
        </w:rPr>
        <w:t>стоимости оборудования</w:t>
      </w:r>
      <w:r>
        <w:rPr>
          <w:rFonts w:ascii="Times New Roman" w:hAnsi="Times New Roman"/>
          <w:sz w:val="22"/>
          <w:szCs w:val="22"/>
          <w:shd w:fill="auto" w:val="clear"/>
        </w:rPr>
        <w:t xml:space="preserve"> – применяются к сметной стоимости оборудования;</w:t>
      </w:r>
    </w:p>
    <w:p>
      <w:pPr>
        <w:pStyle w:val="ListParagraph"/>
        <w:numPr>
          <w:ilvl w:val="0"/>
          <w:numId w:val="9"/>
        </w:numPr>
        <w:tabs>
          <w:tab w:val="clear" w:pos="709"/>
          <w:tab w:val="left" w:pos="993" w:leader="none"/>
        </w:tabs>
        <w:spacing w:lineRule="auto" w:line="240" w:before="40" w:after="40"/>
        <w:ind w:left="0" w:firstLine="567"/>
        <w:contextualSpacing w:val="false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2"/>
          <w:szCs w:val="22"/>
          <w:shd w:fill="auto" w:val="clear"/>
        </w:rPr>
        <w:t xml:space="preserve">индексы изменения сметной стоимости, рассчитываемые для применения к сметной стоимости отдельных видов </w:t>
      </w:r>
      <w:r>
        <w:rPr>
          <w:rFonts w:ascii="Times New Roman" w:hAnsi="Times New Roman"/>
          <w:b/>
          <w:sz w:val="22"/>
          <w:szCs w:val="22"/>
          <w:shd w:fill="auto" w:val="clear"/>
        </w:rPr>
        <w:t>прочих работ и затрат.</w:t>
      </w:r>
    </w:p>
    <w:p>
      <w:pPr>
        <w:pStyle w:val="ListParagraph"/>
        <w:numPr>
          <w:ilvl w:val="0"/>
          <w:numId w:val="5"/>
        </w:numPr>
        <w:tabs>
          <w:tab w:val="clear" w:pos="709"/>
          <w:tab w:val="left" w:pos="1134" w:leader="none"/>
        </w:tabs>
        <w:ind w:left="0" w:right="0" w:hanging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Для пересчета сметной стоимости в прогнозный уровень цен применяются текущие индексы – дефляторы в соответствии с прогнозом Министерства экономического развития РФ (прогноз «базовый»), определенные в установленном порядке для Заказчика в соответствии с планируемым периодом выполнения работ. </w:t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1134" w:leader="none"/>
        </w:tabs>
        <w:ind w:left="0" w:right="0" w:hanging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В случае, если планируемый период выполнения работ составляет до одного календарного года и сметная документация составлена в уровне цен того же года, индекс прогнозной инфляции на один месяц осуществляется извлечением квадратного корня двенадцатой степени из индекса прогнозной инфляции Минэкономразвития России (ИПЦ базовый, по строке - Показатели инфляции / в среднем за год ) установленного в целом за год:</w:t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1134" w:leader="none"/>
        </w:tabs>
        <w:ind w:left="0" w:right="0" w:hanging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                                                               </w:t>
      </w:r>
      <w:r>
        <w:rPr/>
      </w:r>
      <m:oMath xmlns:m="http://schemas.openxmlformats.org/officeDocument/2006/math">
        <m:sSub>
          <m:e>
            <m:r>
              <w:rPr>
                <w:rFonts w:ascii="Cambria Math" w:hAnsi="Cambria Math"/>
              </w:rPr>
              <m:t xml:space="preserve">И</m:t>
            </m:r>
          </m:e>
          <m:sub>
            <m:r>
              <w:rPr>
                <w:rFonts w:ascii="Cambria Math" w:hAnsi="Cambria Math"/>
              </w:rPr>
              <m:t xml:space="preserve">инфл</m:t>
            </m:r>
            <m:r>
              <w:rPr>
                <w:rFonts w:ascii="Cambria Math" w:hAnsi="Cambria Math"/>
              </w:rPr>
              <m:t xml:space="preserve">.</m:t>
            </m:r>
            <m:r>
              <w:rPr>
                <w:rFonts w:ascii="Cambria Math" w:hAnsi="Cambria Math"/>
              </w:rPr>
              <m:t xml:space="preserve">мес</m:t>
            </m:r>
          </m:sub>
        </m:sSub>
        <m:r>
          <w:rPr>
            <w:rFonts w:ascii="Cambria Math" w:hAnsi="Cambria Math"/>
          </w:rPr>
          <m:t xml:space="preserve">=</m:t>
        </m:r>
        <m:rad>
          <m:deg>
            <m:r>
              <w:rPr>
                <w:rFonts w:ascii="Cambria Math" w:hAnsi="Cambria Math"/>
              </w:rPr>
              <m:t xml:space="preserve">12</m:t>
            </m:r>
          </m:deg>
          <m:e>
            <m:sSub>
              <m:e>
                <m:r>
                  <w:rPr>
                    <w:rFonts w:ascii="Cambria Math" w:hAnsi="Cambria Math"/>
                  </w:rPr>
                  <m:t xml:space="preserve">И</m:t>
                </m:r>
              </m:e>
              <m:sub>
                <m:r>
                  <w:rPr>
                    <w:rFonts w:ascii="Cambria Math" w:hAnsi="Cambria Math"/>
                  </w:rPr>
                  <m:t xml:space="preserve">инфл</m:t>
                </m:r>
                <m:r>
                  <w:rPr>
                    <w:rFonts w:ascii="Cambria Math" w:hAnsi="Cambria Math"/>
                  </w:rPr>
                  <m:t xml:space="preserve">год</m:t>
                </m:r>
              </m:sub>
            </m:sSub>
          </m:e>
        </m:rad>
      </m:oMath>
    </w:p>
    <w:p>
      <w:pPr>
        <w:pStyle w:val="ListParagraph"/>
        <w:numPr>
          <w:ilvl w:val="0"/>
          <w:numId w:val="0"/>
        </w:numPr>
        <w:tabs>
          <w:tab w:val="clear" w:pos="709"/>
          <w:tab w:val="left" w:pos="1134" w:leader="none"/>
        </w:tabs>
        <w:ind w:left="0" w:right="0" w:hanging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где</w:t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1134" w:leader="none"/>
        </w:tabs>
        <w:ind w:left="0" w:right="0" w:hanging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И инфл мес – индекс прогнозной инфляции на один месяц, полученное значение округляется до 4 знаков после запятой;</w:t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1134" w:leader="none"/>
        </w:tabs>
        <w:ind w:left="0" w:right="0" w:hanging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И инфл год – индекс-дефлятор Министерства экономического развития Российской Федерации (ИПЦ базовый, по строке - Показатели инфляции / в среднем за год).</w:t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1134" w:leader="none"/>
        </w:tabs>
        <w:ind w:left="0" w:right="0" w:hanging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Для определения размера индекса прогнозной инфляции периодом в несколько месяцев, величина индекса прогнозной инфляции на один месяц возводится в степень размер которой соответствует количеству месяцев от даты определения стоимости работ до даты окончания работ, принимается среднее значение индекса-дефлятора, между индексом прогнозной инфляции на месяц начала производства работ и индексом на месяц окончания производства работ:</w:t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1134" w:leader="none"/>
        </w:tabs>
        <w:ind w:left="0" w:right="0" w:hanging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                                              </w:t>
      </w:r>
      <w:r>
        <w:rPr/>
      </w:r>
      <m:oMath xmlns:m="http://schemas.openxmlformats.org/officeDocument/2006/math">
        <m:sSub>
          <m:e>
            <m:r>
              <w:rPr>
                <w:rFonts w:ascii="Cambria Math" w:hAnsi="Cambria Math"/>
              </w:rPr>
              <m:t xml:space="preserve">И</m:t>
            </m:r>
          </m:e>
          <m:sub>
            <m:r>
              <w:rPr>
                <w:rFonts w:ascii="Cambria Math" w:hAnsi="Cambria Math"/>
              </w:rPr>
              <m:t xml:space="preserve">инфл</m:t>
            </m:r>
            <m:r>
              <w:rPr>
                <w:rFonts w:ascii="Cambria Math" w:hAnsi="Cambria Math"/>
              </w:rPr>
              <m:t xml:space="preserve">.</m:t>
            </m:r>
            <m:r>
              <w:rPr>
                <w:rFonts w:ascii="Cambria Math" w:hAnsi="Cambria Math"/>
              </w:rPr>
              <m:t xml:space="preserve">пер</m:t>
            </m:r>
            <m:r>
              <w:rPr>
                <w:rFonts w:ascii="Cambria Math" w:hAnsi="Cambria Math"/>
              </w:rPr>
              <m:t xml:space="preserve">.</m:t>
            </m:r>
          </m:sub>
        </m:sSub>
        <m:r>
          <w:rPr>
            <w:rFonts w:ascii="Cambria Math" w:hAnsi="Cambria Math"/>
          </w:rPr>
          <m:t xml:space="preserve">=</m:t>
        </m:r>
        <m:d>
          <m:dPr>
            <m:begChr m:val="("/>
            <m:endChr m:val=")"/>
          </m:dPr>
          <m:e>
            <m:f>
              <m:num>
                <m:sSub>
                  <m:e>
                    <m:r>
                      <w:rPr>
                        <w:rFonts w:ascii="Cambria Math" w:hAnsi="Cambria Math"/>
                      </w:rPr>
                      <m:t xml:space="preserve">И</m:t>
                    </m:r>
                  </m:e>
                  <m:sub>
                    <m:sSup>
                      <m:e>
                        <m:r>
                          <w:rPr>
                            <w:rFonts w:ascii="Cambria Math" w:hAnsi="Cambria Math"/>
                          </w:rPr>
                          <m:t xml:space="preserve">инфл</m:t>
                        </m:r>
                        <m:r>
                          <w:rPr>
                            <w:rFonts w:ascii="Cambria Math" w:hAnsi="Cambria Math"/>
                          </w:rPr>
                          <m:t xml:space="preserve">.</m:t>
                        </m:r>
                        <m:r>
                          <w:rPr>
                            <w:rFonts w:ascii="Cambria Math" w:hAnsi="Cambria Math"/>
                          </w:rPr>
                          <m:t xml:space="preserve">мес</m:t>
                        </m:r>
                        <m:r>
                          <w:rPr>
                            <w:rFonts w:ascii="Cambria Math" w:hAnsi="Cambria Math"/>
                          </w:rPr>
                          <m:t xml:space="preserve">.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 xml:space="preserve">n</m:t>
                        </m:r>
                      </m:sup>
                    </m:sSup>
                  </m:sub>
                </m:sSub>
                <m:r>
                  <w:rPr>
                    <w:rFonts w:ascii="Cambria Math" w:hAnsi="Cambria Math"/>
                  </w:rPr>
                  <m:t xml:space="preserve">−</m:t>
                </m:r>
                <m:r>
                  <w:rPr>
                    <w:rFonts w:ascii="Cambria Math" w:hAnsi="Cambria Math"/>
                  </w:rPr>
                  <m:t xml:space="preserve">1</m:t>
                </m:r>
              </m:num>
              <m:den>
                <m:r>
                  <w:rPr>
                    <w:rFonts w:ascii="Cambria Math" w:hAnsi="Cambria Math"/>
                  </w:rPr>
                  <m:t xml:space="preserve">2</m:t>
                </m:r>
              </m:den>
            </m:f>
          </m:e>
        </m:d>
        <m:r>
          <w:rPr>
            <w:rFonts w:ascii="Cambria Math" w:hAnsi="Cambria Math"/>
          </w:rPr>
          <m:t xml:space="preserve">+</m:t>
        </m:r>
        <m:r>
          <w:rPr>
            <w:rFonts w:ascii="Cambria Math" w:hAnsi="Cambria Math"/>
          </w:rPr>
          <m:t xml:space="preserve">1</m:t>
        </m:r>
      </m:oMath>
      <w:r>
        <w:rPr>
          <w:rFonts w:ascii="Times New Roman" w:hAnsi="Times New Roman"/>
          <w:color w:val="000000"/>
        </w:rPr>
        <w:t xml:space="preserve">  </w:t>
      </w:r>
      <w:r>
        <w:rPr>
          <w:rFonts w:ascii="Times New Roman" w:hAnsi="Times New Roman"/>
          <w:color w:val="000000"/>
        </w:rPr>
        <w:t>(1)</w:t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1134" w:leader="none"/>
        </w:tabs>
        <w:ind w:left="0" w:right="0" w:hanging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где</w:t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1134" w:leader="none"/>
        </w:tabs>
        <w:ind w:left="0" w:right="0" w:hanging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И инф пер – индекс прогнозной инфляции для периода выполнения работ, полученное значение округляется до 4 знаков после запятой.</w:t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1134" w:leader="none"/>
        </w:tabs>
        <w:ind w:left="0" w:right="0" w:hanging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В случае если срок выполнения работ превышает календарный год, то индекс прогнозной инфляции для второго и последующих годов, определяется с учетом установленных договором сроков строительства по формуле:</w:t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1134" w:leader="none"/>
        </w:tabs>
        <w:ind w:left="0" w:right="0" w:hanging="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Цд=С * Иинфл     (2)</w:t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1134" w:leader="none"/>
        </w:tabs>
        <w:ind w:left="0" w:right="0" w:hanging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где</w:t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1134" w:leader="none"/>
        </w:tabs>
        <w:ind w:left="0" w:right="0" w:hanging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Цд – стоимость договора (этапа);</w:t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1134" w:leader="none"/>
        </w:tabs>
        <w:ind w:left="0" w:right="0" w:hanging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С - сметная стоимость подрядных работ, подлежащих выполнению подрядчиком;</w:t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1134" w:leader="none"/>
        </w:tabs>
        <w:ind w:left="0" w:right="0" w:hanging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Иинф – индекс инфляции, рассчитываемый по формуле:</w:t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1134" w:leader="none"/>
        </w:tabs>
        <w:ind w:left="0" w:right="0" w:hanging="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И инф = Д1*К1+Д2*К2+...+Дi*Кi</w:t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1134" w:leader="none"/>
        </w:tabs>
        <w:ind w:left="0" w:right="0" w:hanging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1134" w:leader="none"/>
        </w:tabs>
        <w:ind w:left="0" w:right="0" w:hanging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где</w:t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1134" w:leader="none"/>
        </w:tabs>
        <w:ind w:left="0" w:right="0" w:hanging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Д1, Д2, Дi - доля сметной стоимости работ соответственно в 1-й, 2-й, 3-й, i-ый годы строительства;</w:t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1134" w:leader="none"/>
        </w:tabs>
        <w:ind w:left="0" w:right="0" w:hanging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i - год завершения строительства объекта;</w:t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1134" w:leader="none"/>
        </w:tabs>
        <w:ind w:left="0" w:right="0" w:hanging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К1 - индекс прогнозной инфляции за первый год строительства объекта, определяемый как среднее арифметическое между индексом прогнозной инфляции на дату начала строительства объекта и индексом прогнозной инфляции на декабрь первого года строительства объекта;</w:t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1134" w:leader="none"/>
        </w:tabs>
        <w:ind w:left="0" w:right="0" w:hanging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К2 -индекс прогнозной инфляции, учитывающий инфляцию за первый и второй годы строительства объекта. Рассчитывается как произведение индекса прогнозной инфляции, устанавливаемого нарастающим итогом на декабрь первого года строительства объекта, и индекса прогнозной инфляции на второй год строительства объекта, определенного как среднее арифметическое между индексом прогнозной инфляции на январь второго года строительства объекта и индекса прогнозной инфляции на декабрь второго года строительства объекта;</w:t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1134" w:leader="none"/>
        </w:tabs>
        <w:ind w:left="0" w:right="0" w:hanging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Кi - индекс прогнозной инфляции, учитывающий инфляцию за весь период строительства объекта. Указанный индекс рассчитывается как произведение индекса прогнозной инфляции, устанавливаемого нарастающим итогом на декабрь предшествующего года строительства объекта, и индекса прогнозной инфляции на последний год строительства объекта, определенного как среднее арифметическое между индексом прогнозной инфляции на январь последнего года строительства объекта и индексом прогнозной инфляции на дату окончания строительства объекта в последнем году (пример расчета индекса-дефлятора приведен в Приложении 6 к настоящим Требованиям).</w:t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1134" w:leader="none"/>
        </w:tabs>
        <w:ind w:left="0" w:right="0" w:hanging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При этом:</w:t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1134" w:leader="none"/>
        </w:tabs>
        <w:ind w:left="0" w:right="0" w:hanging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1) если срок выполнения работ указан в целом по договору (дата начала работ – дата окончание работ), применяется единый дефлятор, в соответствии с формулой (2);</w:t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1134" w:leader="none"/>
        </w:tabs>
        <w:ind w:left="0" w:right="0" w:hanging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2) если договором предусмотрен график выполнения работ с разбивкой на этапы (дата начала работ по этапу – дата окончания работ по этапу), дефлятор применяется в соответствии с таким графиком, и рассчитывается на каждый этап, в соответствии с формулой (2).</w:t>
      </w:r>
    </w:p>
    <w:p>
      <w:pPr>
        <w:pStyle w:val="ConsPlusNormal1"/>
        <w:widowControl/>
        <w:numPr>
          <w:ilvl w:val="0"/>
          <w:numId w:val="5"/>
        </w:numPr>
        <w:tabs>
          <w:tab w:val="clear" w:pos="709"/>
          <w:tab w:val="left" w:pos="284" w:leader="none"/>
          <w:tab w:val="left" w:pos="1134" w:leader="none"/>
        </w:tabs>
        <w:ind w:left="0"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color w:val="000000"/>
          <w:sz w:val="22"/>
          <w:szCs w:val="22"/>
        </w:rPr>
        <w:t>В случае отсутствия единичных расценок в действующей СНБ возможно определение сметной стоимости с применением сборников: «Единых норм и расценок на строительные, монтажные и ремонтно-строительные работы» (далее – ЕНиР) и «Ведомственных норм и расценок на строительные, монтажные и ремонтно-строительные работы» (далее – ВНиР). Уровень оплаты труда для ЕНиР и ВНиР определять аналогично примененному в сметной документации методу расчета.</w:t>
      </w:r>
    </w:p>
    <w:p>
      <w:pPr>
        <w:pStyle w:val="ConsPlusNormal1"/>
        <w:widowControl/>
        <w:tabs>
          <w:tab w:val="clear" w:pos="709"/>
          <w:tab w:val="left" w:pos="993" w:leader="none"/>
        </w:tabs>
        <w:ind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Нормы накладных расходов и сметной прибыли определять на основании </w:t>
      </w:r>
      <w:r>
        <w:rPr>
          <w:rFonts w:cs="Times New Roman" w:ascii="Times New Roman" w:hAnsi="Times New Roman"/>
          <w:sz w:val="22"/>
          <w:szCs w:val="22"/>
        </w:rPr>
        <w:t>нормативных документов, внесенных в Федеральный реестр сметных нормативов.</w:t>
      </w:r>
    </w:p>
    <w:p>
      <w:pPr>
        <w:pStyle w:val="ConsPlusNormal1"/>
        <w:widowControl/>
        <w:tabs>
          <w:tab w:val="clear" w:pos="709"/>
          <w:tab w:val="left" w:pos="993" w:leader="none"/>
        </w:tabs>
        <w:ind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Коэффициенты, учитывающие условия производства работ, применять согласно общим положениям «Общей части» к ЕНиР и ВНиР, утвержденным постановлением Госстроя СССР от 05.12.1986 №43/512/29-50.</w:t>
      </w:r>
    </w:p>
    <w:p>
      <w:pPr>
        <w:pStyle w:val="ConsPlusNormal1"/>
        <w:numPr>
          <w:ilvl w:val="0"/>
          <w:numId w:val="5"/>
        </w:numPr>
        <w:tabs>
          <w:tab w:val="clear" w:pos="709"/>
          <w:tab w:val="left" w:pos="426" w:leader="none"/>
          <w:tab w:val="left" w:pos="1134" w:leader="none"/>
        </w:tabs>
        <w:spacing w:before="40" w:after="40"/>
        <w:ind w:left="0"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При отсутствии в ФГИС ЦС и ФСБЦ-2022, данных о сметных ценах на отдельные материальные ресурсы и оборудование, а также сметных нормативов на отдельные виды услуг, их сметная стоимость определяется по варианту, определенному Методом анализа ТКП в соответствии с Методикой ПЦ (Приложение №3).</w:t>
      </w:r>
    </w:p>
    <w:p>
      <w:pPr>
        <w:pStyle w:val="ConsPlusNormal1"/>
        <w:numPr>
          <w:ilvl w:val="0"/>
          <w:numId w:val="5"/>
        </w:numPr>
        <w:tabs>
          <w:tab w:val="clear" w:pos="709"/>
          <w:tab w:val="left" w:pos="426" w:leader="none"/>
          <w:tab w:val="left" w:pos="1134" w:leader="none"/>
        </w:tabs>
        <w:spacing w:before="40" w:after="40"/>
        <w:ind w:left="0"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Сметная стоимость материальных ресурсов и индивидуального стандартизированного (адаптированного) оборудования в текущем уровне цен, информация о которых отсутствует во ФГИС ЦС и ФРСН, определяется с учетом транспортных и заготовительно-складских затрат.</w:t>
      </w:r>
    </w:p>
    <w:p>
      <w:pPr>
        <w:pStyle w:val="ConsPlusNormal1"/>
        <w:numPr>
          <w:ilvl w:val="0"/>
          <w:numId w:val="5"/>
        </w:numPr>
        <w:tabs>
          <w:tab w:val="clear" w:pos="709"/>
          <w:tab w:val="left" w:pos="426" w:leader="none"/>
          <w:tab w:val="left" w:pos="1134" w:leader="none"/>
        </w:tabs>
        <w:spacing w:before="40" w:after="40"/>
        <w:ind w:left="0"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Транспортные затраты определяются следующими методами:</w:t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284" w:leader="none"/>
          <w:tab w:val="left" w:pos="1134" w:leader="none"/>
          <w:tab w:val="left" w:pos="1276" w:leader="none"/>
        </w:tabs>
        <w:suppressAutoHyphens w:val="true"/>
        <w:spacing w:lineRule="auto" w:line="240" w:before="40" w:after="40"/>
        <w:ind w:left="0" w:hanging="0"/>
        <w:jc w:val="both"/>
        <w:textAlignment w:val="baseline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  <w:lang w:val="en-US"/>
        </w:rPr>
        <w:t xml:space="preserve">       </w:t>
      </w:r>
      <w:r>
        <w:rPr>
          <w:rFonts w:ascii="Times New Roman" w:hAnsi="Times New Roman"/>
          <w:b/>
          <w:sz w:val="22"/>
          <w:szCs w:val="22"/>
        </w:rPr>
        <w:t>по доставке материальных ресурсов:</w:t>
      </w:r>
    </w:p>
    <w:p>
      <w:pPr>
        <w:pStyle w:val="ConsPlusNormal1"/>
        <w:numPr>
          <w:ilvl w:val="0"/>
          <w:numId w:val="0"/>
        </w:numPr>
        <w:tabs>
          <w:tab w:val="clear" w:pos="709"/>
          <w:tab w:val="left" w:pos="1134" w:leader="none"/>
        </w:tabs>
        <w:suppressAutoHyphens w:val="true"/>
        <w:spacing w:before="40" w:after="40"/>
        <w:ind w:left="0" w:hanging="0"/>
        <w:jc w:val="both"/>
        <w:textAlignment w:val="baseline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   </w:t>
      </w:r>
      <w:r>
        <w:rPr>
          <w:rFonts w:cs="Times New Roman" w:ascii="Times New Roman" w:hAnsi="Times New Roman"/>
          <w:sz w:val="22"/>
          <w:szCs w:val="22"/>
        </w:rPr>
        <w:t>- расчетом с учетом расстояния перевозки, класса грузов, типа транспорта, наличии погрузо-разгрузочных работ, информации о ценах на услуги на перевозку грузов, в зависимости от вида транспорта (ж/д, автомобильный, речной, морской, воздушный), включенных в ФГИС ЦС и в соответствии со сметными нормативами, включенными в ФРСН;</w:t>
      </w:r>
    </w:p>
    <w:p>
      <w:pPr>
        <w:pStyle w:val="ConsPlusNormal1"/>
        <w:widowControl/>
        <w:numPr>
          <w:ilvl w:val="0"/>
          <w:numId w:val="0"/>
        </w:numPr>
        <w:tabs>
          <w:tab w:val="clear" w:pos="709"/>
          <w:tab w:val="left" w:pos="1134" w:leader="none"/>
        </w:tabs>
        <w:suppressAutoHyphens w:val="true"/>
        <w:spacing w:before="40" w:after="40"/>
        <w:ind w:left="0" w:hanging="0"/>
        <w:jc w:val="both"/>
        <w:textAlignment w:val="baseline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      </w:t>
      </w:r>
      <w:r>
        <w:rPr>
          <w:rFonts w:cs="Times New Roman" w:ascii="Times New Roman" w:hAnsi="Times New Roman"/>
          <w:sz w:val="22"/>
          <w:szCs w:val="22"/>
        </w:rPr>
        <w:t>- методом анализа ТКП, по наиболее экономичному варианту, в соответствии с Приложением №3 к настоящим Требованиям;</w:t>
      </w:r>
    </w:p>
    <w:p>
      <w:pPr>
        <w:pStyle w:val="ConsPlusNormal1"/>
        <w:widowControl/>
        <w:numPr>
          <w:ilvl w:val="0"/>
          <w:numId w:val="0"/>
        </w:numPr>
        <w:tabs>
          <w:tab w:val="clear" w:pos="709"/>
          <w:tab w:val="left" w:pos="1134" w:leader="none"/>
        </w:tabs>
        <w:suppressAutoHyphens w:val="true"/>
        <w:spacing w:before="40" w:after="40"/>
        <w:ind w:left="0" w:hanging="0"/>
        <w:jc w:val="both"/>
        <w:textAlignment w:val="baseline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     </w:t>
      </w:r>
      <w:r>
        <w:rPr>
          <w:rFonts w:cs="Times New Roman" w:ascii="Times New Roman" w:hAnsi="Times New Roman"/>
          <w:sz w:val="22"/>
          <w:szCs w:val="22"/>
        </w:rPr>
        <w:t>- в размере до 3-х процентов от отпускной цены материальных ресурсов (при невозможности определить затраты указанными выше способами), по решению заказчика.</w:t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284" w:leader="none"/>
          <w:tab w:val="left" w:pos="1134" w:leader="none"/>
        </w:tabs>
        <w:suppressAutoHyphens w:val="true"/>
        <w:spacing w:lineRule="auto" w:line="240" w:before="40" w:after="40"/>
        <w:ind w:left="0" w:hanging="0"/>
        <w:jc w:val="both"/>
        <w:textAlignment w:val="baseline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  <w:lang w:val="en-US"/>
        </w:rPr>
        <w:t xml:space="preserve">       </w:t>
      </w:r>
      <w:r>
        <w:rPr>
          <w:rFonts w:ascii="Times New Roman" w:hAnsi="Times New Roman"/>
          <w:b/>
          <w:sz w:val="22"/>
          <w:szCs w:val="22"/>
          <w:lang w:val="en-US"/>
        </w:rPr>
        <w:t>по доставке оборудования</w:t>
      </w:r>
      <w:r>
        <w:rPr>
          <w:rFonts w:ascii="Times New Roman" w:hAnsi="Times New Roman"/>
          <w:sz w:val="22"/>
          <w:szCs w:val="22"/>
          <w:lang w:val="en-US"/>
        </w:rPr>
        <w:t>:</w:t>
      </w:r>
    </w:p>
    <w:p>
      <w:pPr>
        <w:pStyle w:val="ConsPlusNormal1"/>
        <w:widowControl/>
        <w:numPr>
          <w:ilvl w:val="0"/>
          <w:numId w:val="0"/>
        </w:numPr>
        <w:tabs>
          <w:tab w:val="clear" w:pos="709"/>
          <w:tab w:val="left" w:pos="1134" w:leader="none"/>
        </w:tabs>
        <w:suppressAutoHyphens w:val="true"/>
        <w:spacing w:before="40" w:after="40"/>
        <w:ind w:left="0" w:hanging="0"/>
        <w:jc w:val="both"/>
        <w:textAlignment w:val="baseline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    </w:t>
      </w:r>
      <w:r>
        <w:rPr>
          <w:rFonts w:cs="Times New Roman" w:ascii="Times New Roman" w:hAnsi="Times New Roman"/>
          <w:sz w:val="22"/>
          <w:szCs w:val="22"/>
        </w:rPr>
        <w:t>- расчетом с учетом расстояния перевозки, класса грузов, типа транспорта, наличии погрузо-разгрузочных работ, информации о ценах на услуги на перевозку грузов, в зависимости от вида транспорта (ж/д, автомобильный, речной, морской, воздушный), включенных в ФГИС ЦС и в соответствии со сметными нормативами, включенными в ФРСН;</w:t>
      </w:r>
    </w:p>
    <w:p>
      <w:pPr>
        <w:pStyle w:val="ConsPlusNormal1"/>
        <w:widowControl/>
        <w:numPr>
          <w:ilvl w:val="0"/>
          <w:numId w:val="0"/>
        </w:numPr>
        <w:tabs>
          <w:tab w:val="clear" w:pos="709"/>
          <w:tab w:val="left" w:pos="1134" w:leader="none"/>
        </w:tabs>
        <w:suppressAutoHyphens w:val="true"/>
        <w:spacing w:before="40" w:after="40"/>
        <w:ind w:left="0" w:hanging="0"/>
        <w:jc w:val="both"/>
        <w:textAlignment w:val="baseline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   </w:t>
      </w:r>
      <w:r>
        <w:rPr>
          <w:rFonts w:cs="Times New Roman" w:ascii="Times New Roman" w:hAnsi="Times New Roman"/>
          <w:sz w:val="22"/>
          <w:szCs w:val="22"/>
        </w:rPr>
        <w:t>- методом анализа ТКП в соответствии с Приложением №3  к настоящим Требованиям</w:t>
      </w:r>
    </w:p>
    <w:p>
      <w:pPr>
        <w:pStyle w:val="ConsPlusNormal1"/>
        <w:numPr>
          <w:ilvl w:val="0"/>
          <w:numId w:val="0"/>
        </w:numPr>
        <w:tabs>
          <w:tab w:val="clear" w:pos="709"/>
          <w:tab w:val="left" w:pos="284" w:leader="none"/>
          <w:tab w:val="left" w:pos="1134" w:leader="none"/>
        </w:tabs>
        <w:suppressAutoHyphens w:val="true"/>
        <w:spacing w:before="40" w:after="40"/>
        <w:ind w:left="0" w:hanging="0"/>
        <w:jc w:val="both"/>
        <w:textAlignment w:val="baseline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   </w:t>
      </w:r>
      <w:r>
        <w:rPr>
          <w:rFonts w:cs="Times New Roman" w:ascii="Times New Roman" w:hAnsi="Times New Roman"/>
          <w:sz w:val="22"/>
          <w:szCs w:val="22"/>
        </w:rPr>
        <w:t>- в размере до 3-х процентов от отпускной цены оборудования (при невозможности определить затраты указанными выше способами), по решению заказчика</w:t>
      </w:r>
    </w:p>
    <w:p>
      <w:pPr>
        <w:pStyle w:val="ConsPlusNormal1"/>
        <w:tabs>
          <w:tab w:val="clear" w:pos="709"/>
          <w:tab w:val="left" w:pos="284" w:leader="none"/>
          <w:tab w:val="left" w:pos="1134" w:leader="none"/>
        </w:tabs>
        <w:suppressAutoHyphens w:val="true"/>
        <w:spacing w:before="40" w:after="40"/>
        <w:ind w:left="0" w:hanging="0"/>
        <w:jc w:val="both"/>
        <w:textAlignment w:val="baseline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        </w:t>
      </w:r>
      <w:r>
        <w:rPr>
          <w:rFonts w:cs="Times New Roman" w:ascii="Times New Roman" w:hAnsi="Times New Roman"/>
          <w:sz w:val="22"/>
          <w:szCs w:val="22"/>
        </w:rPr>
        <w:t>- при формировании сметной стоимости в ЛСР (ЛС) отдельно выделяется сметная стоимость по видам оборудования: инженерное; технологическое; лабораторное; транспортные средства; инструмент для технологических процессов; производственный и хозяйственный инвентарь, в т.ч. мебель.</w:t>
      </w:r>
    </w:p>
    <w:p>
      <w:pPr>
        <w:pStyle w:val="ConsPlusNormal1"/>
        <w:numPr>
          <w:ilvl w:val="0"/>
          <w:numId w:val="5"/>
        </w:numPr>
        <w:tabs>
          <w:tab w:val="clear" w:pos="709"/>
          <w:tab w:val="left" w:pos="426" w:leader="none"/>
          <w:tab w:val="left" w:pos="1134" w:leader="none"/>
        </w:tabs>
        <w:spacing w:before="40" w:after="40"/>
        <w:ind w:left="0"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Если транспортировка осуществляется заказчиком самостоятельно (самовывоз), данные расходы в сметной документации дополнительно не учитываются. </w:t>
      </w:r>
    </w:p>
    <w:p>
      <w:pPr>
        <w:pStyle w:val="ConsPlusNormal1"/>
        <w:numPr>
          <w:ilvl w:val="0"/>
          <w:numId w:val="5"/>
        </w:numPr>
        <w:tabs>
          <w:tab w:val="clear" w:pos="709"/>
          <w:tab w:val="left" w:pos="426" w:leader="none"/>
          <w:tab w:val="left" w:pos="1134" w:leader="none"/>
        </w:tabs>
        <w:spacing w:before="40" w:after="40"/>
        <w:ind w:left="0"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Заготовительно-складские расходы определяются в % от суммы отпускной цены материалов, изделий, конструкций, оборудования и транспортных затрат:</w:t>
      </w:r>
    </w:p>
    <w:p>
      <w:pPr>
        <w:pStyle w:val="ConsPlusNormal1"/>
        <w:numPr>
          <w:ilvl w:val="0"/>
          <w:numId w:val="0"/>
        </w:numPr>
        <w:tabs>
          <w:tab w:val="clear" w:pos="709"/>
          <w:tab w:val="left" w:pos="426" w:leader="none"/>
          <w:tab w:val="left" w:pos="1134" w:leader="none"/>
        </w:tabs>
        <w:spacing w:before="40" w:after="40"/>
        <w:ind w:left="0" w:hanging="0"/>
        <w:jc w:val="both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               </w:t>
      </w:r>
      <w:r>
        <w:rPr>
          <w:rFonts w:cs="Times New Roman" w:ascii="Times New Roman" w:hAnsi="Times New Roman"/>
          <w:sz w:val="22"/>
          <w:szCs w:val="22"/>
        </w:rPr>
        <w:t>-  2% -для материальных ресурсов (кроме металлоконструкций);</w:t>
      </w:r>
    </w:p>
    <w:p>
      <w:pPr>
        <w:pStyle w:val="ConsPlusNormal1"/>
        <w:numPr>
          <w:ilvl w:val="0"/>
          <w:numId w:val="0"/>
        </w:numPr>
        <w:tabs>
          <w:tab w:val="left" w:pos="709" w:leader="none"/>
          <w:tab w:val="left" w:pos="851" w:leader="none"/>
          <w:tab w:val="left" w:pos="1134" w:leader="none"/>
        </w:tabs>
        <w:suppressAutoHyphens w:val="true"/>
        <w:spacing w:before="40" w:after="40"/>
        <w:ind w:left="0" w:right="0" w:hanging="0"/>
        <w:jc w:val="both"/>
        <w:textAlignment w:val="baseline"/>
        <w:rPr/>
      </w:pPr>
      <w:r>
        <w:rPr>
          <w:rFonts w:cs="Times New Roman" w:ascii="Times New Roman" w:hAnsi="Times New Roman"/>
          <w:sz w:val="22"/>
          <w:szCs w:val="22"/>
        </w:rPr>
        <w:t xml:space="preserve">               </w:t>
      </w:r>
      <w:r>
        <w:rPr>
          <w:rFonts w:cs="Times New Roman" w:ascii="Times New Roman" w:hAnsi="Times New Roman"/>
          <w:sz w:val="22"/>
          <w:szCs w:val="22"/>
        </w:rPr>
        <w:t>-  0,75%- для металлоконструкций;</w:t>
      </w:r>
    </w:p>
    <w:p>
      <w:pPr>
        <w:pStyle w:val="ConsPlusNormal1"/>
        <w:numPr>
          <w:ilvl w:val="0"/>
          <w:numId w:val="0"/>
        </w:numPr>
        <w:tabs>
          <w:tab w:val="left" w:pos="709" w:leader="none"/>
          <w:tab w:val="left" w:pos="851" w:leader="none"/>
          <w:tab w:val="left" w:pos="1134" w:leader="none"/>
        </w:tabs>
        <w:suppressAutoHyphens w:val="true"/>
        <w:spacing w:before="40" w:after="40"/>
        <w:ind w:left="0" w:right="0" w:hanging="0"/>
        <w:jc w:val="both"/>
        <w:textAlignment w:val="baseline"/>
        <w:rPr/>
      </w:pPr>
      <w:r>
        <w:rPr>
          <w:rFonts w:cs="Times New Roman" w:ascii="Times New Roman" w:hAnsi="Times New Roman"/>
          <w:sz w:val="22"/>
          <w:szCs w:val="22"/>
        </w:rPr>
        <w:t xml:space="preserve">               </w:t>
      </w:r>
      <w:r>
        <w:rPr>
          <w:rFonts w:cs="Times New Roman" w:ascii="Times New Roman" w:hAnsi="Times New Roman"/>
          <w:sz w:val="22"/>
          <w:szCs w:val="22"/>
        </w:rPr>
        <w:t>-  1,2% - для оборудования.</w:t>
      </w:r>
    </w:p>
    <w:p>
      <w:pPr>
        <w:pStyle w:val="ConsPlusNormal1"/>
        <w:numPr>
          <w:ilvl w:val="0"/>
          <w:numId w:val="5"/>
        </w:numPr>
        <w:tabs>
          <w:tab w:val="clear" w:pos="709"/>
          <w:tab w:val="left" w:pos="426" w:leader="none"/>
          <w:tab w:val="left" w:pos="1134" w:leader="none"/>
        </w:tabs>
        <w:spacing w:before="40" w:after="40"/>
        <w:ind w:left="0"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Номенклатура принимаемых по сборнику МТР должна строго соответствовать номенклатуре, определенной проектом/ВОР, «применительно» использование расценок сборника не допускается.</w:t>
      </w:r>
    </w:p>
    <w:p>
      <w:pPr>
        <w:pStyle w:val="ConsPlusNormal1"/>
        <w:numPr>
          <w:ilvl w:val="0"/>
          <w:numId w:val="0"/>
        </w:numPr>
        <w:tabs>
          <w:tab w:val="clear" w:pos="709"/>
          <w:tab w:val="left" w:pos="284" w:leader="none"/>
          <w:tab w:val="left" w:pos="1134" w:leader="none"/>
        </w:tabs>
        <w:spacing w:before="40" w:after="40"/>
        <w:ind w:left="0" w:hanging="0"/>
        <w:jc w:val="both"/>
        <w:rPr>
          <w:rFonts w:cs="Times New Roman"/>
          <w:b/>
          <w:color w:val="FF0000"/>
        </w:rPr>
      </w:pPr>
      <w:r>
        <w:rPr>
          <w:rFonts w:cs="Times New Roman"/>
          <w:b/>
          <w:color w:val="FF0000"/>
        </w:rPr>
      </w:r>
    </w:p>
    <w:p>
      <w:pPr>
        <w:pStyle w:val="ListParagraph"/>
        <w:numPr>
          <w:ilvl w:val="0"/>
          <w:numId w:val="5"/>
        </w:numPr>
        <w:tabs>
          <w:tab w:val="left" w:pos="709" w:leader="none"/>
          <w:tab w:val="left" w:pos="851" w:leader="none"/>
          <w:tab w:val="left" w:pos="1276" w:leader="none"/>
        </w:tabs>
        <w:spacing w:lineRule="auto" w:line="240" w:before="40" w:after="40"/>
        <w:ind w:left="0" w:firstLine="709"/>
        <w:contextualSpacing w:val="false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При использовании в сметах коэффициентов и лимитированных затрат указывать обоснование из технической части, вводных указаний сборников или других нормативных документов и приложений к ним.</w:t>
      </w:r>
    </w:p>
    <w:p>
      <w:pPr>
        <w:pStyle w:val="ListParagraph"/>
        <w:numPr>
          <w:ilvl w:val="0"/>
          <w:numId w:val="5"/>
        </w:numPr>
        <w:tabs>
          <w:tab w:val="left" w:pos="709" w:leader="none"/>
          <w:tab w:val="left" w:pos="851" w:leader="none"/>
          <w:tab w:val="left" w:pos="1276" w:leader="none"/>
        </w:tabs>
        <w:spacing w:lineRule="auto" w:line="240" w:before="40" w:after="40"/>
        <w:ind w:left="0" w:firstLine="709"/>
        <w:contextualSpacing w:val="false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Поправочные коэффициенты из технической части к расценкам (например, на демонтаж или для учета особых условий выполнения работ) учитываются индивидуально для каждой позиции и в выходных формах при выгрузке в формат «Excel» и указываются оппозиционно.</w:t>
      </w:r>
      <w:r>
        <w:rPr>
          <w:rFonts w:ascii="Times New Roman" w:hAnsi="Times New Roman"/>
          <w:color w:val="FF0000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Коэффициенты, учитывающие усложняющие факторы и условия производства работ, могут применяться одновременно с другими коэффициентами, предусмотренными сметными нормативами, включенными в ФРСН. При одновременном применении коэффициенты перемножаются, результат округляется до семи знаков после запятой.</w:t>
      </w:r>
    </w:p>
    <w:p>
      <w:pPr>
        <w:pStyle w:val="ListParagraph"/>
        <w:numPr>
          <w:ilvl w:val="0"/>
          <w:numId w:val="5"/>
        </w:numPr>
        <w:tabs>
          <w:tab w:val="left" w:pos="709" w:leader="none"/>
          <w:tab w:val="left" w:pos="851" w:leader="none"/>
          <w:tab w:val="left" w:pos="1276" w:leader="none"/>
        </w:tabs>
        <w:spacing w:lineRule="auto" w:line="240" w:before="40" w:after="40"/>
        <w:ind w:left="0" w:firstLine="709"/>
        <w:contextualSpacing w:val="false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При внесении изменений в сметную документацию разрабатывается сводный сметный </w:t>
      </w:r>
    </w:p>
    <w:p>
      <w:pPr>
        <w:pStyle w:val="Normal"/>
        <w:tabs>
          <w:tab w:val="left" w:pos="284" w:leader="none"/>
          <w:tab w:val="left" w:pos="709" w:leader="none"/>
          <w:tab w:val="left" w:pos="851" w:leader="none"/>
        </w:tabs>
        <w:spacing w:lineRule="auto" w:line="240" w:before="40" w:after="40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расчет, определяющий общую сметную стоимость строительства с учетом произведенных изменений проектной и (или) иной технической документации на полный объем работ с учетом объемов корректировки (исключаемых и дополнительных). Локальные сметные расчеты (сметы) разрабатываются отдельно на исключаемые и дополнительные объемы работ.</w:t>
      </w:r>
    </w:p>
    <w:p>
      <w:pPr>
        <w:pStyle w:val="ListParagraph"/>
        <w:numPr>
          <w:ilvl w:val="0"/>
          <w:numId w:val="5"/>
        </w:numPr>
        <w:tabs>
          <w:tab w:val="left" w:pos="709" w:leader="none"/>
          <w:tab w:val="left" w:pos="851" w:leader="none"/>
          <w:tab w:val="left" w:pos="1276" w:leader="none"/>
        </w:tabs>
        <w:spacing w:lineRule="auto" w:line="240" w:before="40" w:after="40"/>
        <w:ind w:left="0" w:firstLine="709"/>
        <w:contextualSpacing w:val="false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В </w:t>
      </w:r>
      <w:r>
        <w:rPr>
          <w:rFonts w:ascii="Times New Roman" w:hAnsi="Times New Roman"/>
          <w:color w:val="000000"/>
          <w:sz w:val="22"/>
          <w:szCs w:val="22"/>
        </w:rPr>
        <w:t>ЛСР</w:t>
      </w:r>
      <w:r>
        <w:rPr>
          <w:rFonts w:ascii="Times New Roman" w:hAnsi="Times New Roman"/>
          <w:sz w:val="22"/>
          <w:szCs w:val="22"/>
        </w:rPr>
        <w:t xml:space="preserve"> (ЛС) указывать величину накладных расходов по видам строительных, ремонтно-</w:t>
      </w:r>
    </w:p>
    <w:p>
      <w:pPr>
        <w:pStyle w:val="ConsPlusNormal1"/>
        <w:widowControl/>
        <w:tabs>
          <w:tab w:val="left" w:pos="284" w:leader="none"/>
          <w:tab w:val="left" w:pos="709" w:leader="none"/>
          <w:tab w:val="left" w:pos="851" w:leader="none"/>
        </w:tabs>
        <w:spacing w:before="40" w:after="40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строительных, монтажных работ, на основании нормативных документов, внесенных в ФРСН. </w:t>
      </w:r>
    </w:p>
    <w:p>
      <w:pPr>
        <w:pStyle w:val="ListParagraph"/>
        <w:numPr>
          <w:ilvl w:val="0"/>
          <w:numId w:val="5"/>
        </w:numPr>
        <w:tabs>
          <w:tab w:val="left" w:pos="709" w:leader="none"/>
          <w:tab w:val="left" w:pos="851" w:leader="none"/>
          <w:tab w:val="left" w:pos="1276" w:leader="none"/>
        </w:tabs>
        <w:spacing w:lineRule="auto" w:line="240" w:before="40" w:after="40"/>
        <w:ind w:left="0" w:firstLine="709"/>
        <w:contextualSpacing w:val="false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В </w:t>
      </w:r>
      <w:r>
        <w:rPr>
          <w:rFonts w:ascii="Times New Roman" w:hAnsi="Times New Roman"/>
          <w:color w:val="000000"/>
          <w:sz w:val="22"/>
          <w:szCs w:val="22"/>
        </w:rPr>
        <w:t>ЛСР</w:t>
      </w:r>
      <w:r>
        <w:rPr>
          <w:rFonts w:ascii="Times New Roman" w:hAnsi="Times New Roman"/>
          <w:sz w:val="22"/>
          <w:szCs w:val="22"/>
        </w:rPr>
        <w:t xml:space="preserve"> (ЛС) указывать величину сметной прибыли по видам строительных, ремонтно-</w:t>
      </w:r>
    </w:p>
    <w:p>
      <w:pPr>
        <w:pStyle w:val="ConsPlusNormal1"/>
        <w:widowControl/>
        <w:tabs>
          <w:tab w:val="left" w:pos="284" w:leader="none"/>
          <w:tab w:val="left" w:pos="709" w:leader="none"/>
          <w:tab w:val="left" w:pos="851" w:leader="none"/>
        </w:tabs>
        <w:spacing w:before="40" w:after="40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строительных, монтажных работ, на основании актуальных нормативных документов, внесенных в ФРСН .</w:t>
      </w:r>
    </w:p>
    <w:p>
      <w:pPr>
        <w:pStyle w:val="ListParagraph"/>
        <w:tabs>
          <w:tab w:val="left" w:pos="709" w:leader="none"/>
          <w:tab w:val="left" w:pos="851" w:leader="none"/>
          <w:tab w:val="left" w:pos="1276" w:leader="none"/>
        </w:tabs>
        <w:spacing w:lineRule="auto" w:line="240" w:before="40" w:after="40"/>
        <w:ind w:left="0" w:hanging="0"/>
        <w:contextualSpacing w:val="false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ListParagraph"/>
        <w:numPr>
          <w:ilvl w:val="0"/>
          <w:numId w:val="5"/>
        </w:numPr>
        <w:tabs>
          <w:tab w:val="left" w:pos="709" w:leader="none"/>
          <w:tab w:val="left" w:pos="851" w:leader="none"/>
          <w:tab w:val="left" w:pos="1276" w:leader="none"/>
        </w:tabs>
        <w:spacing w:lineRule="auto" w:line="240" w:before="40" w:after="40"/>
        <w:ind w:left="0" w:firstLine="709"/>
        <w:contextualSpacing w:val="false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При необходимости учета командировочных расходов в сметной документации составляется расчет, форма расчета приведена в Приложении №2. Размер суточных командировочных расходов определять в соответствии с Федеральным законодательством и с учетом норм, определяемых внутренним документом организации.</w:t>
      </w:r>
    </w:p>
    <w:p>
      <w:pPr>
        <w:pStyle w:val="ConsPlusNormal1"/>
        <w:widowControl/>
        <w:tabs>
          <w:tab w:val="left" w:pos="284" w:leader="none"/>
          <w:tab w:val="left" w:pos="709" w:leader="none"/>
          <w:tab w:val="left" w:pos="851" w:leader="none"/>
        </w:tabs>
        <w:spacing w:before="40" w:after="40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Лимиты командировочных расходов при производстве СМР и ПНР  по статьям затрат следующие:</w:t>
      </w:r>
    </w:p>
    <w:p>
      <w:pPr>
        <w:pStyle w:val="ConsPlusNormal1"/>
        <w:numPr>
          <w:ilvl w:val="0"/>
          <w:numId w:val="3"/>
        </w:numPr>
        <w:tabs>
          <w:tab w:val="left" w:pos="284" w:leader="none"/>
          <w:tab w:val="left" w:pos="709" w:leader="none"/>
          <w:tab w:val="left" w:pos="851" w:leader="none"/>
        </w:tabs>
        <w:spacing w:before="40" w:after="40"/>
        <w:ind w:left="0"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суточные – 700 руб./сутки;</w:t>
      </w:r>
    </w:p>
    <w:p>
      <w:pPr>
        <w:pStyle w:val="ConsPlusNormal1"/>
        <w:numPr>
          <w:ilvl w:val="0"/>
          <w:numId w:val="3"/>
        </w:numPr>
        <w:tabs>
          <w:tab w:val="left" w:pos="284" w:leader="none"/>
          <w:tab w:val="left" w:pos="709" w:leader="none"/>
          <w:tab w:val="left" w:pos="851" w:leader="none"/>
        </w:tabs>
        <w:spacing w:before="40" w:after="40"/>
        <w:ind w:left="0"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проживание – 500 руб./сутки;</w:t>
      </w:r>
    </w:p>
    <w:p>
      <w:pPr>
        <w:pStyle w:val="ConsPlusNormal1"/>
        <w:numPr>
          <w:ilvl w:val="0"/>
          <w:numId w:val="3"/>
        </w:numPr>
        <w:tabs>
          <w:tab w:val="left" w:pos="284" w:leader="none"/>
          <w:tab w:val="left" w:pos="709" w:leader="none"/>
          <w:tab w:val="left" w:pos="851" w:leader="none"/>
        </w:tabs>
        <w:spacing w:before="40" w:after="40"/>
        <w:ind w:left="0"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проезд: поезд (купе) или самолет (класс–эконом с багажом до 20 (двадцати) кг, ручная кладь до 10 (десяти) кг).</w:t>
      </w:r>
    </w:p>
    <w:p>
      <w:pPr>
        <w:pStyle w:val="ListParagraph"/>
        <w:numPr>
          <w:ilvl w:val="0"/>
          <w:numId w:val="5"/>
        </w:numPr>
        <w:tabs>
          <w:tab w:val="left" w:pos="709" w:leader="none"/>
          <w:tab w:val="left" w:pos="851" w:leader="none"/>
          <w:tab w:val="left" w:pos="1276" w:leader="none"/>
        </w:tabs>
        <w:spacing w:lineRule="auto" w:line="240" w:before="40" w:after="40"/>
        <w:ind w:left="0" w:firstLine="709"/>
        <w:contextualSpacing w:val="false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При определении сметных затрат на демонтаж строительных конструкций и оборудования стоимость погрузки, перевозки (от строительной площадки до места утилизации или складирования) и разгрузки строительного мусора и материалов, полученных при разборке строительных конструкций и оборудования, следует учитывать дополнительно, на основании проектной и (или) иной технической документации, проекта организации работ по сносу объекта капитального строительства.</w:t>
      </w:r>
    </w:p>
    <w:p>
      <w:pPr>
        <w:pStyle w:val="ListParagraph"/>
        <w:numPr>
          <w:ilvl w:val="0"/>
          <w:numId w:val="5"/>
        </w:numPr>
        <w:tabs>
          <w:tab w:val="left" w:pos="709" w:leader="none"/>
          <w:tab w:val="left" w:pos="851" w:leader="none"/>
          <w:tab w:val="left" w:pos="1276" w:leader="none"/>
        </w:tabs>
        <w:spacing w:lineRule="auto" w:line="240" w:before="40" w:after="40"/>
        <w:ind w:left="0" w:firstLine="709"/>
        <w:contextualSpacing w:val="false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В </w:t>
      </w:r>
      <w:r>
        <w:rPr>
          <w:rFonts w:ascii="Times New Roman" w:hAnsi="Times New Roman"/>
          <w:color w:val="000000"/>
          <w:sz w:val="22"/>
          <w:szCs w:val="22"/>
        </w:rPr>
        <w:t>локальных</w:t>
      </w:r>
      <w:r>
        <w:rPr>
          <w:rFonts w:ascii="Times New Roman" w:hAnsi="Times New Roman"/>
          <w:sz w:val="22"/>
          <w:szCs w:val="22"/>
        </w:rPr>
        <w:t xml:space="preserve"> сметных расчетах построчные и итоговые суммы </w:t>
      </w:r>
      <w:r>
        <w:rPr>
          <w:rFonts w:ascii="Times New Roman" w:hAnsi="Times New Roman"/>
          <w:b/>
          <w:sz w:val="22"/>
          <w:szCs w:val="22"/>
          <w:u w:val="single"/>
        </w:rPr>
        <w:t>округлять:</w:t>
      </w:r>
    </w:p>
    <w:p>
      <w:pPr>
        <w:pStyle w:val="ConsPlusNormal1"/>
        <w:numPr>
          <w:ilvl w:val="0"/>
          <w:numId w:val="3"/>
        </w:numPr>
        <w:tabs>
          <w:tab w:val="left" w:pos="709" w:leader="none"/>
          <w:tab w:val="left" w:pos="851" w:leader="none"/>
          <w:tab w:val="left" w:pos="1134" w:leader="none"/>
        </w:tabs>
        <w:spacing w:before="40" w:after="40"/>
        <w:ind w:left="0"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при ресурсно-индексном и ресурсным методах, а также в сметных расчетах на отдельные виды затрат - в рублях </w:t>
      </w:r>
      <w:r>
        <w:rPr>
          <w:rFonts w:cs="Times New Roman" w:ascii="Times New Roman" w:hAnsi="Times New Roman"/>
          <w:b/>
          <w:sz w:val="22"/>
          <w:szCs w:val="22"/>
        </w:rPr>
        <w:t>до двух знаков после запятой единиц</w:t>
      </w:r>
      <w:r>
        <w:rPr>
          <w:rFonts w:cs="Times New Roman" w:ascii="Times New Roman" w:hAnsi="Times New Roman"/>
          <w:sz w:val="22"/>
          <w:szCs w:val="22"/>
        </w:rPr>
        <w:t>;</w:t>
      </w:r>
    </w:p>
    <w:p>
      <w:pPr>
        <w:pStyle w:val="ConsPlusNormal1"/>
        <w:numPr>
          <w:ilvl w:val="0"/>
          <w:numId w:val="3"/>
        </w:numPr>
        <w:tabs>
          <w:tab w:val="left" w:pos="709" w:leader="none"/>
          <w:tab w:val="left" w:pos="851" w:leader="none"/>
          <w:tab w:val="left" w:pos="1134" w:leader="none"/>
        </w:tabs>
        <w:spacing w:before="40" w:after="40"/>
        <w:ind w:left="0"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в объектных сметных расчетах (сметах), сводном сметном расчете и сводке затрат - в рублях с до двух знаков после запятой. Величину НДС не указывать.</w:t>
      </w:r>
    </w:p>
    <w:p>
      <w:pPr>
        <w:pStyle w:val="ListParagraph"/>
        <w:numPr>
          <w:ilvl w:val="0"/>
          <w:numId w:val="5"/>
        </w:numPr>
        <w:tabs>
          <w:tab w:val="left" w:pos="709" w:leader="none"/>
          <w:tab w:val="left" w:pos="851" w:leader="none"/>
          <w:tab w:val="left" w:pos="1276" w:leader="none"/>
        </w:tabs>
        <w:spacing w:lineRule="auto" w:line="240" w:before="40" w:after="40"/>
        <w:ind w:left="0" w:firstLine="709"/>
        <w:contextualSpacing w:val="false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Выходные</w:t>
      </w:r>
      <w:r>
        <w:rPr>
          <w:rFonts w:ascii="Times New Roman" w:hAnsi="Times New Roman"/>
          <w:sz w:val="22"/>
          <w:szCs w:val="22"/>
        </w:rPr>
        <w:t xml:space="preserve"> формы сметных расчетов должны соответствовать Образцу согласно Приложению 1.5.</w:t>
      </w:r>
    </w:p>
    <w:p>
      <w:pPr>
        <w:pStyle w:val="ListParagraph"/>
        <w:numPr>
          <w:ilvl w:val="0"/>
          <w:numId w:val="5"/>
        </w:numPr>
        <w:tabs>
          <w:tab w:val="left" w:pos="709" w:leader="none"/>
          <w:tab w:val="left" w:pos="851" w:leader="none"/>
          <w:tab w:val="left" w:pos="1276" w:leader="none"/>
        </w:tabs>
        <w:spacing w:lineRule="auto" w:line="240" w:before="40" w:after="40"/>
        <w:ind w:left="0" w:firstLine="709"/>
        <w:contextualSpacing w:val="false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В связи с предоставлением Заказчиком услуг, указанных в разделе Технических требований «Иные условия поставки товаров, выполнения работ, оказания услуг»</w:t>
      </w:r>
      <w:r>
        <w:rPr>
          <w:rStyle w:val="FootnoteReference"/>
          <w:rFonts w:ascii="Times New Roman" w:hAnsi="Times New Roman"/>
          <w:sz w:val="22"/>
          <w:szCs w:val="22"/>
        </w:rPr>
        <w:footnoteReference w:id="2"/>
      </w:r>
      <w:r>
        <w:rPr>
          <w:rFonts w:ascii="Times New Roman" w:hAnsi="Times New Roman"/>
          <w:sz w:val="22"/>
          <w:szCs w:val="22"/>
        </w:rPr>
        <w:t>:</w:t>
      </w:r>
    </w:p>
    <w:p>
      <w:pPr>
        <w:pStyle w:val="ConsPlusNormal1"/>
        <w:widowControl/>
        <w:numPr>
          <w:ilvl w:val="1"/>
          <w:numId w:val="5"/>
        </w:numPr>
        <w:tabs>
          <w:tab w:val="left" w:pos="709" w:leader="none"/>
          <w:tab w:val="left" w:pos="851" w:leader="none"/>
          <w:tab w:val="left" w:pos="1560" w:leader="none"/>
        </w:tabs>
        <w:spacing w:before="40" w:after="40"/>
        <w:ind w:left="0"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В </w:t>
      </w:r>
      <w:r>
        <w:rPr>
          <w:rFonts w:cs="Times New Roman" w:ascii="Times New Roman" w:hAnsi="Times New Roman"/>
          <w:color w:val="000000"/>
          <w:sz w:val="22"/>
          <w:szCs w:val="22"/>
        </w:rPr>
        <w:t>сметной</w:t>
      </w:r>
      <w:r>
        <w:rPr>
          <w:rFonts w:cs="Times New Roman" w:ascii="Times New Roman" w:hAnsi="Times New Roman"/>
          <w:sz w:val="22"/>
          <w:szCs w:val="22"/>
        </w:rPr>
        <w:t xml:space="preserve"> документации при определении стоимости работ из норм и расценок, внесенных в ФРСН, при составлении сметной документации исключать затраты:</w:t>
      </w:r>
    </w:p>
    <w:p>
      <w:pPr>
        <w:pStyle w:val="ConsPlusNormal1"/>
        <w:widowControl/>
        <w:numPr>
          <w:ilvl w:val="2"/>
          <w:numId w:val="5"/>
        </w:numPr>
        <w:tabs>
          <w:tab w:val="left" w:pos="709" w:leader="none"/>
          <w:tab w:val="left" w:pos="851" w:leader="none"/>
          <w:tab w:val="left" w:pos="1701" w:leader="none"/>
        </w:tabs>
        <w:spacing w:before="40" w:after="40"/>
        <w:ind w:left="0"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По предоставляемым грузоподъемным механизмам, учтенным в составе сметных норм и расценок:</w:t>
      </w:r>
    </w:p>
    <w:p>
      <w:pPr>
        <w:pStyle w:val="ConsPlusNormal1"/>
        <w:numPr>
          <w:ilvl w:val="0"/>
          <w:numId w:val="6"/>
        </w:numPr>
        <w:tabs>
          <w:tab w:val="left" w:pos="709" w:leader="none"/>
          <w:tab w:val="left" w:pos="851" w:leader="none"/>
          <w:tab w:val="left" w:pos="1701" w:leader="none"/>
        </w:tabs>
        <w:spacing w:before="40" w:after="40"/>
        <w:ind w:left="0"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Исключать из норм и расценок предоставляемые грузоподъемные механизмы. </w:t>
      </w:r>
    </w:p>
    <w:p>
      <w:pPr>
        <w:pStyle w:val="ConsPlusNormal1"/>
        <w:widowControl/>
        <w:tabs>
          <w:tab w:val="left" w:pos="709" w:leader="none"/>
          <w:tab w:val="left" w:pos="851" w:leader="none"/>
          <w:tab w:val="left" w:pos="1418" w:leader="none"/>
        </w:tabs>
        <w:spacing w:before="40" w:after="40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В случае использования подрядчиком собственных/арендованных механизмов полностью, либо частично, для выполнения конкретной работы на строительной площадке, из расценки на выполнение данных работ грузоподъемные механизмы не исключаются</w:t>
      </w:r>
    </w:p>
    <w:p>
      <w:pPr>
        <w:pStyle w:val="ConsPlusNormal1"/>
        <w:widowControl/>
        <w:numPr>
          <w:ilvl w:val="2"/>
          <w:numId w:val="5"/>
        </w:numPr>
        <w:tabs>
          <w:tab w:val="left" w:pos="709" w:leader="none"/>
          <w:tab w:val="left" w:pos="851" w:leader="none"/>
          <w:tab w:val="left" w:pos="1701" w:leader="none"/>
        </w:tabs>
        <w:spacing w:before="40" w:after="40"/>
        <w:ind w:left="0"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По предоставляемой электроэнергии (в том числе, в составе стоимости машино-часа):</w:t>
      </w:r>
    </w:p>
    <w:p>
      <w:pPr>
        <w:pStyle w:val="ConsPlusNormal1"/>
        <w:numPr>
          <w:ilvl w:val="0"/>
          <w:numId w:val="6"/>
        </w:numPr>
        <w:tabs>
          <w:tab w:val="left" w:pos="709" w:leader="none"/>
          <w:tab w:val="left" w:pos="851" w:leader="none"/>
          <w:tab w:val="left" w:pos="1701" w:leader="none"/>
        </w:tabs>
        <w:spacing w:before="40" w:after="40"/>
        <w:ind w:left="0"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Рассчитанная</w:t>
      </w:r>
      <w:r>
        <w:rPr>
          <w:rFonts w:ascii="Times New Roman" w:hAnsi="Times New Roman"/>
          <w:sz w:val="22"/>
          <w:szCs w:val="22"/>
        </w:rPr>
        <w:t xml:space="preserve"> сумма возврата стоимости электрической энергии (со знаком «–») учитывается в последней главе ССРСС, где имеется смета на СМР (как правило, в главах 1-7, если затраты по главе 8 определены на основании смет, то сумма возврата стоимости электрической энергии учитывается в главе 8)</w:t>
      </w:r>
      <w:r>
        <w:rPr>
          <w:rStyle w:val="FootnoteReference"/>
          <w:rFonts w:ascii="Times New Roman" w:hAnsi="Times New Roman"/>
          <w:sz w:val="22"/>
          <w:szCs w:val="22"/>
        </w:rPr>
        <w:footnoteReference w:id="3"/>
      </w:r>
      <w:r>
        <w:rPr>
          <w:rFonts w:ascii="Times New Roman" w:hAnsi="Times New Roman"/>
          <w:sz w:val="22"/>
          <w:szCs w:val="22"/>
        </w:rPr>
        <w:t xml:space="preserve">. </w:t>
      </w:r>
    </w:p>
    <w:p>
      <w:pPr>
        <w:pStyle w:val="ConsPlusNormal1"/>
        <w:numPr>
          <w:ilvl w:val="0"/>
          <w:numId w:val="6"/>
        </w:numPr>
        <w:tabs>
          <w:tab w:val="left" w:pos="709" w:leader="none"/>
          <w:tab w:val="left" w:pos="851" w:leader="none"/>
          <w:tab w:val="left" w:pos="1701" w:leader="none"/>
        </w:tabs>
        <w:spacing w:before="40" w:after="40"/>
        <w:ind w:left="0"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Индекс пересчета в текущие цены применять аналогичный примененному в сметной документации.</w:t>
      </w:r>
    </w:p>
    <w:p>
      <w:pPr>
        <w:pStyle w:val="ConsPlusNormal1"/>
        <w:numPr>
          <w:ilvl w:val="0"/>
          <w:numId w:val="6"/>
        </w:numPr>
        <w:tabs>
          <w:tab w:val="left" w:pos="709" w:leader="none"/>
          <w:tab w:val="left" w:pos="851" w:leader="none"/>
          <w:tab w:val="left" w:pos="1701" w:leader="none"/>
        </w:tabs>
        <w:spacing w:before="40" w:after="40"/>
        <w:ind w:left="0"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При применении индексов по статьям затрат в сметной документации для данного ресурса применять индекс на материалы.</w:t>
      </w:r>
    </w:p>
    <w:p>
      <w:pPr>
        <w:pStyle w:val="ConsPlusNormal1"/>
        <w:widowControl/>
        <w:numPr>
          <w:ilvl w:val="2"/>
          <w:numId w:val="5"/>
        </w:numPr>
        <w:tabs>
          <w:tab w:val="left" w:pos="709" w:leader="none"/>
          <w:tab w:val="left" w:pos="851" w:leader="none"/>
          <w:tab w:val="left" w:pos="1701" w:leader="none"/>
        </w:tabs>
        <w:spacing w:before="40" w:after="40"/>
        <w:ind w:left="0"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По предоставляемому сжатому воздуху:</w:t>
      </w:r>
    </w:p>
    <w:p>
      <w:pPr>
        <w:pStyle w:val="ConsPlusNormal1"/>
        <w:numPr>
          <w:ilvl w:val="0"/>
          <w:numId w:val="6"/>
        </w:numPr>
        <w:tabs>
          <w:tab w:val="left" w:pos="709" w:leader="none"/>
          <w:tab w:val="left" w:pos="851" w:leader="none"/>
          <w:tab w:val="left" w:pos="1701" w:leader="none"/>
        </w:tabs>
        <w:spacing w:before="40" w:after="40"/>
        <w:ind w:left="0"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Из норм и расценок исключать стоимость компрессоров. </w:t>
      </w:r>
    </w:p>
    <w:p>
      <w:pPr>
        <w:pStyle w:val="ConsPlusNormal1"/>
        <w:widowControl/>
        <w:numPr>
          <w:ilvl w:val="2"/>
          <w:numId w:val="5"/>
        </w:numPr>
        <w:tabs>
          <w:tab w:val="left" w:pos="709" w:leader="none"/>
          <w:tab w:val="left" w:pos="851" w:leader="none"/>
          <w:tab w:val="left" w:pos="1701" w:leader="none"/>
        </w:tabs>
        <w:spacing w:before="40" w:after="40"/>
        <w:ind w:left="0"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По предоставляемой воде:</w:t>
      </w:r>
    </w:p>
    <w:p>
      <w:pPr>
        <w:pStyle w:val="ConsPlusNormal1"/>
        <w:numPr>
          <w:ilvl w:val="0"/>
          <w:numId w:val="6"/>
        </w:numPr>
        <w:tabs>
          <w:tab w:val="left" w:pos="709" w:leader="none"/>
          <w:tab w:val="left" w:pos="851" w:leader="none"/>
          <w:tab w:val="left" w:pos="1701" w:leader="none"/>
        </w:tabs>
        <w:spacing w:before="40" w:after="40"/>
        <w:ind w:left="0"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Из норм и расценок исключать стоимость воды.</w:t>
      </w:r>
    </w:p>
    <w:p>
      <w:pPr>
        <w:pStyle w:val="ConsPlusNormal1"/>
        <w:widowControl/>
        <w:numPr>
          <w:ilvl w:val="2"/>
          <w:numId w:val="5"/>
        </w:numPr>
        <w:tabs>
          <w:tab w:val="left" w:pos="709" w:leader="none"/>
          <w:tab w:val="left" w:pos="851" w:leader="none"/>
          <w:tab w:val="left" w:pos="1701" w:leader="none"/>
        </w:tabs>
        <w:spacing w:before="40" w:after="40"/>
        <w:ind w:left="0"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Учтенные в составе накладных расходов:</w:t>
      </w:r>
    </w:p>
    <w:p>
      <w:pPr>
        <w:pStyle w:val="ConsPlusNormal1"/>
        <w:numPr>
          <w:ilvl w:val="0"/>
          <w:numId w:val="6"/>
        </w:numPr>
        <w:tabs>
          <w:tab w:val="left" w:pos="709" w:leader="none"/>
          <w:tab w:val="left" w:pos="851" w:leader="none"/>
          <w:tab w:val="left" w:pos="1701" w:leader="none"/>
        </w:tabs>
        <w:spacing w:before="40" w:after="40"/>
        <w:ind w:left="0"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расходы по обеспечению санитарно-гигиенических и бытовых условий (удельный вес статьи затрат в накладных расходах - 3,02%);</w:t>
      </w:r>
    </w:p>
    <w:p>
      <w:pPr>
        <w:pStyle w:val="Normal"/>
        <w:tabs>
          <w:tab w:val="left" w:pos="709" w:leader="none"/>
          <w:tab w:val="left" w:pos="851" w:leader="none"/>
          <w:tab w:val="left" w:pos="1418" w:leader="none"/>
        </w:tabs>
        <w:spacing w:lineRule="auto" w:line="240" w:before="40" w:after="40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исключаются путем применения понижающего коэффициента к нормативам накладных расходов на строительные работы в размере 0,97</w:t>
      </w:r>
      <w:r>
        <w:rPr>
          <w:rStyle w:val="FootnoteReference"/>
          <w:rFonts w:ascii="Times New Roman" w:hAnsi="Times New Roman"/>
          <w:sz w:val="22"/>
          <w:szCs w:val="22"/>
          <w:vertAlign w:val="superscript"/>
        </w:rPr>
        <w:footnoteReference w:id="4"/>
      </w:r>
      <w:r>
        <w:rPr>
          <w:rFonts w:ascii="Times New Roman" w:hAnsi="Times New Roman"/>
          <w:sz w:val="22"/>
          <w:szCs w:val="22"/>
        </w:rPr>
        <w:t>. Понижающий коэффициент не применяется к нормативам накладных расходов на работы по реконструкции зданий и сооружений (ГЭСН-2001-46), монтажные работы.</w:t>
      </w:r>
    </w:p>
    <w:p>
      <w:pPr>
        <w:pStyle w:val="ListParagraph"/>
        <w:numPr>
          <w:ilvl w:val="0"/>
          <w:numId w:val="5"/>
        </w:numPr>
        <w:tabs>
          <w:tab w:val="left" w:pos="709" w:leader="none"/>
          <w:tab w:val="left" w:pos="851" w:leader="none"/>
          <w:tab w:val="left" w:pos="1276" w:leader="none"/>
        </w:tabs>
        <w:spacing w:lineRule="auto" w:line="240" w:before="40" w:after="40"/>
        <w:ind w:left="0" w:firstLine="709"/>
        <w:contextualSpacing w:val="false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В сметных расчетах при исключении и добавлении ресурсов (материалов) необходимо данные ресурсы относить в отдельную позицию, не допускается изменение внутри расценки.</w:t>
      </w:r>
    </w:p>
    <w:p>
      <w:pPr>
        <w:pStyle w:val="ListParagraph"/>
        <w:numPr>
          <w:ilvl w:val="0"/>
          <w:numId w:val="5"/>
        </w:numPr>
        <w:tabs>
          <w:tab w:val="left" w:pos="709" w:leader="none"/>
          <w:tab w:val="left" w:pos="851" w:leader="none"/>
          <w:tab w:val="left" w:pos="1276" w:leader="none"/>
        </w:tabs>
        <w:spacing w:lineRule="auto" w:line="240" w:before="40" w:after="40"/>
        <w:ind w:left="0" w:firstLine="709"/>
        <w:contextualSpacing w:val="false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ССРСС разрабатывается на объект строительства и (или) этап строительства на основании итоговых стоимостных показателей объектных и (или) локальных сметных расчетов (смет), а также сметных расчетов на отдельные виды затрат в текущем уровне цен. ССРСС составляется при наличии двух и более смет. Обязательными приложениями к ССРСС являются локальные сметы, подписанные инженером-сметчиком контрагента (подрядчика), с обязательным указанием должности, наименования организации, Ф.И.О. подписанта. Наименование и нумерация глав сводного сметного расчета не подлежат корректировке вне зависимости от состава включаемых затрат. В случае отсутствия затрат, предусматриваемых соответствующей главой сводного сметного расчета, эта глава пропускается без изменения номеров последующих глав. </w:t>
      </w:r>
      <w:r>
        <w:rPr>
          <w:rFonts w:ascii="Times New Roman" w:hAnsi="Times New Roman"/>
          <w:color w:val="000000"/>
          <w:sz w:val="22"/>
          <w:szCs w:val="22"/>
        </w:rPr>
        <w:t>Формат ССРСС выполнять по Образцу Приложения № 1.1 к Требованиям к оформлению и составлению сметной документации на работы по программе ремонтов, реконструкции и техническому перевооружению.</w:t>
      </w:r>
    </w:p>
    <w:p>
      <w:pPr>
        <w:pStyle w:val="ListParagraph"/>
        <w:numPr>
          <w:ilvl w:val="0"/>
          <w:numId w:val="5"/>
        </w:numPr>
        <w:tabs>
          <w:tab w:val="left" w:pos="709" w:leader="none"/>
          <w:tab w:val="left" w:pos="851" w:leader="none"/>
          <w:tab w:val="left" w:pos="1276" w:leader="none"/>
        </w:tabs>
        <w:spacing w:lineRule="auto" w:line="240" w:before="40" w:after="40"/>
        <w:ind w:left="0" w:firstLine="709"/>
        <w:contextualSpacing w:val="false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Сметная документация должна быть представлена в двух вариантах:</w:t>
      </w:r>
    </w:p>
    <w:p>
      <w:pPr>
        <w:pStyle w:val="ConsPlusNormal1"/>
        <w:numPr>
          <w:ilvl w:val="0"/>
          <w:numId w:val="3"/>
        </w:numPr>
        <w:tabs>
          <w:tab w:val="left" w:pos="709" w:leader="none"/>
          <w:tab w:val="left" w:pos="851" w:leader="none"/>
          <w:tab w:val="left" w:pos="1134" w:leader="none"/>
        </w:tabs>
        <w:spacing w:before="40" w:after="40"/>
        <w:ind w:left="0"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на бумажном носителе (количество указано в конкурсной документации) Образец ЛСР в соответствии с приложением № 1.5 к Требованиям к оформлению и составлению сметной документации на работы по программе ремонтов, реконструкции и техническому перевооружению;</w:t>
      </w:r>
    </w:p>
    <w:p>
      <w:pPr>
        <w:pStyle w:val="ConsPlusNormal1"/>
        <w:numPr>
          <w:ilvl w:val="0"/>
          <w:numId w:val="3"/>
        </w:numPr>
        <w:tabs>
          <w:tab w:val="left" w:pos="709" w:leader="none"/>
          <w:tab w:val="left" w:pos="851" w:leader="none"/>
        </w:tabs>
        <w:spacing w:before="40" w:after="40"/>
        <w:ind w:left="0"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на электронном носителе (в формате «xml» ПК «Гранд-Смета», «Excel», «pdf»), полностью соответствующему, бумажному варианту. Сметная документация в формате «Excel» должна быть представлена в одном файле с внесением ССР, ЛСР и других расчетов на отдельные листы (</w:t>
      </w:r>
      <w:r>
        <w:rPr>
          <w:rFonts w:ascii="Times New Roman" w:hAnsi="Times New Roman"/>
          <w:color w:val="000000"/>
          <w:sz w:val="22"/>
          <w:szCs w:val="22"/>
        </w:rPr>
        <w:t xml:space="preserve">Приложение </w:t>
      </w:r>
    </w:p>
    <w:p>
      <w:pPr>
        <w:pStyle w:val="Normal"/>
        <w:spacing w:lineRule="auto" w:line="240" w:before="0" w:after="0"/>
        <w:ind w:left="5811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spacing w:lineRule="auto" w:line="240" w:before="0" w:after="0"/>
        <w:ind w:left="5811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spacing w:lineRule="auto" w:line="240" w:before="0" w:after="0"/>
        <w:ind w:left="5811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spacing w:lineRule="auto" w:line="240" w:before="0" w:after="0"/>
        <w:ind w:left="5811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Приложение №1</w:t>
      </w:r>
    </w:p>
    <w:p>
      <w:pPr>
        <w:pStyle w:val="Normal"/>
        <w:spacing w:lineRule="auto" w:line="240" w:before="0" w:after="0"/>
        <w:ind w:left="5811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к Требованиям к оформлению и составлению сметной документации </w:t>
      </w:r>
    </w:p>
    <w:p>
      <w:pPr>
        <w:pStyle w:val="Normal"/>
        <w:spacing w:lineRule="auto" w:line="240" w:before="0" w:after="0"/>
        <w:ind w:left="5811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  <w:u w:val="single"/>
        </w:rPr>
        <w:t>на работы по реконструкции и техническому перевооружению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Требования к оформлению и составлению сводного сметного расчета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>к договорам на реконструкцию, техническое перевооружение  и дополнительным соглашениям к указанным договорам.</w:t>
      </w:r>
    </w:p>
    <w:p>
      <w:pPr>
        <w:pStyle w:val="ConsPlusNormal1"/>
        <w:widowControl/>
        <w:ind w:hang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ConsPlusNormal1"/>
        <w:widowControl/>
        <w:numPr>
          <w:ilvl w:val="0"/>
          <w:numId w:val="4"/>
        </w:numPr>
        <w:tabs>
          <w:tab w:val="clear" w:pos="709"/>
          <w:tab w:val="left" w:pos="993" w:leader="none"/>
        </w:tabs>
        <w:ind w:left="0"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При наличии двух и более сметных расчетов составлять ССРСС в текущем уровне цен по форме Приложения </w:t>
      </w:r>
      <w:r>
        <w:rPr>
          <w:rFonts w:cs="Times New Roman" w:ascii="Times New Roman" w:hAnsi="Times New Roman"/>
          <w:color w:val="000000"/>
          <w:sz w:val="22"/>
          <w:szCs w:val="22"/>
        </w:rPr>
        <w:t xml:space="preserve">№ 1.1 к </w:t>
      </w:r>
      <w:r>
        <w:rPr>
          <w:rFonts w:ascii="Times New Roman" w:hAnsi="Times New Roman"/>
          <w:color w:val="000000"/>
          <w:sz w:val="22"/>
          <w:szCs w:val="22"/>
        </w:rPr>
        <w:t xml:space="preserve">Требованиям к оформлению и составлению </w:t>
      </w:r>
      <w:r>
        <w:rPr>
          <w:rFonts w:cs="Times New Roman" w:ascii="Times New Roman" w:hAnsi="Times New Roman"/>
          <w:color w:val="000000"/>
          <w:sz w:val="22"/>
          <w:szCs w:val="22"/>
        </w:rPr>
        <w:t>сметной документации на работы по программе ремонтов, реконструкции и техническому перевооружению по образцу.</w:t>
      </w:r>
    </w:p>
    <w:p>
      <w:pPr>
        <w:pStyle w:val="ConsPlusNormal1"/>
        <w:widowControl/>
        <w:numPr>
          <w:ilvl w:val="0"/>
          <w:numId w:val="4"/>
        </w:numPr>
        <w:tabs>
          <w:tab w:val="clear" w:pos="709"/>
          <w:tab w:val="left" w:pos="993" w:leader="none"/>
        </w:tabs>
        <w:ind w:left="0"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В случае заключений дополнительных соглашений к договору (далее - д/с), ССРСС необходимо выполнять в накопительной форме с учетом </w:t>
      </w:r>
      <w:r>
        <w:rPr>
          <w:rFonts w:cs="Times New Roman" w:ascii="Times New Roman" w:hAnsi="Times New Roman"/>
          <w:color w:val="000000"/>
          <w:sz w:val="22"/>
          <w:szCs w:val="22"/>
        </w:rPr>
        <w:t>ЛСР (</w:t>
      </w:r>
      <w:r>
        <w:rPr>
          <w:rFonts w:ascii="Times New Roman" w:hAnsi="Times New Roman"/>
          <w:color w:val="000000"/>
          <w:sz w:val="22"/>
          <w:szCs w:val="22"/>
        </w:rPr>
        <w:t xml:space="preserve">ЛС) к основному договору и ко всем заключенным д/с к нему. В итогах ССРСС (справочно) указывать суммы изменения (уменьшения, увеличения) основного договора на основании заключения д/с, которые определяются как разница между суммой ССРСС очередного д/с и стоимостью основного договора. Форма ССРСС с учетом заключения д/с к договору приведена в Приложении </w:t>
      </w:r>
      <w:r>
        <w:rPr>
          <w:rFonts w:cs="Times New Roman" w:ascii="Times New Roman" w:hAnsi="Times New Roman"/>
          <w:color w:val="000000"/>
          <w:sz w:val="22"/>
          <w:szCs w:val="22"/>
        </w:rPr>
        <w:t xml:space="preserve">№ 1.2 к </w:t>
      </w:r>
      <w:r>
        <w:rPr>
          <w:rFonts w:ascii="Times New Roman" w:hAnsi="Times New Roman"/>
          <w:color w:val="000000"/>
          <w:sz w:val="22"/>
          <w:szCs w:val="22"/>
        </w:rPr>
        <w:t xml:space="preserve">Требованиям к оформлению и составлению </w:t>
      </w:r>
      <w:r>
        <w:rPr>
          <w:rFonts w:cs="Times New Roman" w:ascii="Times New Roman" w:hAnsi="Times New Roman"/>
          <w:color w:val="000000"/>
          <w:sz w:val="22"/>
          <w:szCs w:val="22"/>
        </w:rPr>
        <w:t xml:space="preserve">сметной документации на работы по программе ремонтов, реконструкции и техническому перевооружению. </w:t>
      </w:r>
    </w:p>
    <w:p>
      <w:pPr>
        <w:pStyle w:val="ConsPlusNormal1"/>
        <w:widowControl/>
        <w:numPr>
          <w:ilvl w:val="0"/>
          <w:numId w:val="4"/>
        </w:numPr>
        <w:tabs>
          <w:tab w:val="clear" w:pos="709"/>
          <w:tab w:val="left" w:pos="993" w:leader="none"/>
        </w:tabs>
        <w:ind w:left="0"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ЛСР (ЛС) разрабатываются отдельно на исключаемые и дополнительные объемы работ. К сметной документации дополнительно прилагаются и являются ее неотъемлемой частью сопоставительные ведомости изменения сметной стоимости и сопоставительные ведомости изменения объемов работ, подготовленные в соответствии с Образцом по Приложениям №№ 1.3 и 1.4 </w:t>
      </w:r>
      <w:r>
        <w:rPr>
          <w:rFonts w:cs="Times New Roman" w:ascii="Times New Roman" w:hAnsi="Times New Roman"/>
          <w:color w:val="000000"/>
          <w:sz w:val="22"/>
          <w:szCs w:val="22"/>
        </w:rPr>
        <w:t xml:space="preserve">к Требованиям </w:t>
      </w:r>
      <w:r>
        <w:rPr>
          <w:rFonts w:ascii="Times New Roman" w:hAnsi="Times New Roman"/>
          <w:color w:val="000000"/>
          <w:sz w:val="22"/>
          <w:szCs w:val="22"/>
        </w:rPr>
        <w:t xml:space="preserve">к оформлению и составлению </w:t>
      </w:r>
      <w:r>
        <w:rPr>
          <w:rFonts w:cs="Times New Roman" w:ascii="Times New Roman" w:hAnsi="Times New Roman"/>
          <w:color w:val="000000"/>
          <w:sz w:val="22"/>
          <w:szCs w:val="22"/>
        </w:rPr>
        <w:t xml:space="preserve">сметной документации на работы по реконструкции и техническому перевооружению. </w:t>
      </w:r>
    </w:p>
    <w:p>
      <w:pPr>
        <w:pStyle w:val="ConsPlusNormal1"/>
        <w:widowControl/>
        <w:numPr>
          <w:ilvl w:val="0"/>
          <w:numId w:val="4"/>
        </w:numPr>
        <w:tabs>
          <w:tab w:val="clear" w:pos="709"/>
          <w:tab w:val="left" w:pos="993" w:leader="none"/>
        </w:tabs>
        <w:ind w:left="0"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ЛС являются приложениями к ССРСС. Нумерация приложений указывается по мере включения ЛС в ССР в накопительной форме - по порядку.</w:t>
      </w:r>
    </w:p>
    <w:p>
      <w:pPr>
        <w:pStyle w:val="ConsPlusNormal1"/>
        <w:widowControl/>
        <w:numPr>
          <w:ilvl w:val="0"/>
          <w:numId w:val="4"/>
        </w:numPr>
        <w:tabs>
          <w:tab w:val="clear" w:pos="709"/>
          <w:tab w:val="left" w:pos="993" w:leader="none"/>
        </w:tabs>
        <w:ind w:left="0"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Разнесение затрат (сумм ЛС) по графам и главам ССРСС осуществлять в соответствии с указаниями Методики определения сметной стоимости строительства.</w:t>
      </w:r>
    </w:p>
    <w:p>
      <w:pPr>
        <w:pStyle w:val="ConsPlusNormal1"/>
        <w:widowControl/>
        <w:numPr>
          <w:ilvl w:val="0"/>
          <w:numId w:val="4"/>
        </w:numPr>
        <w:tabs>
          <w:tab w:val="clear" w:pos="709"/>
          <w:tab w:val="left" w:pos="993" w:leader="none"/>
        </w:tabs>
        <w:ind w:left="0"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В ССРСС, построчные и итоговые суммы </w:t>
      </w:r>
      <w:r>
        <w:rPr>
          <w:rFonts w:cs="Times New Roman" w:ascii="Times New Roman" w:hAnsi="Times New Roman"/>
          <w:color w:val="000000"/>
          <w:sz w:val="22"/>
          <w:szCs w:val="22"/>
        </w:rPr>
        <w:t xml:space="preserve">указывать </w:t>
      </w:r>
      <w:r>
        <w:rPr>
          <w:rFonts w:ascii="Times New Roman" w:hAnsi="Times New Roman"/>
          <w:color w:val="000000"/>
          <w:sz w:val="22"/>
          <w:szCs w:val="22"/>
        </w:rPr>
        <w:t>в рублях с округлением до двух знаков после запятой. Величину НДС не указывать.</w:t>
      </w:r>
    </w:p>
    <w:p>
      <w:pPr>
        <w:sectPr>
          <w:footerReference w:type="default" r:id="rId2"/>
          <w:footnotePr>
            <w:numFmt w:val="decimal"/>
            <w:numRestart w:val="eachPage"/>
          </w:footnotePr>
          <w:type w:val="nextPage"/>
          <w:pgSz w:w="11906" w:h="16838"/>
          <w:pgMar w:left="1276" w:right="707" w:gutter="0" w:header="0" w:top="851" w:footer="709" w:bottom="766"/>
          <w:pgNumType w:fmt="decimal"/>
          <w:formProt w:val="false"/>
          <w:textDirection w:val="lrTb"/>
          <w:docGrid w:type="default" w:linePitch="360" w:charSpace="0"/>
        </w:sectPr>
        <w:pStyle w:val="ConsPlusNormal1"/>
        <w:widowControl/>
        <w:numPr>
          <w:ilvl w:val="0"/>
          <w:numId w:val="4"/>
        </w:numPr>
        <w:tabs>
          <w:tab w:val="clear" w:pos="709"/>
          <w:tab w:val="left" w:pos="993" w:leader="none"/>
        </w:tabs>
        <w:ind w:left="0"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В случае выполнения Подрядчиком полного комплекса пусконаладочных работ («вхолостую» и «под нагрузкой») сумму затрат на выполнение пусконаладочных работ «под нагрузкой» включать за итогом ССРСС. Таким образом, общая стоимость работ по договору (дополнительному соглашению) будет включать в себя все затраты Подрядчика в рамках конкретного договора, включая пусконаладочные работы «под нагрузкой» (для работ, выполняемых в рамках ТПиР). </w:t>
      </w:r>
    </w:p>
    <w:p>
      <w:pPr>
        <w:pStyle w:val="ConsPlusNormal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</w:t>
      </w:r>
    </w:p>
    <w:p>
      <w:pPr>
        <w:pStyle w:val="ConsPlusNormal1"/>
        <w:ind w:left="57" w:firstLine="7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</w:t>
      </w:r>
      <w:r>
        <w:rPr>
          <w:rFonts w:ascii="Times New Roman" w:hAnsi="Times New Roman"/>
        </w:rPr>
        <w:t>Приложение № 1.1</w:t>
      </w:r>
    </w:p>
    <w:p>
      <w:pPr>
        <w:pStyle w:val="ConsPlusNormal1"/>
        <w:ind w:left="57" w:firstLine="720"/>
        <w:rPr>
          <w:rFonts w:ascii="Times New Roman" w:hAnsi="Times New Roman"/>
        </w:rPr>
      </w:pPr>
      <w:r>
        <w:rPr>
          <w:rFonts w:ascii="Times New Roman" w:hAnsi="Times New Roman"/>
          <w:b/>
          <w:sz w:val="22"/>
          <w:szCs w:val="22"/>
        </w:rPr>
        <w:t xml:space="preserve">ОБРАЗЕЦ </w:t>
      </w:r>
      <w:r>
        <w:rPr>
          <w:rFonts w:ascii="Times New Roman" w:hAnsi="Times New Roman"/>
        </w:rPr>
        <w:t xml:space="preserve">                                                                                            </w:t>
      </w:r>
    </w:p>
    <w:p>
      <w:pPr>
        <w:pStyle w:val="ConsPlusNormal1"/>
        <w:ind w:left="5811" w:hanging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Требованиям к оформлению и составлению сметной документации на работы по реконструкции и техническому перевооружению </w:t>
      </w:r>
    </w:p>
    <w:p>
      <w:pPr>
        <w:pStyle w:val="ConsPlusNormal1"/>
        <w:ind w:left="5811" w:firstLine="7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</w:t>
      </w:r>
      <w:r>
        <w:rPr>
          <w:rFonts w:ascii="Times New Roman" w:hAnsi="Times New Roman"/>
        </w:rPr>
        <w:t xml:space="preserve">Приложение №___                                                                                    к договору от_______№_____ </w:t>
      </w:r>
      <w:r>
        <w:rPr>
          <w:rFonts w:ascii="Times New Roman" w:hAnsi="Times New Roman"/>
          <w:lang w:val="en-US"/>
        </w:rPr>
        <w:t xml:space="preserve"> </w:t>
      </w:r>
    </w:p>
    <w:p>
      <w:pPr>
        <w:pStyle w:val="ConsPlusNormal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>
      <w:pPr>
        <w:pStyle w:val="ConsPlusNormal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  <w:bookmarkStart w:id="0" w:name="P3258"/>
      <w:bookmarkStart w:id="1" w:name="P2506"/>
      <w:bookmarkStart w:id="2" w:name="P2522"/>
      <w:bookmarkStart w:id="3" w:name="P2523"/>
      <w:bookmarkStart w:id="4" w:name="P2524"/>
      <w:bookmarkStart w:id="5" w:name="P2525"/>
      <w:bookmarkStart w:id="6" w:name="P2526"/>
      <w:bookmarkStart w:id="7" w:name="P2527"/>
      <w:bookmarkStart w:id="8" w:name="P2528"/>
      <w:bookmarkStart w:id="9" w:name="P2529"/>
      <w:bookmarkStart w:id="10" w:name="P2530"/>
      <w:bookmarkStart w:id="11" w:name="P2531"/>
      <w:bookmarkStart w:id="12" w:name="P2546"/>
      <w:bookmarkStart w:id="13" w:name="P2566"/>
      <w:bookmarkStart w:id="14" w:name="P2616"/>
      <w:bookmarkStart w:id="15" w:name="P2736"/>
      <w:bookmarkStart w:id="16" w:name="P2746"/>
      <w:bookmarkStart w:id="17" w:name="P2945"/>
      <w:bookmarkStart w:id="18" w:name="P3258"/>
      <w:bookmarkStart w:id="19" w:name="P2506"/>
      <w:bookmarkStart w:id="20" w:name="P2522"/>
      <w:bookmarkStart w:id="21" w:name="P2523"/>
      <w:bookmarkStart w:id="22" w:name="P2524"/>
      <w:bookmarkStart w:id="23" w:name="P2525"/>
      <w:bookmarkStart w:id="24" w:name="P2526"/>
      <w:bookmarkStart w:id="25" w:name="P2527"/>
      <w:bookmarkStart w:id="26" w:name="P2528"/>
      <w:bookmarkStart w:id="27" w:name="P2529"/>
      <w:bookmarkStart w:id="28" w:name="P2530"/>
      <w:bookmarkStart w:id="29" w:name="P2531"/>
      <w:bookmarkStart w:id="30" w:name="P2546"/>
      <w:bookmarkStart w:id="31" w:name="P2566"/>
      <w:bookmarkStart w:id="32" w:name="P2616"/>
      <w:bookmarkStart w:id="33" w:name="P2736"/>
      <w:bookmarkStart w:id="34" w:name="P2746"/>
      <w:bookmarkStart w:id="35" w:name="P2945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</w:p>
    <w:tbl>
      <w:tblPr>
        <w:tblW w:w="10915" w:type="dxa"/>
        <w:jc w:val="left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noVBand="0" w:noHBand="0" w:lastColumn="0" w:firstColumn="0" w:lastRow="0" w:firstRow="0"/>
      </w:tblPr>
      <w:tblGrid>
        <w:gridCol w:w="3464"/>
        <w:gridCol w:w="7450"/>
      </w:tblGrid>
      <w:tr>
        <w:trPr>
          <w:trHeight w:val="1158" w:hRule="atLeast"/>
        </w:trPr>
        <w:tc>
          <w:tcPr>
            <w:tcW w:w="3464" w:type="dxa"/>
            <w:tcBorders/>
            <w:shd w:color="auto" w:fill="auto" w:val="clear"/>
          </w:tcPr>
          <w:p>
            <w:pPr>
              <w:pStyle w:val="ConsPlusNormal1"/>
              <w:widowControl w:val="false"/>
              <w:ind w:left="283" w:hanging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</w:rPr>
              <w:t>СОГЛАСОВАНО</w:t>
            </w:r>
            <w:r>
              <w:rPr>
                <w:rFonts w:cs="Times New Roman" w:ascii="Times New Roman" w:hAnsi="Times New Roman"/>
              </w:rPr>
              <w:t>:</w:t>
            </w:r>
          </w:p>
          <w:p>
            <w:pPr>
              <w:pStyle w:val="ConsPlusNormal1"/>
              <w:widowControl w:val="false"/>
              <w:ind w:right="-909" w:hanging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______________(Подрядчик )</w:t>
            </w:r>
          </w:p>
          <w:p>
            <w:pPr>
              <w:pStyle w:val="ConsPlusNormal1"/>
              <w:widowControl w:val="false"/>
              <w:tabs>
                <w:tab w:val="clear" w:pos="709"/>
                <w:tab w:val="left" w:pos="0" w:leader="none"/>
              </w:tabs>
              <w:ind w:hanging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_______________(ФИО)</w:t>
            </w:r>
          </w:p>
          <w:p>
            <w:pPr>
              <w:pStyle w:val="ConsPlusNormal1"/>
              <w:widowControl w:val="false"/>
              <w:ind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ConsPlusNormal1"/>
              <w:widowControl w:val="false"/>
              <w:ind w:left="142" w:hanging="142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Заказчик:______________________</w:t>
            </w:r>
          </w:p>
        </w:tc>
        <w:tc>
          <w:tcPr>
            <w:tcW w:w="7450" w:type="dxa"/>
            <w:tcBorders/>
            <w:shd w:color="auto" w:fill="auto" w:val="clear"/>
          </w:tcPr>
          <w:p>
            <w:pPr>
              <w:pStyle w:val="ConsPlusNormal1"/>
              <w:widowControl w:val="false"/>
              <w:ind w:right="-3855" w:firstLine="7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  <w:t>УТВЕРЖДАЮ:</w:t>
            </w:r>
          </w:p>
          <w:p>
            <w:pPr>
              <w:pStyle w:val="ConsPlusNormal1"/>
              <w:widowControl w:val="false"/>
              <w:ind w:right="-909" w:hanging="0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b/>
              </w:rPr>
              <w:t xml:space="preserve">                                                              </w:t>
            </w:r>
            <w:r>
              <w:rPr>
                <w:rFonts w:cs="Times New Roman" w:ascii="Times New Roman" w:hAnsi="Times New Roman"/>
                <w:b/>
                <w:sz w:val="22"/>
              </w:rPr>
              <w:t xml:space="preserve">                             </w:t>
            </w:r>
            <w:r>
              <w:rPr>
                <w:rFonts w:cs="Times New Roman" w:ascii="Times New Roman" w:hAnsi="Times New Roman"/>
                <w:sz w:val="22"/>
              </w:rPr>
              <w:t>_____________(Заказчик )</w:t>
            </w:r>
          </w:p>
          <w:p>
            <w:pPr>
              <w:pStyle w:val="ConsPlusNormal1"/>
              <w:widowControl w:val="false"/>
              <w:ind w:left="2551" w:firstLine="7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sz w:val="22"/>
              </w:rPr>
              <w:t xml:space="preserve">                  </w:t>
            </w:r>
            <w:r>
              <w:rPr>
                <w:rFonts w:cs="Times New Roman" w:ascii="Times New Roman" w:hAnsi="Times New Roman"/>
                <w:sz w:val="22"/>
              </w:rPr>
              <w:t>______________(</w:t>
            </w:r>
            <w:r>
              <w:rPr>
                <w:rFonts w:cs="Times New Roman" w:ascii="Times New Roman" w:hAnsi="Times New Roman"/>
              </w:rPr>
              <w:t>ФИО)</w:t>
            </w:r>
          </w:p>
        </w:tc>
      </w:tr>
      <w:tr>
        <w:trPr/>
        <w:tc>
          <w:tcPr>
            <w:tcW w:w="3464" w:type="dxa"/>
            <w:tcBorders/>
            <w:shd w:color="auto" w:fill="auto" w:val="clear"/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(наименование организации)</w:t>
            </w:r>
          </w:p>
        </w:tc>
        <w:tc>
          <w:tcPr>
            <w:tcW w:w="7450" w:type="dxa"/>
            <w:tcBorders/>
            <w:shd w:color="auto" w:fill="auto" w:val="clear"/>
          </w:tcPr>
          <w:p>
            <w:pPr>
              <w:pStyle w:val="ConsPlusNormal1"/>
              <w:widowControl w:val="false"/>
              <w:ind w:hanging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10914" w:type="dxa"/>
            <w:gridSpan w:val="2"/>
            <w:tcBorders/>
            <w:shd w:color="auto" w:fill="auto" w:val="clear"/>
          </w:tcPr>
          <w:p>
            <w:pPr>
              <w:pStyle w:val="ConsPlusNormal1"/>
              <w:widowControl w:val="false"/>
              <w:ind w:hanging="0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Утвержден: __ ______________202__ г.</w:t>
            </w:r>
          </w:p>
        </w:tc>
      </w:tr>
    </w:tbl>
    <w:p>
      <w:pPr>
        <w:pStyle w:val="ConsPlusNormal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10977" w:type="dxa"/>
        <w:jc w:val="left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noVBand="0" w:noHBand="0" w:lastColumn="0" w:firstColumn="0" w:lastRow="0" w:firstRow="0"/>
      </w:tblPr>
      <w:tblGrid>
        <w:gridCol w:w="5215"/>
        <w:gridCol w:w="2664"/>
        <w:gridCol w:w="3098"/>
      </w:tblGrid>
      <w:tr>
        <w:trPr/>
        <w:tc>
          <w:tcPr>
            <w:tcW w:w="5215" w:type="dxa"/>
            <w:tcBorders/>
          </w:tcPr>
          <w:p>
            <w:pPr>
              <w:pStyle w:val="ConsPlusNormal1"/>
              <w:widowControl w:val="false"/>
              <w:ind w:hanging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Сводный сметный расчет сметной стоимостью</w:t>
            </w:r>
          </w:p>
        </w:tc>
        <w:tc>
          <w:tcPr>
            <w:tcW w:w="2664" w:type="dxa"/>
            <w:tcBorders>
              <w:bottom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098" w:type="dxa"/>
            <w:tcBorders/>
          </w:tcPr>
          <w:p>
            <w:pPr>
              <w:pStyle w:val="ConsPlusNormal1"/>
              <w:widowControl w:val="false"/>
              <w:ind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руб.</w:t>
            </w:r>
          </w:p>
        </w:tc>
      </w:tr>
      <w:tr>
        <w:trPr/>
        <w:tc>
          <w:tcPr>
            <w:tcW w:w="10977" w:type="dxa"/>
            <w:gridSpan w:val="3"/>
            <w:tcBorders>
              <w:bottom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10977" w:type="dxa"/>
            <w:gridSpan w:val="3"/>
            <w:tcBorders>
              <w:top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(ссылка на документ об утверждении)</w:t>
            </w:r>
          </w:p>
        </w:tc>
      </w:tr>
      <w:tr>
        <w:trPr/>
        <w:tc>
          <w:tcPr>
            <w:tcW w:w="10977" w:type="dxa"/>
            <w:gridSpan w:val="3"/>
            <w:tcBorders/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СВОДНЫЙ СМЕТНЫЙ РАСЧЕТ</w:t>
            </w:r>
          </w:p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N ССРСС-________</w:t>
            </w:r>
          </w:p>
        </w:tc>
      </w:tr>
      <w:tr>
        <w:trPr>
          <w:trHeight w:val="22" w:hRule="atLeast"/>
        </w:trPr>
        <w:tc>
          <w:tcPr>
            <w:tcW w:w="10977" w:type="dxa"/>
            <w:gridSpan w:val="3"/>
            <w:tcBorders>
              <w:bottom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10977" w:type="dxa"/>
            <w:gridSpan w:val="3"/>
            <w:tcBorders>
              <w:top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(наименование стройки)</w:t>
            </w:r>
          </w:p>
        </w:tc>
      </w:tr>
      <w:tr>
        <w:trPr/>
        <w:tc>
          <w:tcPr>
            <w:tcW w:w="10977" w:type="dxa"/>
            <w:gridSpan w:val="3"/>
            <w:tcBorders/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Составлен в текущих ценах, соответствующих периоду выполнения работ по Договору_________________ 20__ г.</w:t>
            </w:r>
          </w:p>
        </w:tc>
      </w:tr>
    </w:tbl>
    <w:p>
      <w:pPr>
        <w:pStyle w:val="ConsPlusNormal1"/>
        <w:jc w:val="center"/>
        <w:rPr/>
      </w:pPr>
      <w:r>
        <w:rPr/>
      </w:r>
    </w:p>
    <w:tbl>
      <w:tblPr>
        <w:tblW w:w="10982" w:type="dxa"/>
        <w:jc w:val="left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noVBand="0" w:noHBand="0" w:lastColumn="0" w:firstColumn="0" w:lastRow="0" w:firstRow="0"/>
      </w:tblPr>
      <w:tblGrid>
        <w:gridCol w:w="633"/>
        <w:gridCol w:w="994"/>
        <w:gridCol w:w="282"/>
        <w:gridCol w:w="1271"/>
        <w:gridCol w:w="363"/>
        <w:gridCol w:w="1343"/>
        <w:gridCol w:w="425"/>
        <w:gridCol w:w="1137"/>
        <w:gridCol w:w="1558"/>
        <w:gridCol w:w="1427"/>
        <w:gridCol w:w="1547"/>
      </w:tblGrid>
      <w:tr>
        <w:trPr>
          <w:trHeight w:val="212" w:hRule="atLeast"/>
        </w:trPr>
        <w:tc>
          <w:tcPr>
            <w:tcW w:w="6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Nп/п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Обоснование</w:t>
            </w:r>
          </w:p>
        </w:tc>
        <w:tc>
          <w:tcPr>
            <w:tcW w:w="15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Наименование глав, объектов капитального строительства, работ и затрат</w:t>
            </w:r>
          </w:p>
        </w:tc>
        <w:tc>
          <w:tcPr>
            <w:tcW w:w="7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Сметная стоимость, руб.</w:t>
            </w:r>
          </w:p>
        </w:tc>
      </w:tr>
      <w:tr>
        <w:trPr>
          <w:trHeight w:val="1019" w:hRule="atLeast"/>
        </w:trPr>
        <w:tc>
          <w:tcPr>
            <w:tcW w:w="6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55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строительных (ремонтно-строительных, ремонтно-реставрационных) работ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left="191"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монтажных работ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8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оборудования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left="-113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прочих затрат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всего</w:t>
            </w:r>
          </w:p>
        </w:tc>
      </w:tr>
      <w:tr>
        <w:trPr>
          <w:trHeight w:val="273" w:hRule="atLeast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  <w:p>
            <w:pPr>
              <w:pStyle w:val="ConsPlusNormal1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  <w:p>
            <w:pPr>
              <w:pStyle w:val="ConsPlusNormal1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  <w:p>
            <w:pPr>
              <w:pStyle w:val="ConsPlusNormal1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  <w:p>
            <w:pPr>
              <w:pStyle w:val="ConsPlusNormal1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  <w:p>
            <w:pPr>
              <w:pStyle w:val="ConsPlusNormal1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  <w:p>
            <w:pPr>
              <w:pStyle w:val="ConsPlusNormal1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  <w:p>
            <w:pPr>
              <w:pStyle w:val="ConsPlusNormal1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8</w:t>
            </w:r>
          </w:p>
        </w:tc>
      </w:tr>
      <w:tr>
        <w:trPr/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27" w:hRule="atLeast"/>
        </w:trPr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tabs>
                <w:tab w:val="clear" w:pos="709"/>
                <w:tab w:val="left" w:pos="567" w:leader="none"/>
                <w:tab w:val="left" w:pos="2091" w:leader="none"/>
              </w:tabs>
              <w:ind w:left="170" w:hanging="42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     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>Руководитель</w:t>
            </w:r>
          </w:p>
          <w:p>
            <w:pPr>
              <w:pStyle w:val="ConsPlusNormal1"/>
              <w:widowControl w:val="false"/>
              <w:tabs>
                <w:tab w:val="clear" w:pos="709"/>
                <w:tab w:val="left" w:pos="851" w:leader="none"/>
              </w:tabs>
              <w:ind w:left="170" w:hanging="14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проектной организации</w:t>
            </w:r>
          </w:p>
        </w:tc>
        <w:tc>
          <w:tcPr>
            <w:tcW w:w="74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74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[подпись (инициалы, фамилия)]</w:t>
            </w:r>
          </w:p>
        </w:tc>
      </w:tr>
      <w:tr>
        <w:trPr/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Главный инженер проекта</w:t>
            </w:r>
          </w:p>
        </w:tc>
        <w:tc>
          <w:tcPr>
            <w:tcW w:w="74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19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left="-907" w:firstLine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Начальник</w:t>
            </w:r>
          </w:p>
        </w:tc>
        <w:tc>
          <w:tcPr>
            <w:tcW w:w="1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6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отдела</w:t>
            </w:r>
          </w:p>
        </w:tc>
        <w:tc>
          <w:tcPr>
            <w:tcW w:w="56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19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19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(наименование)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56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[подпись (инициалы, фамилия)]</w:t>
            </w:r>
          </w:p>
        </w:tc>
      </w:tr>
      <w:tr>
        <w:trPr/>
        <w:tc>
          <w:tcPr>
            <w:tcW w:w="19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left="284" w:firstLine="28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Заказчик</w:t>
            </w:r>
          </w:p>
        </w:tc>
        <w:tc>
          <w:tcPr>
            <w:tcW w:w="90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[подпись (инициалы, фамилия)]</w:t>
            </w:r>
          </w:p>
        </w:tc>
      </w:tr>
    </w:tbl>
    <w:p>
      <w:pPr>
        <w:pStyle w:val="Normal"/>
        <w:spacing w:lineRule="auto" w:line="240" w:before="0" w:after="0"/>
        <w:ind w:left="357" w:firstLine="72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spacing w:lineRule="auto" w:line="240" w:before="0" w:after="0"/>
        <w:ind w:left="357" w:firstLine="72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spacing w:lineRule="auto" w:line="240" w:before="0" w:after="0"/>
        <w:ind w:left="397" w:firstLine="720"/>
        <w:rPr>
          <w:rFonts w:ascii="Times New Roman" w:hAnsi="Times New Roman"/>
        </w:rPr>
      </w:pPr>
      <w:r>
        <w:rPr>
          <w:rFonts w:ascii="Times New Roman" w:hAnsi="Times New Roman"/>
          <w:b/>
        </w:rPr>
        <w:t>ОБРАЗЕЦ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pStyle w:val="Normal"/>
        <w:spacing w:lineRule="auto" w:line="240" w:before="0" w:after="0"/>
        <w:ind w:left="8646" w:firstLine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Приложение №1.2 </w:t>
      </w:r>
    </w:p>
    <w:p>
      <w:pPr>
        <w:pStyle w:val="ConsPlusNormal1"/>
        <w:ind w:left="5811" w:firstLine="72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Требованиям к оформлению и составлению               </w:t>
      </w:r>
    </w:p>
    <w:p>
      <w:pPr>
        <w:pStyle w:val="ConsPlusNormal1"/>
        <w:ind w:left="5811" w:firstLine="72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сметной документации на работы </w:t>
      </w:r>
    </w:p>
    <w:p>
      <w:pPr>
        <w:pStyle w:val="ConsPlusNormal1"/>
        <w:ind w:left="5811" w:firstLine="7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по  реконструкции и</w:t>
      </w:r>
    </w:p>
    <w:p>
      <w:pPr>
        <w:pStyle w:val="ConsPlusNormal1"/>
        <w:ind w:left="5811" w:firstLine="7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техническому перевооружению</w:t>
      </w:r>
    </w:p>
    <w:p>
      <w:pPr>
        <w:pStyle w:val="ConsPlusNormal1"/>
        <w:ind w:left="5811" w:firstLine="72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tabs>
          <w:tab w:val="clear" w:pos="709"/>
          <w:tab w:val="left" w:pos="6804" w:leader="none"/>
        </w:tabs>
        <w:ind w:left="5811" w:firstLine="7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</w:t>
      </w:r>
      <w:r>
        <w:rPr>
          <w:rFonts w:ascii="Times New Roman" w:hAnsi="Times New Roman"/>
        </w:rPr>
        <w:t>Приложение №___</w:t>
      </w:r>
    </w:p>
    <w:p>
      <w:pPr>
        <w:pStyle w:val="ConsPlusNormal1"/>
        <w:tabs>
          <w:tab w:val="clear" w:pos="709"/>
          <w:tab w:val="left" w:pos="6946" w:leader="none"/>
        </w:tabs>
        <w:ind w:left="5811" w:firstLine="72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</w:t>
      </w:r>
      <w:r>
        <w:rPr>
          <w:rFonts w:ascii="Times New Roman" w:hAnsi="Times New Roman"/>
        </w:rPr>
        <w:t>к дополнительному соглашению от ___ № ___</w:t>
      </w:r>
    </w:p>
    <w:p>
      <w:pPr>
        <w:pStyle w:val="ConsPlusNormal1"/>
        <w:ind w:left="5811"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</w:t>
      </w:r>
      <w:r>
        <w:rPr>
          <w:rFonts w:ascii="Times New Roman" w:hAnsi="Times New Roman"/>
        </w:rPr>
        <w:t xml:space="preserve">к договору от________№_____ </w:t>
      </w:r>
    </w:p>
    <w:tbl>
      <w:tblPr>
        <w:tblW w:w="10915" w:type="dxa"/>
        <w:jc w:val="left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noVBand="0" w:noHBand="0" w:lastColumn="0" w:firstColumn="0" w:lastRow="0" w:firstRow="0"/>
      </w:tblPr>
      <w:tblGrid>
        <w:gridCol w:w="1223"/>
        <w:gridCol w:w="9691"/>
      </w:tblGrid>
      <w:tr>
        <w:trPr/>
        <w:tc>
          <w:tcPr>
            <w:tcW w:w="1223" w:type="dxa"/>
            <w:tcBorders/>
          </w:tcPr>
          <w:p>
            <w:pPr>
              <w:pStyle w:val="ConsPlusNormal1"/>
              <w:widowControl w:val="false"/>
              <w:ind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                                 </w:t>
            </w:r>
            <w:r>
              <w:rPr>
                <w:rFonts w:cs="Times New Roman" w:ascii="Times New Roman" w:hAnsi="Times New Roman"/>
              </w:rPr>
              <w:t>Заказчик</w:t>
            </w:r>
          </w:p>
        </w:tc>
        <w:tc>
          <w:tcPr>
            <w:tcW w:w="9691" w:type="dxa"/>
            <w:tcBorders>
              <w:bottom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1223" w:type="dxa"/>
            <w:tcBorders/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691" w:type="dxa"/>
            <w:tcBorders>
              <w:top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(наименование организации)</w:t>
            </w:r>
          </w:p>
        </w:tc>
      </w:tr>
      <w:tr>
        <w:trPr/>
        <w:tc>
          <w:tcPr>
            <w:tcW w:w="10914" w:type="dxa"/>
            <w:gridSpan w:val="2"/>
            <w:tcBorders/>
          </w:tcPr>
          <w:p>
            <w:pPr>
              <w:pStyle w:val="ConsPlusNormal1"/>
              <w:widowControl w:val="false"/>
              <w:ind w:hanging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Утвержден __ ______________ 20__ г.</w:t>
            </w:r>
          </w:p>
        </w:tc>
      </w:tr>
    </w:tbl>
    <w:p>
      <w:pPr>
        <w:pStyle w:val="ConsPlusNormal1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10977" w:type="dxa"/>
        <w:jc w:val="left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noVBand="0" w:noHBand="0" w:lastColumn="0" w:firstColumn="0" w:lastRow="0" w:firstRow="0"/>
      </w:tblPr>
      <w:tblGrid>
        <w:gridCol w:w="5215"/>
        <w:gridCol w:w="2664"/>
        <w:gridCol w:w="3098"/>
      </w:tblGrid>
      <w:tr>
        <w:trPr/>
        <w:tc>
          <w:tcPr>
            <w:tcW w:w="5215" w:type="dxa"/>
            <w:tcBorders/>
          </w:tcPr>
          <w:p>
            <w:pPr>
              <w:pStyle w:val="ConsPlusNormal1"/>
              <w:widowControl w:val="false"/>
              <w:ind w:hanging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Сводный сметный расчет сметной стоимостью</w:t>
            </w:r>
          </w:p>
        </w:tc>
        <w:tc>
          <w:tcPr>
            <w:tcW w:w="2664" w:type="dxa"/>
            <w:tcBorders>
              <w:bottom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098" w:type="dxa"/>
            <w:tcBorders/>
          </w:tcPr>
          <w:p>
            <w:pPr>
              <w:pStyle w:val="ConsPlusNormal1"/>
              <w:widowControl w:val="false"/>
              <w:ind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руб.</w:t>
            </w:r>
          </w:p>
        </w:tc>
      </w:tr>
      <w:tr>
        <w:trPr/>
        <w:tc>
          <w:tcPr>
            <w:tcW w:w="10977" w:type="dxa"/>
            <w:gridSpan w:val="3"/>
            <w:tcBorders>
              <w:bottom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10977" w:type="dxa"/>
            <w:gridSpan w:val="3"/>
            <w:tcBorders>
              <w:top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(ссылка на документ об утверждении)</w:t>
            </w:r>
          </w:p>
        </w:tc>
      </w:tr>
    </w:tbl>
    <w:p>
      <w:pPr>
        <w:pStyle w:val="ConsPlusNormal1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10977" w:type="dxa"/>
        <w:jc w:val="left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noVBand="0" w:noHBand="0" w:lastColumn="0" w:firstColumn="0" w:lastRow="0" w:firstRow="0"/>
      </w:tblPr>
      <w:tblGrid>
        <w:gridCol w:w="10977"/>
      </w:tblGrid>
      <w:tr>
        <w:trPr/>
        <w:tc>
          <w:tcPr>
            <w:tcW w:w="10977" w:type="dxa"/>
            <w:tcBorders/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СВОДНЫЙ СМЕТНЫЙ РАСЧЕТ</w:t>
            </w:r>
          </w:p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N ССРСС-________</w:t>
            </w:r>
          </w:p>
        </w:tc>
      </w:tr>
      <w:tr>
        <w:trPr/>
        <w:tc>
          <w:tcPr>
            <w:tcW w:w="10977" w:type="dxa"/>
            <w:tcBorders>
              <w:bottom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10977" w:type="dxa"/>
            <w:tcBorders>
              <w:top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(наименование стройки)</w:t>
            </w:r>
          </w:p>
        </w:tc>
      </w:tr>
      <w:tr>
        <w:trPr/>
        <w:tc>
          <w:tcPr>
            <w:tcW w:w="10977" w:type="dxa"/>
            <w:tcBorders/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Составлен в текущих ценах, соответствующих периоду выполнения работ по Договору_________________ 20__ г.</w:t>
            </w:r>
          </w:p>
        </w:tc>
      </w:tr>
    </w:tbl>
    <w:p>
      <w:pPr>
        <w:pStyle w:val="ConsPlusNormal1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10706" w:type="dxa"/>
        <w:jc w:val="left"/>
        <w:tblInd w:w="41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noVBand="0" w:noHBand="0" w:lastColumn="0" w:firstColumn="0" w:lastRow="0" w:firstRow="0"/>
      </w:tblPr>
      <w:tblGrid>
        <w:gridCol w:w="427"/>
        <w:gridCol w:w="990"/>
        <w:gridCol w:w="293"/>
        <w:gridCol w:w="1636"/>
        <w:gridCol w:w="56"/>
        <w:gridCol w:w="1700"/>
        <w:gridCol w:w="15"/>
        <w:gridCol w:w="1263"/>
        <w:gridCol w:w="1427"/>
        <w:gridCol w:w="1135"/>
        <w:gridCol w:w="1762"/>
      </w:tblGrid>
      <w:tr>
        <w:trPr>
          <w:trHeight w:val="311" w:hRule="atLeast"/>
        </w:trPr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Nп/п</w:t>
            </w:r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Обоснование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Наименование глав, объектов капитального строительства, работ и затрат</w:t>
            </w:r>
          </w:p>
        </w:tc>
        <w:tc>
          <w:tcPr>
            <w:tcW w:w="73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Сметная стоимость, руб.</w:t>
            </w:r>
          </w:p>
        </w:tc>
      </w:tr>
      <w:tr>
        <w:trPr>
          <w:trHeight w:val="1294" w:hRule="atLeast"/>
        </w:trPr>
        <w:tc>
          <w:tcPr>
            <w:tcW w:w="4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9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985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строительных (ремонтно-строительных, ремонтно-реставрационных) работ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left="191"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монтажных работ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8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оборудования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left="-113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прочих затрат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всего</w:t>
            </w:r>
          </w:p>
        </w:tc>
      </w:tr>
      <w:tr>
        <w:trPr>
          <w:trHeight w:val="144" w:hRule="atLeast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8</w:t>
            </w:r>
          </w:p>
        </w:tc>
      </w:tr>
      <w:tr>
        <w:trPr/>
        <w:tc>
          <w:tcPr>
            <w:tcW w:w="1070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Сметы основного договора</w:t>
            </w:r>
          </w:p>
        </w:tc>
      </w:tr>
      <w:tr>
        <w:trPr>
          <w:trHeight w:val="287" w:hRule="atLeast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339" w:hRule="atLeast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321" w:hRule="atLeast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33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Итого по сметам основного договора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321" w:hRule="atLeast"/>
        </w:trPr>
        <w:tc>
          <w:tcPr>
            <w:tcW w:w="1070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Включить дополнительным соглашением № 1</w:t>
            </w:r>
          </w:p>
        </w:tc>
      </w:tr>
      <w:tr>
        <w:trPr>
          <w:trHeight w:val="321" w:hRule="atLeast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321" w:hRule="atLeast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45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321" w:hRule="atLeast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Итого включено дополнительным соглашением № 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321" w:hRule="atLeast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02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Исключить дополнительным соглашением № 2</w:t>
            </w:r>
          </w:p>
        </w:tc>
      </w:tr>
      <w:tr>
        <w:trPr>
          <w:trHeight w:val="321" w:hRule="atLeast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56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Итого исключено дополнительным соглашением № 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321" w:hRule="atLeast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Итого по главе №: __________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321" w:hRule="atLeast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Итого по главам №№: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321" w:hRule="atLeast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Всего по ССР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283" w:hRule="atLeast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0"/>
              <w:rPr>
                <w:rFonts w:ascii="Times New Roman" w:hAnsi="Times New Roman" w:cs="Times New Roman"/>
                <w:i/>
                <w:i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i/>
                <w:sz w:val="18"/>
                <w:szCs w:val="18"/>
                <w:u w:val="single"/>
              </w:rPr>
              <w:t>Справочно</w:t>
            </w:r>
            <w:r>
              <w:rPr>
                <w:rFonts w:cs="Times New Roman" w:ascii="Times New Roman" w:hAnsi="Times New Roman"/>
                <w:i/>
                <w:sz w:val="18"/>
                <w:szCs w:val="18"/>
              </w:rPr>
              <w:t>.</w:t>
            </w:r>
          </w:p>
          <w:p>
            <w:pPr>
              <w:pStyle w:val="ConsPlusNormal1"/>
              <w:widowControl w:val="false"/>
              <w:ind w:hanging="0"/>
              <w:rPr>
                <w:rFonts w:ascii="Times New Roman" w:hAnsi="Times New Roman" w:cs="Times New Roman"/>
                <w:i/>
                <w:i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i/>
                <w:sz w:val="18"/>
                <w:szCs w:val="18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321" w:hRule="atLeast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i/>
                <w:sz w:val="18"/>
                <w:szCs w:val="18"/>
              </w:rPr>
              <w:t>Сумма основного договора, без НДС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321" w:hRule="atLeast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0"/>
              <w:rPr>
                <w:rFonts w:ascii="Times New Roman" w:hAnsi="Times New Roman" w:cs="Times New Roman"/>
                <w:i/>
                <w:i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i/>
                <w:sz w:val="18"/>
                <w:szCs w:val="18"/>
              </w:rPr>
              <w:t>Сумма изменения</w:t>
              <w:br/>
              <w:t>(увеличения/уменьшения) стоимости основного договора на основании ДС № 1, без НДС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321" w:hRule="atLeast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i/>
                <w:sz w:val="18"/>
                <w:szCs w:val="18"/>
              </w:rPr>
              <w:t>Сумма изменения</w:t>
              <w:br/>
              <w:t>(увеличения/уменьшения) стоимости основного договора на основании ДС № 2, без НДС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3346" w:type="dxa"/>
            <w:gridSpan w:val="4"/>
            <w:tcBorders/>
          </w:tcPr>
          <w:p>
            <w:pPr>
              <w:pStyle w:val="ConsPlusNormal1"/>
              <w:widowControl w:val="false"/>
              <w:tabs>
                <w:tab w:val="clear" w:pos="709"/>
                <w:tab w:val="left" w:pos="2091" w:leader="none"/>
              </w:tabs>
              <w:ind w:left="425" w:hanging="425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        </w:t>
            </w:r>
            <w:r>
              <w:rPr>
                <w:rFonts w:cs="Times New Roman" w:ascii="Times New Roman" w:hAnsi="Times New Roman"/>
              </w:rPr>
              <w:t>Руководитель</w:t>
            </w:r>
          </w:p>
          <w:p>
            <w:pPr>
              <w:pStyle w:val="ConsPlusNormal1"/>
              <w:widowControl w:val="false"/>
              <w:ind w:left="425" w:hanging="425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        </w:t>
            </w:r>
            <w:r>
              <w:rPr>
                <w:rFonts w:cs="Times New Roman" w:ascii="Times New Roman" w:hAnsi="Times New Roman"/>
              </w:rPr>
              <w:t>проектной организации</w:t>
            </w:r>
          </w:p>
        </w:tc>
        <w:tc>
          <w:tcPr>
            <w:tcW w:w="7358" w:type="dxa"/>
            <w:gridSpan w:val="7"/>
            <w:tcBorders>
              <w:bottom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3346" w:type="dxa"/>
            <w:gridSpan w:val="4"/>
            <w:tcBorders/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7358" w:type="dxa"/>
            <w:gridSpan w:val="7"/>
            <w:tcBorders>
              <w:top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[подпись (инициалы, фамилия)]</w:t>
            </w:r>
          </w:p>
        </w:tc>
      </w:tr>
      <w:tr>
        <w:trPr/>
        <w:tc>
          <w:tcPr>
            <w:tcW w:w="3346" w:type="dxa"/>
            <w:gridSpan w:val="4"/>
            <w:tcBorders/>
          </w:tcPr>
          <w:p>
            <w:pPr>
              <w:pStyle w:val="ConsPlusNormal1"/>
              <w:widowControl w:val="false"/>
              <w:ind w:left="141" w:hanging="141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Главный инженер проекта</w:t>
            </w:r>
          </w:p>
        </w:tc>
        <w:tc>
          <w:tcPr>
            <w:tcW w:w="7358" w:type="dxa"/>
            <w:gridSpan w:val="7"/>
            <w:tcBorders>
              <w:bottom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3346" w:type="dxa"/>
            <w:gridSpan w:val="4"/>
            <w:tcBorders/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7358" w:type="dxa"/>
            <w:gridSpan w:val="7"/>
            <w:tcBorders>
              <w:top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[подпись (инициалы, фамилия)]</w:t>
            </w:r>
          </w:p>
        </w:tc>
      </w:tr>
      <w:tr>
        <w:trPr/>
        <w:tc>
          <w:tcPr>
            <w:tcW w:w="1710" w:type="dxa"/>
            <w:gridSpan w:val="3"/>
            <w:tcBorders/>
          </w:tcPr>
          <w:p>
            <w:pPr>
              <w:pStyle w:val="ConsPlusNormal1"/>
              <w:widowControl w:val="false"/>
              <w:ind w:firstLine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Начальник</w:t>
            </w:r>
          </w:p>
        </w:tc>
        <w:tc>
          <w:tcPr>
            <w:tcW w:w="1692" w:type="dxa"/>
            <w:gridSpan w:val="2"/>
            <w:tcBorders>
              <w:bottom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15" w:type="dxa"/>
            <w:gridSpan w:val="2"/>
            <w:tcBorders/>
          </w:tcPr>
          <w:p>
            <w:pPr>
              <w:pStyle w:val="ConsPlusNormal1"/>
              <w:widowControl w:val="false"/>
              <w:ind w:hanging="6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отдела</w:t>
            </w:r>
          </w:p>
        </w:tc>
        <w:tc>
          <w:tcPr>
            <w:tcW w:w="5587" w:type="dxa"/>
            <w:gridSpan w:val="4"/>
            <w:tcBorders>
              <w:bottom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1710" w:type="dxa"/>
            <w:gridSpan w:val="3"/>
            <w:tcBorders/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92" w:type="dxa"/>
            <w:gridSpan w:val="2"/>
            <w:tcBorders>
              <w:top w:val="single" w:sz="4" w:space="0" w:color="000000"/>
            </w:tcBorders>
          </w:tcPr>
          <w:p>
            <w:pPr>
              <w:pStyle w:val="ConsPlusNormal1"/>
              <w:widowControl w:val="false"/>
              <w:ind w:hanging="1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(наименование)</w:t>
            </w:r>
          </w:p>
        </w:tc>
        <w:tc>
          <w:tcPr>
            <w:tcW w:w="1715" w:type="dxa"/>
            <w:gridSpan w:val="2"/>
            <w:tcBorders/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587" w:type="dxa"/>
            <w:gridSpan w:val="4"/>
            <w:tcBorders>
              <w:top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[подпись (инициалы, фамилия)]</w:t>
            </w:r>
          </w:p>
        </w:tc>
      </w:tr>
      <w:tr>
        <w:trPr/>
        <w:tc>
          <w:tcPr>
            <w:tcW w:w="1710" w:type="dxa"/>
            <w:gridSpan w:val="3"/>
            <w:tcBorders/>
          </w:tcPr>
          <w:p>
            <w:pPr>
              <w:pStyle w:val="ConsPlusNormal1"/>
              <w:widowControl w:val="false"/>
              <w:ind w:left="141" w:hanging="141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>Заказчик</w:t>
            </w:r>
          </w:p>
        </w:tc>
        <w:tc>
          <w:tcPr>
            <w:tcW w:w="8994" w:type="dxa"/>
            <w:gridSpan w:val="8"/>
            <w:tcBorders>
              <w:bottom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1710" w:type="dxa"/>
            <w:gridSpan w:val="3"/>
            <w:tcBorders/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8994" w:type="dxa"/>
            <w:gridSpan w:val="8"/>
            <w:tcBorders>
              <w:top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[должность, подпись (инициалы, фамилия)]</w:t>
            </w:r>
          </w:p>
        </w:tc>
      </w:tr>
    </w:tbl>
    <w:p>
      <w:pPr>
        <w:sectPr>
          <w:footerReference w:type="default" r:id="rId3"/>
          <w:footerReference w:type="first" r:id="rId4"/>
          <w:footnotePr>
            <w:numFmt w:val="decimal"/>
            <w:numRestart w:val="eachPage"/>
          </w:footnotePr>
          <w:type w:val="nextPage"/>
          <w:pgSz w:w="11906" w:h="16838"/>
          <w:pgMar w:left="426" w:right="567" w:gutter="0" w:header="0" w:top="0" w:footer="709" w:bottom="766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uto" w:line="240" w:before="0"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spacing w:lineRule="auto" w:line="240" w:before="0" w:after="0"/>
        <w:ind w:left="426" w:hanging="426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ОБРАЗЕЦ</w:t>
      </w:r>
    </w:p>
    <w:p>
      <w:pPr>
        <w:pStyle w:val="Normal"/>
        <w:spacing w:lineRule="auto" w:line="240" w:before="0" w:after="0"/>
        <w:ind w:left="5811" w:firstLine="72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Приложение №1.3 </w:t>
      </w:r>
    </w:p>
    <w:p>
      <w:pPr>
        <w:pStyle w:val="ConsPlusNormal1"/>
        <w:ind w:left="5811"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>
      <w:pPr>
        <w:pStyle w:val="ConsPlusNormal1"/>
        <w:ind w:left="5811" w:firstLine="72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к Требованиям к оформлению и составлению               </w:t>
      </w:r>
    </w:p>
    <w:p>
      <w:pPr>
        <w:pStyle w:val="ConsPlusNormal1"/>
        <w:ind w:left="5811" w:firstLine="72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сметной документации на работы </w:t>
      </w:r>
    </w:p>
    <w:p>
      <w:pPr>
        <w:pStyle w:val="ConsPlusNormal1"/>
        <w:ind w:left="5811" w:firstLine="72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по реконструкции и техническому </w:t>
      </w:r>
    </w:p>
    <w:p>
      <w:pPr>
        <w:pStyle w:val="ConsPlusNormal1"/>
        <w:ind w:left="5811" w:firstLine="72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перевооружению </w:t>
      </w:r>
    </w:p>
    <w:p>
      <w:pPr>
        <w:pStyle w:val="ConsPlusNormal1"/>
        <w:ind w:left="5811" w:firstLine="72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ind w:left="5811" w:firstLine="72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№___</w:t>
      </w:r>
    </w:p>
    <w:p>
      <w:pPr>
        <w:pStyle w:val="ConsPlusNormal1"/>
        <w:ind w:left="5811" w:firstLine="72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 дополнительному соглашению от ___ № ___</w:t>
      </w:r>
    </w:p>
    <w:p>
      <w:pPr>
        <w:pStyle w:val="ConsPlusNormal1"/>
        <w:ind w:left="5811" w:firstLine="7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</w:t>
      </w:r>
      <w:r>
        <w:rPr>
          <w:rFonts w:ascii="Times New Roman" w:hAnsi="Times New Roman"/>
        </w:rPr>
        <w:t xml:space="preserve">к договору от_______№_____ </w:t>
      </w:r>
    </w:p>
    <w:p>
      <w:pPr>
        <w:pStyle w:val="ConsPlusNormal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Сопоставительная ведомость изменения сметной стоимости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</w:r>
    </w:p>
    <w:tbl>
      <w:tblPr>
        <w:tblW w:w="10206" w:type="dxa"/>
        <w:jc w:val="left"/>
        <w:tblInd w:w="55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noVBand="0" w:noHBand="0" w:lastColumn="0" w:firstColumn="0" w:lastRow="0" w:firstRow="0"/>
      </w:tblPr>
      <w:tblGrid>
        <w:gridCol w:w="424"/>
        <w:gridCol w:w="850"/>
        <w:gridCol w:w="851"/>
        <w:gridCol w:w="1276"/>
        <w:gridCol w:w="1276"/>
        <w:gridCol w:w="1701"/>
        <w:gridCol w:w="1710"/>
        <w:gridCol w:w="2116"/>
      </w:tblGrid>
      <w:tr>
        <w:trPr>
          <w:trHeight w:val="433" w:hRule="atLeast"/>
        </w:trPr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r>
              <w:rPr>
                <w:rFonts w:ascii="Times New Roman" w:hAnsi="Times New Roman"/>
                <w:sz w:val="18"/>
                <w:szCs w:val="18"/>
              </w:rPr>
              <w:t>п/п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Данные сметного расчета (сметы)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Сметная стоимость, тыс. руб.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Разница в сметной стоимости, руб.</w:t>
            </w:r>
          </w:p>
        </w:tc>
        <w:tc>
          <w:tcPr>
            <w:tcW w:w="2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Обоснование изменений сметной стоимости</w:t>
            </w:r>
          </w:p>
        </w:tc>
      </w:tr>
      <w:tr>
        <w:trPr/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eastAsia="Calibri" w:ascii="Times New Roman" w:hAnsi="Times New Roman"/>
                <w:sz w:val="18"/>
                <w:szCs w:val="18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шифр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r>
              <w:rPr>
                <w:rFonts w:ascii="Times New Roman" w:hAnsi="Times New Roman"/>
                <w:sz w:val="18"/>
                <w:szCs w:val="18"/>
              </w:rPr>
              <w:t>позиции сметного расчета (сметы) в ССР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подлежащая включению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подлежащая исключению</w:t>
            </w:r>
          </w:p>
        </w:tc>
        <w:tc>
          <w:tcPr>
            <w:tcW w:w="1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eastAsia="Calibri" w:ascii="Times New Roman" w:hAnsi="Times New Roman"/>
                <w:sz w:val="18"/>
                <w:szCs w:val="18"/>
                <w:lang w:eastAsia="en-US"/>
              </w:rPr>
            </w:r>
          </w:p>
        </w:tc>
        <w:tc>
          <w:tcPr>
            <w:tcW w:w="21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eastAsia="Calibri" w:ascii="Times New Roman" w:hAnsi="Times New Roman"/>
                <w:sz w:val="18"/>
                <w:szCs w:val="18"/>
                <w:lang w:eastAsia="en-US"/>
              </w:rPr>
            </w:r>
          </w:p>
        </w:tc>
      </w:tr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</w:tr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left="357" w:firstLine="72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  <w:r>
        <w:br w:type="page"/>
      </w:r>
    </w:p>
    <w:p>
      <w:pPr>
        <w:pStyle w:val="Normal"/>
        <w:spacing w:lineRule="auto" w:line="240" w:before="0" w:after="0"/>
        <w:ind w:left="357" w:firstLine="72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Приложение №1.4 </w:t>
      </w:r>
    </w:p>
    <w:p>
      <w:pPr>
        <w:pStyle w:val="ConsPlusNormal1"/>
        <w:ind w:left="5811" w:firstLine="72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Требованиям к оформлению и составлению </w:t>
      </w:r>
    </w:p>
    <w:p>
      <w:pPr>
        <w:pStyle w:val="ConsPlusNormal1"/>
        <w:ind w:left="5811" w:firstLine="72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сметной документации на работы </w:t>
      </w:r>
    </w:p>
    <w:p>
      <w:pPr>
        <w:pStyle w:val="ConsPlusNormal1"/>
        <w:ind w:left="5811" w:firstLine="72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>
      <w:pPr>
        <w:pStyle w:val="ConsPlusNormal1"/>
        <w:ind w:left="5811" w:firstLine="72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по  реконструкции </w:t>
      </w:r>
    </w:p>
    <w:p>
      <w:pPr>
        <w:pStyle w:val="ConsPlusNormal1"/>
        <w:ind w:left="5811" w:firstLine="72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 техническому перевооружению </w:t>
      </w:r>
    </w:p>
    <w:p>
      <w:pPr>
        <w:pStyle w:val="ConsPlusNormal1"/>
        <w:ind w:left="5811" w:firstLine="72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ind w:left="5811" w:firstLine="72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№___</w:t>
      </w:r>
    </w:p>
    <w:p>
      <w:pPr>
        <w:pStyle w:val="ConsPlusNormal1"/>
        <w:ind w:left="5811" w:firstLine="72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 дополнительному соглашению от ___ № ___</w:t>
      </w:r>
    </w:p>
    <w:p>
      <w:pPr>
        <w:pStyle w:val="ConsPlusNormal1"/>
        <w:ind w:left="5811" w:firstLine="7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договору от_______№_____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Сопоставительная ведомость объемов работ</w:t>
      </w:r>
    </w:p>
    <w:p>
      <w:pPr>
        <w:pStyle w:val="ConsPlusNormal1"/>
        <w:jc w:val="both"/>
        <w:rPr>
          <w:b/>
        </w:rPr>
      </w:pPr>
      <w:r>
        <w:rPr>
          <w:b/>
        </w:rPr>
      </w:r>
    </w:p>
    <w:tbl>
      <w:tblPr>
        <w:tblW w:w="10773" w:type="dxa"/>
        <w:jc w:val="left"/>
        <w:tblInd w:w="27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noVBand="0" w:noHBand="0" w:lastColumn="0" w:firstColumn="0" w:lastRow="0" w:firstRow="0"/>
      </w:tblPr>
      <w:tblGrid>
        <w:gridCol w:w="425"/>
        <w:gridCol w:w="709"/>
        <w:gridCol w:w="851"/>
        <w:gridCol w:w="1208"/>
        <w:gridCol w:w="916"/>
        <w:gridCol w:w="851"/>
        <w:gridCol w:w="852"/>
        <w:gridCol w:w="851"/>
        <w:gridCol w:w="851"/>
        <w:gridCol w:w="707"/>
        <w:gridCol w:w="567"/>
        <w:gridCol w:w="850"/>
        <w:gridCol w:w="1134"/>
      </w:tblGrid>
      <w:tr>
        <w:trPr>
          <w:trHeight w:val="880" w:hRule="atLeast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left="-62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№№ 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>пп</w:t>
            </w:r>
          </w:p>
        </w:tc>
        <w:tc>
          <w:tcPr>
            <w:tcW w:w="36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Данные сметного расчета (сметы)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Наименование работ и затрат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6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Ед. изм.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Объем работ в сметной документации</w:t>
            </w:r>
          </w:p>
        </w:tc>
        <w:tc>
          <w:tcPr>
            <w:tcW w:w="12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Изменение объемов работ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Обоснование изменений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left="1360" w:hanging="1416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Примечание</w:t>
            </w:r>
          </w:p>
        </w:tc>
      </w:tr>
      <w:tr>
        <w:trPr>
          <w:trHeight w:val="62" w:hRule="atLeast"/>
        </w:trPr>
        <w:tc>
          <w:tcPr>
            <w:tcW w:w="4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left="-797" w:firstLine="7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шифр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left="-64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Наименование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№ 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>позиции в сметном расчете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70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27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rPr>
          <w:trHeight w:val="1308" w:hRule="atLeast"/>
        </w:trPr>
        <w:tc>
          <w:tcPr>
            <w:tcW w:w="4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до изменений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с учетом изменений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8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firstLine="7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до изменений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с учетом изменений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left="-800" w:firstLine="7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увели</w:t>
            </w:r>
          </w:p>
          <w:p>
            <w:pPr>
              <w:pStyle w:val="ConsPlusNormal1"/>
              <w:widowControl w:val="false"/>
              <w:ind w:left="-800" w:firstLine="7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чение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снижение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rPr>
          <w:trHeight w:val="232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</w:tbl>
    <w:p>
      <w:pPr>
        <w:sectPr>
          <w:footerReference w:type="default" r:id="rId5"/>
          <w:footerReference w:type="first" r:id="rId6"/>
          <w:footnotePr>
            <w:numFmt w:val="decimal"/>
            <w:numRestart w:val="eachPage"/>
          </w:footnotePr>
          <w:type w:val="nextPage"/>
          <w:pgSz w:w="11906" w:h="16838"/>
          <w:pgMar w:left="426" w:right="924" w:gutter="0" w:header="0" w:top="284" w:footer="709" w:bottom="766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ConsPlusNormal1"/>
        <w:jc w:val="both"/>
        <w:rPr/>
      </w:pPr>
      <w:r>
        <w:rPr/>
      </w:r>
    </w:p>
    <w:p>
      <w:pPr>
        <w:pStyle w:val="Normal"/>
        <w:spacing w:lineRule="auto" w:line="240" w:before="0" w:after="0"/>
        <w:ind w:left="5811" w:firstLine="720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Приложение№1.5 </w:t>
      </w:r>
    </w:p>
    <w:p>
      <w:pPr>
        <w:pStyle w:val="Normal"/>
        <w:spacing w:lineRule="auto" w:line="240" w:before="0" w:after="0"/>
        <w:ind w:left="5811" w:firstLine="720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</w:t>
      </w:r>
    </w:p>
    <w:p>
      <w:pPr>
        <w:pStyle w:val="ConsPlusNormal1"/>
        <w:ind w:left="5811" w:firstLine="72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Требованиям к оформлению и составлению               </w:t>
      </w:r>
    </w:p>
    <w:p>
      <w:pPr>
        <w:pStyle w:val="ConsPlusNormal1"/>
        <w:ind w:left="5811" w:firstLine="72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сметной документации на работы </w:t>
      </w:r>
    </w:p>
    <w:p>
      <w:pPr>
        <w:pStyle w:val="ConsPlusNormal1"/>
        <w:ind w:left="5811" w:firstLine="72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>
      <w:pPr>
        <w:pStyle w:val="ConsPlusNormal1"/>
        <w:ind w:left="5811" w:firstLine="72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по реконструкции </w:t>
      </w:r>
    </w:p>
    <w:p>
      <w:pPr>
        <w:pStyle w:val="ConsPlusNormal1"/>
        <w:ind w:left="5811" w:firstLine="72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 техническому перевооружению 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>ОБРАЗЕЦ</w:t>
      </w:r>
    </w:p>
    <w:p>
      <w:pPr>
        <w:pStyle w:val="Normal"/>
        <w:spacing w:lineRule="auto" w:line="240" w:before="0" w:after="0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</w:r>
    </w:p>
    <w:p>
      <w:pPr>
        <w:pStyle w:val="Normal"/>
        <w:spacing w:lineRule="auto" w:line="240" w:before="0" w:after="0"/>
        <w:ind w:left="6373" w:firstLine="720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</w:r>
    </w:p>
    <w:tbl>
      <w:tblPr>
        <w:tblW w:w="1440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363"/>
        <w:gridCol w:w="978"/>
        <w:gridCol w:w="661"/>
        <w:gridCol w:w="2697"/>
        <w:gridCol w:w="818"/>
        <w:gridCol w:w="1051"/>
        <w:gridCol w:w="631"/>
        <w:gridCol w:w="226"/>
        <w:gridCol w:w="1037"/>
        <w:gridCol w:w="639"/>
        <w:gridCol w:w="998"/>
        <w:gridCol w:w="490"/>
        <w:gridCol w:w="655"/>
        <w:gridCol w:w="1552"/>
        <w:gridCol w:w="603"/>
      </w:tblGrid>
      <w:tr>
        <w:trPr>
          <w:trHeight w:val="285" w:hRule="atLeast"/>
        </w:trPr>
        <w:tc>
          <w:tcPr>
            <w:tcW w:w="3002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Arial" w:ascii="Times New Roman" w:hAnsi="Times New Roman"/>
                <w:b/>
                <w:bCs/>
                <w:color w:val="000000"/>
                <w:sz w:val="18"/>
                <w:szCs w:val="18"/>
              </w:rPr>
              <w:t>СОГЛАСОВАНО:</w:t>
            </w:r>
          </w:p>
        </w:tc>
        <w:tc>
          <w:tcPr>
            <w:tcW w:w="2697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Arial" w:ascii="Times New Roman" w:hAnsi="Times New Roman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W w:w="81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05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22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03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63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4298" w:type="dxa"/>
            <w:gridSpan w:val="5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Arial" w:ascii="Times New Roman" w:hAnsi="Times New Roman"/>
                <w:b/>
                <w:bCs/>
                <w:color w:val="000000"/>
                <w:sz w:val="18"/>
                <w:szCs w:val="18"/>
              </w:rPr>
              <w:t>УТВЕРЖДАЮ:</w:t>
            </w:r>
          </w:p>
        </w:tc>
      </w:tr>
      <w:tr>
        <w:trPr>
          <w:trHeight w:val="345" w:hRule="atLeast"/>
        </w:trPr>
        <w:tc>
          <w:tcPr>
            <w:tcW w:w="1363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97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66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269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81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05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22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03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63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99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49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655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2155" w:type="dxa"/>
            <w:gridSpan w:val="2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rPr>
          <w:trHeight w:val="330" w:hRule="atLeast"/>
        </w:trPr>
        <w:tc>
          <w:tcPr>
            <w:tcW w:w="2341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  <w:t>"_____" _____________2021 г</w:t>
            </w:r>
          </w:p>
        </w:tc>
        <w:tc>
          <w:tcPr>
            <w:tcW w:w="661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2697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81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05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22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03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63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99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49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655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2155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  <w:t>"_____" ________2021 г</w:t>
            </w:r>
          </w:p>
        </w:tc>
      </w:tr>
      <w:tr>
        <w:trPr>
          <w:trHeight w:val="165" w:hRule="exact"/>
        </w:trPr>
        <w:tc>
          <w:tcPr>
            <w:tcW w:w="136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97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66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269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81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051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226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037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639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998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49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655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215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13796" w:type="dxa"/>
            <w:gridSpan w:val="14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cs="Arial" w:ascii="Times New Roman" w:hAnsi="Times New Roman"/>
                <w:i/>
                <w:iCs/>
                <w:color w:val="000000"/>
                <w:sz w:val="12"/>
                <w:szCs w:val="12"/>
              </w:rPr>
              <w:t>(наименование стройки)</w:t>
            </w:r>
          </w:p>
        </w:tc>
        <w:tc>
          <w:tcPr>
            <w:tcW w:w="603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</w:r>
          </w:p>
        </w:tc>
      </w:tr>
      <w:tr>
        <w:trPr/>
        <w:tc>
          <w:tcPr>
            <w:tcW w:w="13796" w:type="dxa"/>
            <w:gridSpan w:val="14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</w:r>
          </w:p>
        </w:tc>
        <w:tc>
          <w:tcPr>
            <w:tcW w:w="603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</w:r>
          </w:p>
        </w:tc>
      </w:tr>
      <w:tr>
        <w:trPr/>
        <w:tc>
          <w:tcPr>
            <w:tcW w:w="13796" w:type="dxa"/>
            <w:gridSpan w:val="14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cs="Arial" w:ascii="Times New Roman" w:hAnsi="Times New Roman"/>
                <w:i/>
                <w:iCs/>
                <w:color w:val="000000"/>
                <w:sz w:val="12"/>
                <w:szCs w:val="12"/>
              </w:rPr>
              <w:t>(наименование объекта капитального строительства)</w:t>
            </w:r>
          </w:p>
        </w:tc>
        <w:tc>
          <w:tcPr>
            <w:tcW w:w="603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13796" w:type="dxa"/>
            <w:gridSpan w:val="14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Arial" w:ascii="Times New Roman" w:hAnsi="Times New Roman"/>
                <w:b/>
                <w:bCs/>
                <w:color w:val="000000"/>
                <w:sz w:val="18"/>
                <w:szCs w:val="18"/>
              </w:rPr>
              <w:t>ЛОКАЛЬНЫЙ СМЕТНЫЙ РАСЧЕТ (СМЕТА) №</w:t>
            </w:r>
          </w:p>
        </w:tc>
        <w:tc>
          <w:tcPr>
            <w:tcW w:w="603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136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Arial" w:ascii="Times New Roman" w:hAnsi="Times New Roman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W w:w="97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66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269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81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05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63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22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03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63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998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49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65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2155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13796" w:type="dxa"/>
            <w:gridSpan w:val="14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Arial" w:ascii="Times New Roman" w:hAnsi="Times New Roman"/>
                <w:i/>
                <w:iCs/>
                <w:color w:val="000000"/>
                <w:sz w:val="18"/>
                <w:szCs w:val="18"/>
              </w:rPr>
              <w:t>(наименование конструктивного решения)</w:t>
            </w:r>
          </w:p>
        </w:tc>
        <w:tc>
          <w:tcPr>
            <w:tcW w:w="603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</w:tbl>
    <w:p>
      <w:pPr>
        <w:pStyle w:val="Normal"/>
        <w:spacing w:lineRule="auto" w:line="240" w:before="0" w:after="0"/>
        <w:ind w:left="6373" w:firstLine="720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</w:r>
    </w:p>
    <w:p>
      <w:pPr>
        <w:pStyle w:val="Normal"/>
        <w:spacing w:lineRule="auto" w:line="240" w:before="0" w:after="0"/>
        <w:ind w:left="6373" w:firstLine="720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</w:r>
    </w:p>
    <w:tbl>
      <w:tblPr>
        <w:tblW w:w="15752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630"/>
        <w:gridCol w:w="6"/>
        <w:gridCol w:w="1509"/>
        <w:gridCol w:w="5"/>
        <w:gridCol w:w="1988"/>
        <w:gridCol w:w="1"/>
        <w:gridCol w:w="966"/>
        <w:gridCol w:w="1"/>
        <w:gridCol w:w="908"/>
        <w:gridCol w:w="4"/>
        <w:gridCol w:w="107"/>
        <w:gridCol w:w="84"/>
        <w:gridCol w:w="9"/>
        <w:gridCol w:w="227"/>
        <w:gridCol w:w="3"/>
        <w:gridCol w:w="706"/>
        <w:gridCol w:w="345"/>
        <w:gridCol w:w="9"/>
        <w:gridCol w:w="1002"/>
        <w:gridCol w:w="271"/>
        <w:gridCol w:w="5"/>
        <w:gridCol w:w="1047"/>
        <w:gridCol w:w="15"/>
        <w:gridCol w:w="75"/>
        <w:gridCol w:w="1185"/>
        <w:gridCol w:w="331"/>
        <w:gridCol w:w="9"/>
        <w:gridCol w:w="509"/>
        <w:gridCol w:w="110"/>
        <w:gridCol w:w="8"/>
        <w:gridCol w:w="1016"/>
        <w:gridCol w:w="375"/>
        <w:gridCol w:w="6"/>
        <w:gridCol w:w="971"/>
        <w:gridCol w:w="461"/>
        <w:gridCol w:w="3"/>
        <w:gridCol w:w="841"/>
      </w:tblGrid>
      <w:tr>
        <w:trPr>
          <w:trHeight w:val="240" w:hRule="atLeast"/>
        </w:trPr>
        <w:tc>
          <w:tcPr>
            <w:tcW w:w="63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Arial" w:ascii="Times New Roman" w:hAnsi="Times New Roman"/>
                <w:sz w:val="18"/>
                <w:szCs w:val="18"/>
              </w:rPr>
              <w:t>Составлен</w:t>
            </w:r>
          </w:p>
        </w:tc>
        <w:tc>
          <w:tcPr>
            <w:tcW w:w="1515" w:type="dxa"/>
            <w:gridSpan w:val="2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  <w:t>ресурсно-индексным</w:t>
            </w:r>
          </w:p>
        </w:tc>
        <w:tc>
          <w:tcPr>
            <w:tcW w:w="1993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  <w:t>методом</w:t>
            </w:r>
          </w:p>
        </w:tc>
        <w:tc>
          <w:tcPr>
            <w:tcW w:w="967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909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95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236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054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282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052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606" w:type="dxa"/>
            <w:gridSpan w:val="4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628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399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438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844" w:type="dxa"/>
            <w:gridSpan w:val="2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rPr>
          <w:trHeight w:val="300" w:hRule="atLeast"/>
        </w:trPr>
        <w:tc>
          <w:tcPr>
            <w:tcW w:w="636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Arial" w:ascii="Times New Roman" w:hAnsi="Times New Roman"/>
                <w:sz w:val="18"/>
                <w:szCs w:val="18"/>
              </w:rPr>
              <w:t>Основание</w:t>
            </w:r>
          </w:p>
        </w:tc>
        <w:tc>
          <w:tcPr>
            <w:tcW w:w="5582" w:type="dxa"/>
            <w:gridSpan w:val="11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cs="Arial" w:ascii="Times New Roman" w:hAnsi="Times New Roman"/>
                <w:sz w:val="18"/>
                <w:szCs w:val="18"/>
              </w:rPr>
            </w:r>
          </w:p>
        </w:tc>
        <w:tc>
          <w:tcPr>
            <w:tcW w:w="230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cs="Arial" w:ascii="Times New Roman" w:hAnsi="Times New Roman"/>
                <w:sz w:val="18"/>
                <w:szCs w:val="18"/>
              </w:rPr>
            </w:r>
          </w:p>
        </w:tc>
        <w:tc>
          <w:tcPr>
            <w:tcW w:w="1060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278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062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600" w:type="dxa"/>
            <w:gridSpan w:val="4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627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397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435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841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rPr>
          <w:trHeight w:val="210" w:hRule="atLeast"/>
        </w:trPr>
        <w:tc>
          <w:tcPr>
            <w:tcW w:w="636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5582" w:type="dxa"/>
            <w:gridSpan w:val="11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Arial" w:ascii="Times New Roman" w:hAnsi="Times New Roman"/>
                <w:i/>
                <w:iCs/>
                <w:sz w:val="18"/>
                <w:szCs w:val="18"/>
              </w:rPr>
              <w:t>(проектная и (или) иная техническая документация)</w:t>
            </w:r>
          </w:p>
        </w:tc>
        <w:tc>
          <w:tcPr>
            <w:tcW w:w="230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Arial"/>
                <w:i/>
                <w:i/>
                <w:iCs/>
                <w:sz w:val="18"/>
                <w:szCs w:val="18"/>
              </w:rPr>
            </w:pPr>
            <w:r>
              <w:rPr>
                <w:rFonts w:cs="Arial" w:ascii="Times New Roman" w:hAnsi="Times New Roman"/>
                <w:i/>
                <w:iCs/>
                <w:sz w:val="18"/>
                <w:szCs w:val="18"/>
              </w:rPr>
            </w:r>
          </w:p>
        </w:tc>
        <w:tc>
          <w:tcPr>
            <w:tcW w:w="1060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278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062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600" w:type="dxa"/>
            <w:gridSpan w:val="4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627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397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435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841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rPr>
          <w:trHeight w:val="300" w:hRule="atLeast"/>
        </w:trPr>
        <w:tc>
          <w:tcPr>
            <w:tcW w:w="2150" w:type="dxa"/>
            <w:gridSpan w:val="4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Arial" w:ascii="Times New Roman" w:hAnsi="Times New Roman"/>
                <w:b/>
                <w:bCs/>
                <w:sz w:val="18"/>
                <w:szCs w:val="18"/>
              </w:rPr>
              <w:t>Составлен в текущем уровне цен</w:t>
            </w:r>
          </w:p>
        </w:tc>
        <w:tc>
          <w:tcPr>
            <w:tcW w:w="4068" w:type="dxa"/>
            <w:gridSpan w:val="9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Arial" w:ascii="Times New Roman" w:hAnsi="Times New Roman"/>
                <w:sz w:val="18"/>
                <w:szCs w:val="18"/>
              </w:rPr>
              <w:t>II квартал 2024 года</w:t>
            </w:r>
          </w:p>
        </w:tc>
        <w:tc>
          <w:tcPr>
            <w:tcW w:w="230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cs="Arial" w:ascii="Times New Roman" w:hAnsi="Times New Roman"/>
                <w:sz w:val="18"/>
                <w:szCs w:val="18"/>
              </w:rPr>
            </w:r>
          </w:p>
        </w:tc>
        <w:tc>
          <w:tcPr>
            <w:tcW w:w="1060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278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062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600" w:type="dxa"/>
            <w:gridSpan w:val="4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627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397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435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841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rPr>
          <w:trHeight w:val="397" w:hRule="atLeast"/>
        </w:trPr>
        <w:tc>
          <w:tcPr>
            <w:tcW w:w="2145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Arial" w:ascii="Times New Roman" w:hAnsi="Times New Roman"/>
                <w:b/>
                <w:bCs/>
                <w:sz w:val="18"/>
                <w:szCs w:val="18"/>
              </w:rPr>
              <w:t>Сметная стоимость</w:t>
            </w:r>
          </w:p>
        </w:tc>
        <w:tc>
          <w:tcPr>
            <w:tcW w:w="1993" w:type="dxa"/>
            <w:gridSpan w:val="2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967" w:type="dxa"/>
            <w:gridSpan w:val="2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cs="Arial" w:ascii="Times New Roman" w:hAnsi="Times New Roman"/>
                <w:sz w:val="18"/>
                <w:szCs w:val="18"/>
              </w:rPr>
            </w:r>
          </w:p>
        </w:tc>
        <w:tc>
          <w:tcPr>
            <w:tcW w:w="909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Arial" w:ascii="Times New Roman" w:hAnsi="Times New Roman"/>
                <w:sz w:val="18"/>
                <w:szCs w:val="18"/>
              </w:rPr>
              <w:t>тыс.руб.</w:t>
            </w:r>
          </w:p>
        </w:tc>
        <w:tc>
          <w:tcPr>
            <w:tcW w:w="195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cs="Arial" w:ascii="Times New Roman" w:hAnsi="Times New Roman"/>
                <w:sz w:val="18"/>
                <w:szCs w:val="18"/>
              </w:rPr>
            </w:r>
          </w:p>
        </w:tc>
        <w:tc>
          <w:tcPr>
            <w:tcW w:w="236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054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282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052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606" w:type="dxa"/>
            <w:gridSpan w:val="4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628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399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438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844" w:type="dxa"/>
            <w:gridSpan w:val="2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rPr>
          <w:trHeight w:val="240" w:hRule="atLeast"/>
        </w:trPr>
        <w:tc>
          <w:tcPr>
            <w:tcW w:w="63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515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Arial" w:ascii="Times New Roman" w:hAnsi="Times New Roman"/>
                <w:i/>
                <w:iCs/>
                <w:sz w:val="18"/>
                <w:szCs w:val="18"/>
              </w:rPr>
              <w:t>в том числе:</w:t>
            </w:r>
          </w:p>
        </w:tc>
        <w:tc>
          <w:tcPr>
            <w:tcW w:w="1993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Arial"/>
                <w:i/>
                <w:i/>
                <w:iCs/>
                <w:sz w:val="18"/>
                <w:szCs w:val="18"/>
              </w:rPr>
            </w:pPr>
            <w:r>
              <w:rPr>
                <w:rFonts w:cs="Arial" w:ascii="Times New Roman" w:hAnsi="Times New Roman"/>
                <w:i/>
                <w:iCs/>
                <w:sz w:val="18"/>
                <w:szCs w:val="18"/>
              </w:rPr>
            </w:r>
          </w:p>
        </w:tc>
        <w:tc>
          <w:tcPr>
            <w:tcW w:w="967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909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95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236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054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282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052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606" w:type="dxa"/>
            <w:gridSpan w:val="4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628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399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438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844" w:type="dxa"/>
            <w:gridSpan w:val="2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rPr>
          <w:trHeight w:val="240" w:hRule="atLeast"/>
        </w:trPr>
        <w:tc>
          <w:tcPr>
            <w:tcW w:w="636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514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Arial" w:ascii="Times New Roman" w:hAnsi="Times New Roman"/>
                <w:b/>
                <w:bCs/>
                <w:sz w:val="18"/>
                <w:szCs w:val="18"/>
              </w:rPr>
              <w:t>строительных работ</w:t>
            </w:r>
          </w:p>
        </w:tc>
        <w:tc>
          <w:tcPr>
            <w:tcW w:w="1989" w:type="dxa"/>
            <w:gridSpan w:val="2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967" w:type="dxa"/>
            <w:gridSpan w:val="2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cs="Arial" w:ascii="Times New Roman" w:hAnsi="Times New Roman"/>
                <w:sz w:val="18"/>
                <w:szCs w:val="18"/>
              </w:rPr>
            </w:r>
          </w:p>
        </w:tc>
        <w:tc>
          <w:tcPr>
            <w:tcW w:w="912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Arial" w:ascii="Times New Roman" w:hAnsi="Times New Roman"/>
                <w:sz w:val="18"/>
                <w:szCs w:val="18"/>
              </w:rPr>
              <w:t>тыс.руб.</w:t>
            </w:r>
          </w:p>
        </w:tc>
        <w:tc>
          <w:tcPr>
            <w:tcW w:w="200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cs="Arial" w:ascii="Times New Roman" w:hAnsi="Times New Roman"/>
                <w:sz w:val="18"/>
                <w:szCs w:val="18"/>
              </w:rPr>
            </w:r>
          </w:p>
        </w:tc>
        <w:tc>
          <w:tcPr>
            <w:tcW w:w="230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060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2340" w:type="dxa"/>
            <w:gridSpan w:val="5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Arial" w:ascii="Times New Roman" w:hAnsi="Times New Roman"/>
                <w:sz w:val="18"/>
                <w:szCs w:val="18"/>
              </w:rPr>
              <w:t>Средства на оплату труда рабочих</w:t>
            </w:r>
          </w:p>
        </w:tc>
        <w:tc>
          <w:tcPr>
            <w:tcW w:w="1600" w:type="dxa"/>
            <w:gridSpan w:val="4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cs="Arial" w:ascii="Times New Roman" w:hAnsi="Times New Roman"/>
                <w:sz w:val="18"/>
                <w:szCs w:val="18"/>
              </w:rPr>
            </w:r>
          </w:p>
        </w:tc>
        <w:tc>
          <w:tcPr>
            <w:tcW w:w="627" w:type="dxa"/>
            <w:gridSpan w:val="3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397" w:type="dxa"/>
            <w:gridSpan w:val="3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cs="Arial" w:ascii="Times New Roman" w:hAnsi="Times New Roman"/>
                <w:sz w:val="18"/>
                <w:szCs w:val="18"/>
              </w:rPr>
            </w:r>
          </w:p>
        </w:tc>
        <w:tc>
          <w:tcPr>
            <w:tcW w:w="1435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Arial" w:ascii="Times New Roman" w:hAnsi="Times New Roman"/>
                <w:sz w:val="18"/>
                <w:szCs w:val="18"/>
              </w:rPr>
              <w:t>тыс.руб.</w:t>
            </w:r>
          </w:p>
        </w:tc>
        <w:tc>
          <w:tcPr>
            <w:tcW w:w="841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rPr>
          <w:trHeight w:val="240" w:hRule="atLeast"/>
        </w:trPr>
        <w:tc>
          <w:tcPr>
            <w:tcW w:w="636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cs="Arial" w:ascii="Times New Roman" w:hAnsi="Times New Roman"/>
                <w:sz w:val="18"/>
                <w:szCs w:val="18"/>
              </w:rPr>
            </w:r>
          </w:p>
        </w:tc>
        <w:tc>
          <w:tcPr>
            <w:tcW w:w="1514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Arial" w:ascii="Times New Roman" w:hAnsi="Times New Roman"/>
                <w:b/>
                <w:bCs/>
                <w:sz w:val="18"/>
                <w:szCs w:val="18"/>
              </w:rPr>
              <w:t>монтажных работ</w:t>
            </w:r>
          </w:p>
        </w:tc>
        <w:tc>
          <w:tcPr>
            <w:tcW w:w="1989" w:type="dxa"/>
            <w:gridSpan w:val="2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967" w:type="dxa"/>
            <w:gridSpan w:val="2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cs="Arial" w:ascii="Times New Roman" w:hAnsi="Times New Roman"/>
                <w:sz w:val="18"/>
                <w:szCs w:val="18"/>
              </w:rPr>
            </w:r>
          </w:p>
        </w:tc>
        <w:tc>
          <w:tcPr>
            <w:tcW w:w="912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Arial" w:ascii="Times New Roman" w:hAnsi="Times New Roman"/>
                <w:sz w:val="18"/>
                <w:szCs w:val="18"/>
              </w:rPr>
              <w:t>тыс.руб.</w:t>
            </w:r>
          </w:p>
        </w:tc>
        <w:tc>
          <w:tcPr>
            <w:tcW w:w="200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cs="Arial" w:ascii="Times New Roman" w:hAnsi="Times New Roman"/>
                <w:sz w:val="18"/>
                <w:szCs w:val="18"/>
              </w:rPr>
            </w:r>
          </w:p>
        </w:tc>
        <w:tc>
          <w:tcPr>
            <w:tcW w:w="230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060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2340" w:type="dxa"/>
            <w:gridSpan w:val="5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Arial" w:ascii="Times New Roman" w:hAnsi="Times New Roman"/>
                <w:sz w:val="18"/>
                <w:szCs w:val="18"/>
              </w:rPr>
              <w:t>Средства на оплату труда машинистов</w:t>
            </w:r>
          </w:p>
        </w:tc>
        <w:tc>
          <w:tcPr>
            <w:tcW w:w="1600" w:type="dxa"/>
            <w:gridSpan w:val="4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cs="Arial" w:ascii="Times New Roman" w:hAnsi="Times New Roman"/>
                <w:sz w:val="18"/>
                <w:szCs w:val="18"/>
              </w:rPr>
            </w:r>
          </w:p>
        </w:tc>
        <w:tc>
          <w:tcPr>
            <w:tcW w:w="627" w:type="dxa"/>
            <w:gridSpan w:val="3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397" w:type="dxa"/>
            <w:gridSpan w:val="3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cs="Arial" w:ascii="Times New Roman" w:hAnsi="Times New Roman"/>
                <w:sz w:val="18"/>
                <w:szCs w:val="18"/>
              </w:rPr>
            </w:r>
          </w:p>
        </w:tc>
        <w:tc>
          <w:tcPr>
            <w:tcW w:w="1435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Arial" w:ascii="Times New Roman" w:hAnsi="Times New Roman"/>
                <w:sz w:val="18"/>
                <w:szCs w:val="18"/>
              </w:rPr>
              <w:t>тыс.руб.</w:t>
            </w:r>
          </w:p>
        </w:tc>
        <w:tc>
          <w:tcPr>
            <w:tcW w:w="841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rPr>
          <w:trHeight w:val="240" w:hRule="atLeast"/>
        </w:trPr>
        <w:tc>
          <w:tcPr>
            <w:tcW w:w="636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cs="Arial" w:ascii="Times New Roman" w:hAnsi="Times New Roman"/>
                <w:sz w:val="18"/>
                <w:szCs w:val="18"/>
              </w:rPr>
            </w:r>
          </w:p>
        </w:tc>
        <w:tc>
          <w:tcPr>
            <w:tcW w:w="1514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Arial" w:ascii="Times New Roman" w:hAnsi="Times New Roman"/>
                <w:b/>
                <w:bCs/>
                <w:sz w:val="18"/>
                <w:szCs w:val="18"/>
              </w:rPr>
              <w:t>оборудования</w:t>
            </w:r>
          </w:p>
        </w:tc>
        <w:tc>
          <w:tcPr>
            <w:tcW w:w="1989" w:type="dxa"/>
            <w:gridSpan w:val="2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967" w:type="dxa"/>
            <w:gridSpan w:val="2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cs="Arial" w:ascii="Times New Roman" w:hAnsi="Times New Roman"/>
                <w:sz w:val="18"/>
                <w:szCs w:val="18"/>
              </w:rPr>
            </w:r>
          </w:p>
        </w:tc>
        <w:tc>
          <w:tcPr>
            <w:tcW w:w="912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Arial" w:ascii="Times New Roman" w:hAnsi="Times New Roman"/>
                <w:sz w:val="18"/>
                <w:szCs w:val="18"/>
              </w:rPr>
              <w:t>тыс.руб.</w:t>
            </w:r>
          </w:p>
        </w:tc>
        <w:tc>
          <w:tcPr>
            <w:tcW w:w="200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cs="Arial" w:ascii="Times New Roman" w:hAnsi="Times New Roman"/>
                <w:sz w:val="18"/>
                <w:szCs w:val="18"/>
              </w:rPr>
            </w:r>
          </w:p>
        </w:tc>
        <w:tc>
          <w:tcPr>
            <w:tcW w:w="230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060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2340" w:type="dxa"/>
            <w:gridSpan w:val="5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Arial" w:ascii="Times New Roman" w:hAnsi="Times New Roman"/>
                <w:sz w:val="18"/>
                <w:szCs w:val="18"/>
              </w:rPr>
              <w:t>Нормативные затраты труда рабочих</w:t>
            </w:r>
          </w:p>
        </w:tc>
        <w:tc>
          <w:tcPr>
            <w:tcW w:w="1600" w:type="dxa"/>
            <w:gridSpan w:val="4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cs="Arial" w:ascii="Times New Roman" w:hAnsi="Times New Roman"/>
                <w:sz w:val="18"/>
                <w:szCs w:val="18"/>
              </w:rPr>
            </w:r>
          </w:p>
        </w:tc>
        <w:tc>
          <w:tcPr>
            <w:tcW w:w="627" w:type="dxa"/>
            <w:gridSpan w:val="3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397" w:type="dxa"/>
            <w:gridSpan w:val="3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cs="Arial" w:ascii="Times New Roman" w:hAnsi="Times New Roman"/>
                <w:sz w:val="18"/>
                <w:szCs w:val="18"/>
              </w:rPr>
            </w:r>
          </w:p>
        </w:tc>
        <w:tc>
          <w:tcPr>
            <w:tcW w:w="1435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Arial" w:ascii="Times New Roman" w:hAnsi="Times New Roman"/>
                <w:sz w:val="18"/>
                <w:szCs w:val="18"/>
              </w:rPr>
              <w:t>чел.-ч.</w:t>
            </w:r>
          </w:p>
        </w:tc>
        <w:tc>
          <w:tcPr>
            <w:tcW w:w="841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rPr>
          <w:trHeight w:val="240" w:hRule="atLeast"/>
        </w:trPr>
        <w:tc>
          <w:tcPr>
            <w:tcW w:w="636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cs="Arial" w:ascii="Times New Roman" w:hAnsi="Times New Roman"/>
                <w:sz w:val="18"/>
                <w:szCs w:val="18"/>
              </w:rPr>
            </w:r>
          </w:p>
        </w:tc>
        <w:tc>
          <w:tcPr>
            <w:tcW w:w="1514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Arial" w:ascii="Times New Roman" w:hAnsi="Times New Roman"/>
                <w:b/>
                <w:bCs/>
                <w:sz w:val="18"/>
                <w:szCs w:val="18"/>
              </w:rPr>
              <w:t>прочих затрат</w:t>
            </w:r>
          </w:p>
        </w:tc>
        <w:tc>
          <w:tcPr>
            <w:tcW w:w="1989" w:type="dxa"/>
            <w:gridSpan w:val="2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967" w:type="dxa"/>
            <w:gridSpan w:val="2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cs="Arial" w:ascii="Times New Roman" w:hAnsi="Times New Roman"/>
                <w:sz w:val="18"/>
                <w:szCs w:val="18"/>
              </w:rPr>
            </w:r>
          </w:p>
        </w:tc>
        <w:tc>
          <w:tcPr>
            <w:tcW w:w="912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Arial" w:ascii="Times New Roman" w:hAnsi="Times New Roman"/>
                <w:sz w:val="18"/>
                <w:szCs w:val="18"/>
              </w:rPr>
              <w:t>тыс.руб.</w:t>
            </w:r>
          </w:p>
        </w:tc>
        <w:tc>
          <w:tcPr>
            <w:tcW w:w="200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cs="Arial" w:ascii="Times New Roman" w:hAnsi="Times New Roman"/>
                <w:sz w:val="18"/>
                <w:szCs w:val="18"/>
              </w:rPr>
            </w:r>
          </w:p>
        </w:tc>
        <w:tc>
          <w:tcPr>
            <w:tcW w:w="230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060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3940" w:type="dxa"/>
            <w:gridSpan w:val="9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Arial" w:ascii="Times New Roman" w:hAnsi="Times New Roman"/>
                <w:sz w:val="18"/>
                <w:szCs w:val="18"/>
              </w:rPr>
              <w:t>Нормативные затраты труда машинистов</w:t>
            </w:r>
          </w:p>
        </w:tc>
        <w:tc>
          <w:tcPr>
            <w:tcW w:w="627" w:type="dxa"/>
            <w:gridSpan w:val="3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397" w:type="dxa"/>
            <w:gridSpan w:val="3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cs="Arial" w:ascii="Times New Roman" w:hAnsi="Times New Roman"/>
                <w:sz w:val="18"/>
                <w:szCs w:val="18"/>
              </w:rPr>
            </w:r>
          </w:p>
        </w:tc>
        <w:tc>
          <w:tcPr>
            <w:tcW w:w="1435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Arial" w:ascii="Times New Roman" w:hAnsi="Times New Roman"/>
                <w:sz w:val="18"/>
                <w:szCs w:val="18"/>
              </w:rPr>
              <w:t>чел.-ч.</w:t>
            </w:r>
          </w:p>
        </w:tc>
        <w:tc>
          <w:tcPr>
            <w:tcW w:w="841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rPr>
          <w:trHeight w:val="195" w:hRule="atLeast"/>
        </w:trPr>
        <w:tc>
          <w:tcPr>
            <w:tcW w:w="63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cs="Arial" w:ascii="Times New Roman" w:hAnsi="Times New Roman"/>
                <w:sz w:val="18"/>
                <w:szCs w:val="18"/>
              </w:rPr>
            </w:r>
          </w:p>
        </w:tc>
        <w:tc>
          <w:tcPr>
            <w:tcW w:w="1515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993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967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909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95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236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054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282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052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606" w:type="dxa"/>
            <w:gridSpan w:val="4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628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399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438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844" w:type="dxa"/>
            <w:gridSpan w:val="2"/>
            <w:tcBorders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rPr>
          <w:trHeight w:val="225" w:hRule="atLeast"/>
        </w:trPr>
        <w:tc>
          <w:tcPr>
            <w:tcW w:w="6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  <w:t xml:space="preserve">№ </w:t>
            </w: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  <w:t>п/п</w:t>
            </w:r>
          </w:p>
        </w:tc>
        <w:tc>
          <w:tcPr>
            <w:tcW w:w="151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  <w:t>Обоснование</w:t>
            </w:r>
          </w:p>
        </w:tc>
        <w:tc>
          <w:tcPr>
            <w:tcW w:w="295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  <w:t>Наименование работ и затрат</w:t>
            </w:r>
          </w:p>
        </w:tc>
        <w:tc>
          <w:tcPr>
            <w:tcW w:w="101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  <w:t>Единица измерения</w:t>
            </w:r>
          </w:p>
        </w:tc>
        <w:tc>
          <w:tcPr>
            <w:tcW w:w="3798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  <w:t>Количество</w:t>
            </w:r>
          </w:p>
        </w:tc>
        <w:tc>
          <w:tcPr>
            <w:tcW w:w="582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  <w:t>Сметная стоимость, руб.</w:t>
            </w:r>
          </w:p>
        </w:tc>
      </w:tr>
      <w:tr>
        <w:trPr>
          <w:trHeight w:val="1138" w:hRule="atLeast"/>
        </w:trPr>
        <w:tc>
          <w:tcPr>
            <w:tcW w:w="63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151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2956" w:type="dxa"/>
            <w:gridSpan w:val="4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1019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3798" w:type="dxa"/>
            <w:gridSpan w:val="1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5825" w:type="dxa"/>
            <w:gridSpan w:val="1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</w:r>
          </w:p>
        </w:tc>
      </w:tr>
      <w:tr>
        <w:trPr>
          <w:trHeight w:val="771" w:hRule="atLeast"/>
        </w:trPr>
        <w:tc>
          <w:tcPr>
            <w:tcW w:w="63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151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2956" w:type="dxa"/>
            <w:gridSpan w:val="4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1019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Arial"/>
                <w:color w:val="000000"/>
                <w:sz w:val="18"/>
                <w:szCs w:val="18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1029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  <w:t>на единицу измерения</w:t>
            </w:r>
          </w:p>
        </w:tc>
        <w:tc>
          <w:tcPr>
            <w:tcW w:w="135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  <w:t>коэффициенты</w:t>
            </w:r>
          </w:p>
        </w:tc>
        <w:tc>
          <w:tcPr>
            <w:tcW w:w="1413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  <w:t>всего с учетом коэффициентов</w:t>
            </w:r>
          </w:p>
        </w:tc>
        <w:tc>
          <w:tcPr>
            <w:tcW w:w="11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  <w:t>на единицу измерения в базисном уровне цен</w:t>
            </w:r>
          </w:p>
        </w:tc>
        <w:tc>
          <w:tcPr>
            <w:tcW w:w="84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  <w:t>индекс</w:t>
            </w:r>
          </w:p>
        </w:tc>
        <w:tc>
          <w:tcPr>
            <w:tcW w:w="113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  <w:t>на единицу измерения в текущем уровне цен</w:t>
            </w:r>
          </w:p>
        </w:tc>
        <w:tc>
          <w:tcPr>
            <w:tcW w:w="135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  <w:t>коэффициенты</w:t>
            </w:r>
          </w:p>
        </w:tc>
        <w:tc>
          <w:tcPr>
            <w:tcW w:w="130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  <w:t>всего в текущем уровне цен</w:t>
            </w:r>
          </w:p>
        </w:tc>
      </w:tr>
      <w:tr>
        <w:trPr/>
        <w:tc>
          <w:tcPr>
            <w:tcW w:w="6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1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56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1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29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5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13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84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3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5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30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  <w:t>12</w:t>
            </w:r>
          </w:p>
        </w:tc>
      </w:tr>
    </w:tbl>
    <w:p>
      <w:pPr>
        <w:pStyle w:val="Normal"/>
        <w:spacing w:lineRule="auto" w:line="240" w:before="0" w:after="0"/>
        <w:ind w:left="6373" w:firstLine="720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</w:r>
    </w:p>
    <w:p>
      <w:pPr>
        <w:pStyle w:val="Normal"/>
        <w:spacing w:lineRule="auto" w:line="240" w:before="0" w:after="0"/>
        <w:ind w:left="6373" w:firstLine="720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</w:r>
    </w:p>
    <w:p>
      <w:pPr>
        <w:pStyle w:val="Normal"/>
        <w:spacing w:lineRule="auto" w:line="240" w:before="0" w:after="0"/>
        <w:ind w:left="6373" w:firstLine="720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</w:r>
    </w:p>
    <w:p>
      <w:pPr>
        <w:pStyle w:val="Normal"/>
        <w:spacing w:lineRule="auto" w:line="240" w:before="0" w:after="0"/>
        <w:ind w:left="6373" w:firstLine="720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</w:r>
    </w:p>
    <w:p>
      <w:pPr>
        <w:pStyle w:val="Normal"/>
        <w:spacing w:lineRule="auto" w:line="240" w:before="0" w:after="0"/>
        <w:ind w:left="6373" w:firstLine="720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</w:r>
    </w:p>
    <w:p>
      <w:pPr>
        <w:pStyle w:val="Normal"/>
        <w:spacing w:lineRule="auto" w:line="240" w:before="0" w:after="0"/>
        <w:ind w:left="6373" w:firstLine="720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</w:r>
    </w:p>
    <w:p>
      <w:pPr>
        <w:pStyle w:val="Normal"/>
        <w:spacing w:lineRule="auto" w:line="240" w:before="0" w:after="0"/>
        <w:ind w:left="6373" w:firstLine="720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</w:r>
    </w:p>
    <w:p>
      <w:pPr>
        <w:pStyle w:val="Normal"/>
        <w:spacing w:lineRule="auto" w:line="240" w:before="0" w:after="0"/>
        <w:ind w:left="6373" w:firstLine="720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</w:r>
    </w:p>
    <w:p>
      <w:pPr>
        <w:pStyle w:val="Normal"/>
        <w:spacing w:lineRule="auto" w:line="240" w:before="0" w:after="0"/>
        <w:ind w:left="6373" w:firstLine="720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</w:r>
    </w:p>
    <w:p>
      <w:pPr>
        <w:pStyle w:val="Normal"/>
        <w:spacing w:lineRule="auto" w:line="240" w:before="0" w:after="0"/>
        <w:ind w:left="6373" w:firstLine="720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</w:r>
    </w:p>
    <w:p>
      <w:pPr>
        <w:pStyle w:val="Normal"/>
        <w:spacing w:lineRule="auto" w:line="240" w:before="0" w:after="0"/>
        <w:ind w:left="6373" w:firstLine="720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</w:r>
    </w:p>
    <w:p>
      <w:pPr>
        <w:sectPr>
          <w:footerReference w:type="default" r:id="rId7"/>
          <w:footerReference w:type="first" r:id="rId8"/>
          <w:footnotePr>
            <w:numFmt w:val="decimal"/>
            <w:numRestart w:val="eachPage"/>
          </w:footnotePr>
          <w:type w:val="nextPage"/>
          <w:pgSz w:orient="landscape" w:w="16838" w:h="11906"/>
          <w:pgMar w:left="720" w:right="284" w:gutter="0" w:header="0" w:top="426" w:footer="709" w:bottom="924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auto" w:line="240" w:before="0" w:after="0"/>
        <w:ind w:left="6373" w:firstLine="720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</w:r>
    </w:p>
    <w:p>
      <w:pPr>
        <w:pStyle w:val="Normal"/>
        <w:spacing w:lineRule="auto" w:line="240" w:before="0" w:after="0"/>
        <w:ind w:left="5811" w:firstLine="72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Приложение №2</w:t>
      </w:r>
    </w:p>
    <w:p>
      <w:pPr>
        <w:pStyle w:val="Normal"/>
        <w:spacing w:lineRule="auto" w:line="240" w:before="0" w:after="0"/>
        <w:ind w:left="5811" w:hanging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ConsPlusNormal1"/>
        <w:ind w:left="5811" w:firstLine="72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Требованиям к оформлению и составлению               </w:t>
      </w:r>
    </w:p>
    <w:p>
      <w:pPr>
        <w:pStyle w:val="ConsPlusNormal1"/>
        <w:ind w:left="5811" w:firstLine="72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сметной документации на работы </w:t>
      </w:r>
    </w:p>
    <w:p>
      <w:pPr>
        <w:pStyle w:val="ConsPlusNormal1"/>
        <w:ind w:left="5811" w:firstLine="72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>
      <w:pPr>
        <w:pStyle w:val="ConsPlusNormal1"/>
        <w:ind w:left="5811" w:firstLine="72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по реконструкции </w:t>
      </w:r>
    </w:p>
    <w:p>
      <w:pPr>
        <w:pStyle w:val="ConsPlusNormal1"/>
        <w:ind w:left="5811" w:firstLine="72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 техническому перевооружению </w:t>
      </w:r>
    </w:p>
    <w:p>
      <w:pPr>
        <w:pStyle w:val="Normal"/>
        <w:spacing w:lineRule="auto" w:line="240" w:before="0" w:after="0"/>
        <w:ind w:left="5811" w:hanging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</w:t>
      </w:r>
      <w:r>
        <w:rPr>
          <w:rFonts w:ascii="Times New Roman" w:hAnsi="Times New Roman"/>
          <w:b/>
        </w:rPr>
        <w:t xml:space="preserve">Образец расчета командировочных расходов </w:t>
      </w:r>
    </w:p>
    <w:p>
      <w:pPr>
        <w:pStyle w:val="Normal"/>
        <w:spacing w:lineRule="auto" w:line="240" w:before="0" w:after="0"/>
        <w:ind w:hanging="567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 __ к смете № __</w:t>
      </w:r>
    </w:p>
    <w:p>
      <w:pPr>
        <w:pStyle w:val="Normal"/>
        <w:spacing w:lineRule="auto" w:line="240" w:before="0" w:after="0"/>
        <w:ind w:hanging="56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Расчет командировочных расходов</w:t>
      </w:r>
    </w:p>
    <w:tbl>
      <w:tblPr>
        <w:tblW w:w="10236" w:type="dxa"/>
        <w:jc w:val="left"/>
        <w:tblInd w:w="-2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455"/>
        <w:gridCol w:w="132"/>
        <w:gridCol w:w="1001"/>
        <w:gridCol w:w="700"/>
        <w:gridCol w:w="1286"/>
        <w:gridCol w:w="707"/>
        <w:gridCol w:w="1443"/>
        <w:gridCol w:w="1310"/>
        <w:gridCol w:w="933"/>
        <w:gridCol w:w="992"/>
        <w:gridCol w:w="1276"/>
      </w:tblGrid>
      <w:tr>
        <w:trPr/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п</w:t>
            </w:r>
            <w:r>
              <w:rPr>
                <w:rFonts w:ascii="Times New Roman" w:hAnsi="Times New Roman"/>
                <w:lang w:val="en-US"/>
              </w:rPr>
              <w:t>/</w:t>
            </w:r>
            <w:r>
              <w:rPr>
                <w:rFonts w:ascii="Times New Roman" w:hAnsi="Times New Roman"/>
              </w:rPr>
              <w:t>п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Пункт назначения </w:t>
              <w:br/>
              <w:t>(туда / обратно)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транспорта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Стоимость проезда, руб. (без НДС)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Кол-во дней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Стоимость суточных, руб./сут. </w:t>
              <w:br/>
              <w:t>(без НДС)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Стоимость проживания, руб./сут.. </w:t>
              <w:br/>
              <w:t>(без НДС)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Кол-во командировок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Кол-во командированных человек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Итого стоимость командировочных расходов, руб. </w:t>
              <w:br/>
              <w:t>(без НДС)</w:t>
            </w:r>
          </w:p>
        </w:tc>
      </w:tr>
      <w:tr>
        <w:trPr/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8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 пункта 1 в пункт 5</w:t>
            </w:r>
          </w:p>
        </w:tc>
      </w:tr>
      <w:tr>
        <w:trPr/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 пункта 1 в пункт 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 пункта 2 в пункт 3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…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…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…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…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…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…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…</w:t>
            </w:r>
          </w:p>
        </w:tc>
      </w:tr>
      <w:tr>
        <w:trPr/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 пункта 4 в пункт 5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50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 стоимость командировочных расходов из пункта 1 в пункт 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217" w:hRule="atLeast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8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 пункта 5 в пункт 1</w:t>
            </w:r>
          </w:p>
        </w:tc>
      </w:tr>
      <w:tr>
        <w:trPr/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 пункта 5 в пункт 4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 пункта 4 в пункт 3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…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…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…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…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…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…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…</w:t>
            </w:r>
          </w:p>
        </w:tc>
      </w:tr>
      <w:tr>
        <w:trPr/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 пункта 2 в пункт 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50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 стоимость командировочных расходов из пункта 5 в пункт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50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 стоимость командировочных расходов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ind w:left="6373" w:hanging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left="6373" w:hanging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left="6373" w:hanging="0"/>
        <w:rPr>
          <w:rFonts w:ascii="Times New Roman" w:hAnsi="Times New Roman"/>
          <w:sz w:val="20"/>
          <w:szCs w:val="20"/>
        </w:rPr>
      </w:pPr>
      <w:r>
        <w:rPr/>
      </w:r>
      <w:bookmarkStart w:id="36" w:name="P79"/>
      <w:bookmarkStart w:id="37" w:name="P79"/>
      <w:bookmarkEnd w:id="37"/>
    </w:p>
    <w:sectPr>
      <w:footerReference w:type="default" r:id="rId9"/>
      <w:footerReference w:type="first" r:id="rId10"/>
      <w:footnotePr>
        <w:numFmt w:val="decimal"/>
        <w:numRestart w:val="eachPage"/>
      </w:footnotePr>
      <w:type w:val="nextPage"/>
      <w:pgSz w:w="11906" w:h="16838"/>
      <w:pgMar w:left="993" w:right="924" w:gutter="0" w:header="0" w:top="568" w:footer="709" w:bottom="76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765748345"/>
    </w:sdtPr>
    <w:sdtContent>
      <w:p>
        <w:pPr>
          <w:pStyle w:val="Footer"/>
          <w:jc w:val="center"/>
          <w:rPr>
            <w:highlight w:val="none"/>
            <w:shd w:fill="auto" w:val="clear"/>
          </w:rPr>
        </w:pPr>
        <w:r>
          <w:rPr>
            <w:shd w:fill="auto" w:val="clear"/>
          </w:rPr>
          <w:fldChar w:fldCharType="begin"/>
        </w:r>
        <w:r>
          <w:rPr>
            <w:shd w:fill="auto" w:val="clear"/>
          </w:rPr>
          <w:instrText xml:space="preserve"> PAGE </w:instrText>
        </w:r>
        <w:r>
          <w:rPr>
            <w:shd w:fill="auto" w:val="clear"/>
          </w:rPr>
          <w:fldChar w:fldCharType="separate"/>
        </w:r>
        <w:r>
          <w:rPr>
            <w:shd w:fill="auto" w:val="clear"/>
          </w:rPr>
          <w:t>0</w:t>
        </w:r>
        <w:r>
          <w:rPr>
            <w:shd w:fill="auto" w:val="clear"/>
          </w:rPr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330510649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0</w:t>
        </w:r>
        <w:r>
          <w:rPr/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791786801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0</w:t>
        </w:r>
        <w:r>
          <w:rPr/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526514562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0</w:t>
        </w:r>
        <w:r>
          <w:rPr/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207941498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0</w:t>
        </w:r>
        <w:r>
          <w:rPr/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jc w:val="both"/>
        <w:rPr/>
      </w:pPr>
      <w:r>
        <w:rPr>
          <w:rStyle w:val="Style3"/>
        </w:rPr>
        <w:footnoteRef/>
      </w:r>
      <w:r>
        <w:rPr/>
        <w:t xml:space="preserve"> </w:t>
      </w:r>
      <w:r>
        <w:rPr/>
        <w:t xml:space="preserve">Пункт </w:t>
      </w:r>
      <w:r>
        <w:rPr/>
        <w:fldChar w:fldCharType="begin"/>
      </w:r>
      <w:r>
        <w:rPr/>
        <w:instrText xml:space="preserve"> REF _Ref19086149 \r \h </w:instrText>
      </w:r>
      <w:r>
        <w:rPr/>
        <w:fldChar w:fldCharType="separate"/>
      </w:r>
      <w:r>
        <w:rPr/>
        <w:t>Ошибка: источник перекрёстной ссылки не найден</w:t>
      </w:r>
      <w:r>
        <w:rPr/>
        <w:fldChar w:fldCharType="end"/>
      </w:r>
      <w:r>
        <w:rPr/>
        <w:t xml:space="preserve"> учитывается при указании соответствующих услуг, предоставляемых ПАО «РусГидро» подрядным организациям в разделе технических требований «Иные условия поставки товаров, выполнения работ, оказания услуг».  </w:t>
      </w:r>
    </w:p>
  </w:footnote>
  <w:footnote w:id="3">
    <w:p>
      <w:pPr>
        <w:pStyle w:val="FootnoteText"/>
        <w:jc w:val="both"/>
        <w:rPr/>
      </w:pPr>
      <w:r>
        <w:rPr>
          <w:rStyle w:val="Style3"/>
        </w:rPr>
        <w:footnoteRef/>
      </w:r>
      <w:r>
        <w:rPr/>
        <w:t xml:space="preserve"> </w:t>
      </w:r>
      <w:r>
        <w:rPr/>
        <w:t xml:space="preserve">Стоимость электроэнергии определять в соответствии с рекомендациями, изложенными по ссылке </w:t>
      </w:r>
      <w:hyperlink r:id="rId1">
        <w:r>
          <w:rPr>
            <w:rStyle w:val="Hyperlink"/>
          </w:rPr>
          <w:t>http://grandsmeta82.ru/znaj-kak/grand-smeta-baza-znanij/109-raschet-zatrat-na-energonositeli-elektroenergiyu-toplivo-i-pr-v-grand-smete.html</w:t>
        </w:r>
      </w:hyperlink>
      <w:r>
        <w:rPr/>
        <w:t xml:space="preserve"> </w:t>
      </w:r>
    </w:p>
    <w:p>
      <w:pPr>
        <w:pStyle w:val="FootnoteText"/>
        <w:jc w:val="both"/>
        <w:rPr/>
      </w:pPr>
      <w:r>
        <w:rPr/>
      </w:r>
    </w:p>
  </w:footnote>
  <w:footnote w:id="4">
    <w:p>
      <w:pPr>
        <w:pStyle w:val="Normal"/>
        <w:jc w:val="both"/>
        <w:rPr>
          <w:rFonts w:ascii="Times New Roman" w:hAnsi="Times New Roman"/>
          <w:szCs w:val="24"/>
        </w:rPr>
      </w:pPr>
      <w:r>
        <w:rPr>
          <w:rStyle w:val="Style3"/>
        </w:rPr>
        <w:footnoteRef/>
      </w:r>
      <w:r>
        <w:rPr/>
        <w:t xml:space="preserve"> </w:t>
      </w:r>
      <w:r>
        <w:rPr>
          <w:rFonts w:eastAsia="Calibri" w:ascii="Times New Roman" w:hAnsi="Times New Roman"/>
          <w:sz w:val="20"/>
          <w:szCs w:val="20"/>
        </w:rPr>
        <w:t>Размер коэффициента корректируется в соответствии с перечнем предоставляемых услуг, указанным в разделе Технических требований «Иные условия поставки товаров, выполнения работ, оказания услуг». Образец расчета приведен в приложении к приказу от 17.06.2019 № 498.</w:t>
      </w:r>
      <w:r>
        <w:rPr>
          <w:rFonts w:ascii="Times New Roman" w:hAnsi="Times New Roman"/>
          <w:szCs w:val="24"/>
        </w:rPr>
        <w:t xml:space="preserve"> </w:t>
      </w:r>
    </w:p>
    <w:p>
      <w:pPr>
        <w:pStyle w:val="FootnoteText"/>
        <w:rPr/>
      </w:pPr>
      <w:r>
        <w:rPr/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center"/>
      <w:pPr>
        <w:tabs>
          <w:tab w:val="num" w:pos="567"/>
        </w:tabs>
        <w:ind w:left="567" w:hanging="279"/>
      </w:pPr>
      <w:rPr/>
    </w:lvl>
    <w:lvl w:ilvl="1">
      <w:start w:val="1"/>
      <w:numFmt w:val="decimal"/>
      <w:lvlText w:val="%1.%2."/>
      <w:lvlJc w:val="left"/>
      <w:pPr>
        <w:tabs>
          <w:tab w:val="num" w:pos="1844"/>
        </w:tabs>
        <w:ind w:left="1844" w:hanging="567"/>
      </w:pPr>
      <w:rPr>
        <w:u w:val="none"/>
      </w:rPr>
    </w:lvl>
    <w:lvl w:ilvl="2">
      <w:start w:val="1"/>
      <w:numFmt w:val="decimal"/>
      <w:lvlText w:val="%1.%2.%3."/>
      <w:lvlJc w:val="left"/>
      <w:pPr>
        <w:tabs>
          <w:tab w:val="num" w:pos="993"/>
        </w:tabs>
        <w:ind w:left="993" w:hanging="851"/>
      </w:pPr>
      <w:rPr>
        <w:dstrike w:val="false"/>
        <w:strike w:val="false"/>
      </w:rPr>
    </w:lvl>
    <w:lvl w:ilvl="3">
      <w:start w:val="1"/>
      <w:numFmt w:val="decimal"/>
      <w:lvlText w:val="%1.%2.%3.%4."/>
      <w:lvlJc w:val="left"/>
      <w:pPr>
        <w:tabs>
          <w:tab w:val="num" w:pos="1277"/>
        </w:tabs>
        <w:ind w:left="1277" w:hanging="567"/>
      </w:pPr>
      <w:rPr/>
    </w:lvl>
    <w:lvl w:ilvl="4">
      <w:start w:val="1"/>
      <w:numFmt w:val="lowerLetter"/>
      <w:lvlText w:val="%5)"/>
      <w:lvlJc w:val="left"/>
      <w:pPr>
        <w:tabs>
          <w:tab w:val="num" w:pos="1718"/>
        </w:tabs>
        <w:ind w:left="1718" w:hanging="1008"/>
      </w:pPr>
      <w:rPr/>
    </w:lvl>
    <w:lvl w:ilvl="5">
      <w:start w:val="1"/>
      <w:numFmt w:val="decimal"/>
      <w:lvlText w:val="%1.%2.%3.%4.%5.%6."/>
      <w:lvlJc w:val="left"/>
      <w:pPr>
        <w:tabs>
          <w:tab w:val="num" w:pos="2592"/>
        </w:tabs>
        <w:ind w:left="2592" w:hanging="1152"/>
      </w:pPr>
      <w:rPr/>
    </w:lvl>
    <w:lvl w:ilvl="6">
      <w:start w:val="1"/>
      <w:numFmt w:val="decimal"/>
      <w:lvlText w:val="%1.%2.%3.%4.%5.%6.%7."/>
      <w:lvlJc w:val="left"/>
      <w:pPr>
        <w:tabs>
          <w:tab w:val="num" w:pos="2736"/>
        </w:tabs>
        <w:ind w:left="2736" w:hanging="1296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024"/>
        </w:tabs>
        <w:ind w:left="3024" w:hanging="1584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i w:val="false"/>
        <w:rFonts w:ascii="Garamond" w:hAnsi="Garamond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1211" w:hanging="360"/>
      </w:pPr>
      <w:rPr>
        <w:rFonts w:ascii="Symbol" w:hAnsi="Symbol" w:cs="Symbol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3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8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0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24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96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07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  <w:rPr>
        <w:rFonts w:ascii="Times New Roman" w:hAnsi="Times New Roman" w:eastAsia="Calibri" w:cs="Times New Roman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46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1724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942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738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316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534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752" w:hanging="144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dstrike w:val="false"/>
        <w:strike w:val="false"/>
        <w:sz w:val="22"/>
        <w:i w:val="false"/>
        <w:b w:val="false"/>
        <w:szCs w:val="22"/>
        <w:color w:val="auto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727" w:hanging="450"/>
      </w:pPr>
      <w:rPr>
        <w:sz w:val="22"/>
        <w:b w:val="false"/>
        <w:szCs w:val="22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2" w:hanging="720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42" w:hanging="720"/>
      </w:pPr>
      <w:rPr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662" w:hanging="1080"/>
      </w:pPr>
      <w:rPr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22" w:hanging="1080"/>
      </w:pPr>
      <w:rPr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382" w:hanging="108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2" w:hanging="144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462" w:hanging="1440"/>
      </w:pPr>
      <w:rPr>
        <w:sz w:val="28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0"/>
        </w:tabs>
        <w:ind w:left="347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397"/>
        </w:tabs>
        <w:ind w:left="0" w:hanging="0"/>
      </w:pPr>
      <w:rPr>
        <w:i w:val="false"/>
        <w:b w:val="false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284" w:hanging="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u w:val="none"/>
        <w:b w:val="false"/>
        <w:kern w:val="0"/>
        <w:effect w:val="none"/>
        <w:iCs w:val="false"/>
        <w:bCs w:val="false"/>
        <w:em w:val="none"/>
        <w:vanish w:val="false"/>
        <w:rFonts w:ascii="Times New Roman" w:hAnsi="Times New Roman" w:cs="Times New Roman"/>
        <w:color w:val="000000"/>
        <w14:cntxtAlts>
          <w14:cntxtAlts/>
        </w14:cntxtAlts>
        <w14:glow w14:rad="0">
          <w14:srgbClr w14:val="000000"/>
        </w14:glow>
        <w14:ligatures w14:val="none"/>
        <w14:numForm w14:val="default"/>
        <w14:numSpacing w14:val="default"/>
        <w14:props3d w14:extrusionH="0" w14:contourW="0" w14:prstMaterial="none"/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shadow w14:blurRad="0" w14:dist="0" w14:dir="0" w14:sx="0" w14:sy="0" w14:kx="0" w14:ky="0" w14:algn="none">
          <w14:srgbClr w14:val="000000"/>
        </w14:shadow>
        <w14:stylisticSets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0"/>
        </w:tabs>
        <w:ind w:left="502" w:hanging="360"/>
      </w:pPr>
      <w:rPr>
        <w:rFonts w:ascii="Symbol" w:hAnsi="Symbol" w:cs="Symbol" w:hint="default"/>
        <w:dstrike w:val="false"/>
        <w:strike w:val="false"/>
        <w:sz w:val="22"/>
        <w:i w:val="false"/>
        <w:b w:val="false"/>
        <w:szCs w:val="22"/>
        <w:color w:val="auto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727" w:hanging="450"/>
      </w:pPr>
      <w:rPr>
        <w:sz w:val="22"/>
        <w:b w:val="false"/>
        <w:szCs w:val="22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2" w:hanging="720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42" w:hanging="720"/>
      </w:pPr>
      <w:rPr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662" w:hanging="1080"/>
      </w:pPr>
      <w:rPr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22" w:hanging="1080"/>
      </w:pPr>
      <w:rPr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382" w:hanging="108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2" w:hanging="144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462" w:hanging="1440"/>
      </w:pPr>
      <w:rPr>
        <w:sz w:val="28"/>
      </w:rPr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footnotePr>
    <w:numFmt w:val="decimal"/>
    <w:numRestart w:val="eachPage"/>
    <w:footnote w:id="0"/>
    <w:footnote w:id="1"/>
  </w:footnotePr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Heading1">
    <w:name w:val="Heading 1"/>
    <w:basedOn w:val="Normal"/>
    <w:next w:val="Normal"/>
    <w:link w:val="11"/>
    <w:uiPriority w:val="9"/>
    <w:qFormat/>
    <w:rsid w:val="00bb18d9"/>
    <w:pPr>
      <w:keepNext w:val="true"/>
      <w:keepLines/>
      <w:spacing w:lineRule="auto" w:line="240"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d4745f"/>
    <w:pPr>
      <w:keepNext w:val="true"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3"/>
    <w:uiPriority w:val="9"/>
    <w:qFormat/>
    <w:rsid w:val="00bb18d9"/>
    <w:pPr>
      <w:keepNext w:val="true"/>
      <w:keepLines/>
      <w:spacing w:lineRule="auto" w:line="240" w:before="200" w:after="0"/>
      <w:outlineLvl w:val="2"/>
    </w:pPr>
    <w:rPr>
      <w:rFonts w:ascii="Cambria" w:hAnsi="Cambria"/>
      <w:b/>
      <w:bCs/>
      <w:color w:val="4F81BD"/>
      <w:sz w:val="20"/>
      <w:szCs w:val="20"/>
    </w:rPr>
  </w:style>
  <w:style w:type="paragraph" w:styleId="Heading4">
    <w:name w:val="Heading 4"/>
    <w:basedOn w:val="Normal"/>
    <w:next w:val="Normal"/>
    <w:link w:val="4"/>
    <w:uiPriority w:val="9"/>
    <w:qFormat/>
    <w:rsid w:val="00bb18d9"/>
    <w:pPr>
      <w:keepNext w:val="true"/>
      <w:keepLines/>
      <w:spacing w:lineRule="auto" w:line="240" w:before="200" w:after="0"/>
      <w:outlineLvl w:val="3"/>
    </w:pPr>
    <w:rPr>
      <w:rFonts w:ascii="Cambria" w:hAnsi="Cambria"/>
      <w:b/>
      <w:bCs/>
      <w:i/>
      <w:iCs/>
      <w:color w:val="4F81BD"/>
      <w:sz w:val="20"/>
      <w:szCs w:val="20"/>
    </w:rPr>
  </w:style>
  <w:style w:type="paragraph" w:styleId="Heading5">
    <w:name w:val="Heading 5"/>
    <w:basedOn w:val="Normal"/>
    <w:next w:val="Normal"/>
    <w:link w:val="5"/>
    <w:uiPriority w:val="9"/>
    <w:qFormat/>
    <w:rsid w:val="00bb18d9"/>
    <w:pPr>
      <w:keepNext w:val="true"/>
      <w:keepLines/>
      <w:spacing w:lineRule="auto" w:line="240" w:before="200" w:after="0"/>
      <w:outlineLvl w:val="4"/>
    </w:pPr>
    <w:rPr>
      <w:rFonts w:ascii="Cambria" w:hAnsi="Cambria"/>
      <w:color w:val="243F60"/>
      <w:sz w:val="20"/>
      <w:szCs w:val="20"/>
    </w:rPr>
  </w:style>
  <w:style w:type="paragraph" w:styleId="Heading6">
    <w:name w:val="Heading 6"/>
    <w:basedOn w:val="Normal"/>
    <w:next w:val="Normal"/>
    <w:link w:val="6"/>
    <w:uiPriority w:val="9"/>
    <w:qFormat/>
    <w:rsid w:val="00bb18d9"/>
    <w:pPr>
      <w:keepNext w:val="true"/>
      <w:keepLines/>
      <w:spacing w:lineRule="auto" w:line="240" w:before="200" w:after="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Heading7">
    <w:name w:val="Heading 7"/>
    <w:basedOn w:val="Normal"/>
    <w:next w:val="Normal"/>
    <w:link w:val="7"/>
    <w:uiPriority w:val="9"/>
    <w:qFormat/>
    <w:rsid w:val="00bb18d9"/>
    <w:pPr>
      <w:keepNext w:val="true"/>
      <w:keepLines/>
      <w:spacing w:lineRule="auto" w:line="240" w:before="200" w:after="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Heading8">
    <w:name w:val="Heading 8"/>
    <w:basedOn w:val="Normal"/>
    <w:next w:val="Normal"/>
    <w:link w:val="8"/>
    <w:uiPriority w:val="9"/>
    <w:qFormat/>
    <w:rsid w:val="00bb18d9"/>
    <w:pPr>
      <w:keepNext w:val="true"/>
      <w:keepLines/>
      <w:spacing w:lineRule="auto" w:line="240" w:before="200" w:after="0"/>
      <w:outlineLvl w:val="7"/>
    </w:pPr>
    <w:rPr>
      <w:rFonts w:ascii="Cambria" w:hAnsi="Cambria"/>
      <w:color w:val="4F81BD"/>
      <w:sz w:val="20"/>
      <w:szCs w:val="20"/>
    </w:rPr>
  </w:style>
  <w:style w:type="paragraph" w:styleId="Heading9">
    <w:name w:val="Heading 9"/>
    <w:basedOn w:val="Normal"/>
    <w:next w:val="Normal"/>
    <w:link w:val="9"/>
    <w:uiPriority w:val="9"/>
    <w:qFormat/>
    <w:rsid w:val="00bb18d9"/>
    <w:pPr>
      <w:keepNext w:val="true"/>
      <w:keepLines/>
      <w:spacing w:lineRule="auto" w:line="240"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qFormat/>
    <w:rsid w:val="00cb04da"/>
    <w:rPr>
      <w:sz w:val="16"/>
      <w:szCs w:val="16"/>
    </w:rPr>
  </w:style>
  <w:style w:type="character" w:styleId="Style" w:customStyle="1">
    <w:name w:val="Текст примечания Знак"/>
    <w:link w:val="Annotationtext"/>
    <w:qFormat/>
    <w:rsid w:val="00cb04da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" w:customStyle="1">
    <w:name w:val="Текст выноски Знак"/>
    <w:link w:val="BalloonText"/>
    <w:uiPriority w:val="99"/>
    <w:semiHidden/>
    <w:qFormat/>
    <w:rsid w:val="00cb04da"/>
    <w:rPr>
      <w:rFonts w:ascii="Tahoma" w:hAnsi="Tahoma" w:cs="Tahoma"/>
      <w:sz w:val="16"/>
      <w:szCs w:val="16"/>
    </w:rPr>
  </w:style>
  <w:style w:type="character" w:styleId="2" w:customStyle="1">
    <w:name w:val="Заголовок 2 Знак"/>
    <w:uiPriority w:val="9"/>
    <w:qFormat/>
    <w:rsid w:val="00d4745f"/>
    <w:rPr>
      <w:rFonts w:ascii="Cambria" w:hAnsi="Cambria" w:eastAsia="Times New Roman" w:cs="Times New Roman"/>
      <w:b/>
      <w:bCs/>
      <w:color w:val="4F81BD"/>
      <w:sz w:val="26"/>
      <w:szCs w:val="26"/>
    </w:rPr>
  </w:style>
  <w:style w:type="character" w:styleId="Hyperlink">
    <w:name w:val="Hyperlink"/>
    <w:uiPriority w:val="99"/>
    <w:rsid w:val="00d4745f"/>
    <w:rPr>
      <w:color w:val="0000FF"/>
      <w:u w:val="single"/>
    </w:rPr>
  </w:style>
  <w:style w:type="character" w:styleId="Apple-style-span" w:customStyle="1">
    <w:name w:val="apple-style-span"/>
    <w:basedOn w:val="DefaultParagraphFont"/>
    <w:qFormat/>
    <w:rsid w:val="00b4339d"/>
    <w:rPr/>
  </w:style>
  <w:style w:type="character" w:styleId="Apple-converted-space" w:customStyle="1">
    <w:name w:val="apple-converted-space"/>
    <w:basedOn w:val="DefaultParagraphFont"/>
    <w:qFormat/>
    <w:rsid w:val="00b4339d"/>
    <w:rPr/>
  </w:style>
  <w:style w:type="character" w:styleId="Style2" w:customStyle="1">
    <w:name w:val="Текст сноски Знак"/>
    <w:uiPriority w:val="99"/>
    <w:qFormat/>
    <w:rsid w:val="0080406e"/>
    <w:rPr>
      <w:rFonts w:ascii="Times New Roman" w:hAnsi="Times New Roman" w:eastAsia="Calibri" w:cs="Times New Roman"/>
      <w:sz w:val="20"/>
      <w:szCs w:val="20"/>
      <w:lang w:eastAsia="ru-RU"/>
    </w:rPr>
  </w:style>
  <w:style w:type="character" w:styleId="Style3">
    <w:name w:val="Символ сноски"/>
    <w:uiPriority w:val="99"/>
    <w:unhideWhenUsed/>
    <w:qFormat/>
    <w:rsid w:val="0080406e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1" w:customStyle="1">
    <w:name w:val="Подпункт Знак1"/>
    <w:link w:val="Style24"/>
    <w:qFormat/>
    <w:locked/>
    <w:rsid w:val="00192f26"/>
    <w:rPr>
      <w:rFonts w:ascii="Times New Roman" w:hAnsi="Times New Roman"/>
      <w:b/>
      <w:sz w:val="28"/>
    </w:rPr>
  </w:style>
  <w:style w:type="character" w:styleId="Style4" w:customStyle="1">
    <w:name w:val="Верхний колонтитул Знак"/>
    <w:basedOn w:val="DefaultParagraphFont"/>
    <w:uiPriority w:val="99"/>
    <w:qFormat/>
    <w:rsid w:val="00ff6229"/>
    <w:rPr/>
  </w:style>
  <w:style w:type="character" w:styleId="Style5" w:customStyle="1">
    <w:name w:val="Нижний колонтитул Знак"/>
    <w:basedOn w:val="DefaultParagraphFont"/>
    <w:uiPriority w:val="99"/>
    <w:qFormat/>
    <w:rsid w:val="00ff6229"/>
    <w:rPr/>
  </w:style>
  <w:style w:type="character" w:styleId="Linenumber">
    <w:name w:val="line number"/>
    <w:basedOn w:val="DefaultParagraphFont"/>
    <w:uiPriority w:val="99"/>
    <w:semiHidden/>
    <w:unhideWhenUsed/>
    <w:qFormat/>
    <w:rsid w:val="00ff6229"/>
    <w:rPr/>
  </w:style>
  <w:style w:type="character" w:styleId="Style6" w:customStyle="1">
    <w:name w:val="Схема документа Знак"/>
    <w:link w:val="DocumentMap"/>
    <w:uiPriority w:val="99"/>
    <w:semiHidden/>
    <w:qFormat/>
    <w:rsid w:val="0040689f"/>
    <w:rPr>
      <w:rFonts w:ascii="Tahoma" w:hAnsi="Tahoma" w:cs="Tahoma"/>
      <w:sz w:val="16"/>
      <w:szCs w:val="16"/>
    </w:rPr>
  </w:style>
  <w:style w:type="character" w:styleId="11" w:customStyle="1">
    <w:name w:val="Заголовок 1 Знак"/>
    <w:uiPriority w:val="9"/>
    <w:qFormat/>
    <w:rsid w:val="00bb18d9"/>
    <w:rPr>
      <w:rFonts w:ascii="Cambria" w:hAnsi="Cambria" w:eastAsia="Times New Roman" w:cs="Times New Roman"/>
      <w:b/>
      <w:bCs/>
      <w:color w:val="365F91"/>
      <w:sz w:val="28"/>
      <w:szCs w:val="28"/>
    </w:rPr>
  </w:style>
  <w:style w:type="character" w:styleId="3" w:customStyle="1">
    <w:name w:val="Заголовок 3 Знак"/>
    <w:uiPriority w:val="9"/>
    <w:qFormat/>
    <w:rsid w:val="00bb18d9"/>
    <w:rPr>
      <w:rFonts w:ascii="Cambria" w:hAnsi="Cambria" w:eastAsia="Times New Roman" w:cs="Times New Roman"/>
      <w:b/>
      <w:bCs/>
      <w:color w:val="4F81BD"/>
      <w:sz w:val="20"/>
      <w:szCs w:val="20"/>
    </w:rPr>
  </w:style>
  <w:style w:type="character" w:styleId="4" w:customStyle="1">
    <w:name w:val="Заголовок 4 Знак"/>
    <w:uiPriority w:val="9"/>
    <w:qFormat/>
    <w:rsid w:val="00bb18d9"/>
    <w:rPr>
      <w:rFonts w:ascii="Cambria" w:hAnsi="Cambria" w:eastAsia="Times New Roman" w:cs="Times New Roman"/>
      <w:b/>
      <w:bCs/>
      <w:i/>
      <w:iCs/>
      <w:color w:val="4F81BD"/>
      <w:sz w:val="20"/>
      <w:szCs w:val="20"/>
    </w:rPr>
  </w:style>
  <w:style w:type="character" w:styleId="5" w:customStyle="1">
    <w:name w:val="Заголовок 5 Знак"/>
    <w:uiPriority w:val="9"/>
    <w:qFormat/>
    <w:rsid w:val="00bb18d9"/>
    <w:rPr>
      <w:rFonts w:ascii="Cambria" w:hAnsi="Cambria" w:eastAsia="Times New Roman" w:cs="Times New Roman"/>
      <w:color w:val="243F60"/>
      <w:sz w:val="20"/>
      <w:szCs w:val="20"/>
    </w:rPr>
  </w:style>
  <w:style w:type="character" w:styleId="6" w:customStyle="1">
    <w:name w:val="Заголовок 6 Знак"/>
    <w:uiPriority w:val="9"/>
    <w:qFormat/>
    <w:rsid w:val="00bb18d9"/>
    <w:rPr>
      <w:rFonts w:ascii="Cambria" w:hAnsi="Cambria" w:eastAsia="Times New Roman" w:cs="Times New Roman"/>
      <w:i/>
      <w:iCs/>
      <w:color w:val="243F60"/>
      <w:sz w:val="20"/>
      <w:szCs w:val="20"/>
    </w:rPr>
  </w:style>
  <w:style w:type="character" w:styleId="7" w:customStyle="1">
    <w:name w:val="Заголовок 7 Знак"/>
    <w:uiPriority w:val="9"/>
    <w:qFormat/>
    <w:rsid w:val="00bb18d9"/>
    <w:rPr>
      <w:rFonts w:ascii="Cambria" w:hAnsi="Cambria" w:eastAsia="Times New Roman" w:cs="Times New Roman"/>
      <w:i/>
      <w:iCs/>
      <w:color w:val="404040"/>
      <w:sz w:val="20"/>
      <w:szCs w:val="20"/>
    </w:rPr>
  </w:style>
  <w:style w:type="character" w:styleId="8" w:customStyle="1">
    <w:name w:val="Заголовок 8 Знак"/>
    <w:uiPriority w:val="9"/>
    <w:qFormat/>
    <w:rsid w:val="00bb18d9"/>
    <w:rPr>
      <w:rFonts w:ascii="Cambria" w:hAnsi="Cambria" w:eastAsia="Times New Roman" w:cs="Times New Roman"/>
      <w:color w:val="4F81BD"/>
      <w:sz w:val="20"/>
      <w:szCs w:val="20"/>
    </w:rPr>
  </w:style>
  <w:style w:type="character" w:styleId="9" w:customStyle="1">
    <w:name w:val="Заголовок 9 Знак"/>
    <w:uiPriority w:val="9"/>
    <w:qFormat/>
    <w:rsid w:val="00bb18d9"/>
    <w:rPr>
      <w:rFonts w:ascii="Cambria" w:hAnsi="Cambria" w:eastAsia="Times New Roman" w:cs="Times New Roman"/>
      <w:i/>
      <w:iCs/>
      <w:color w:val="404040"/>
      <w:sz w:val="20"/>
      <w:szCs w:val="20"/>
    </w:rPr>
  </w:style>
  <w:style w:type="character" w:styleId="Style7" w:customStyle="1">
    <w:name w:val="Название Знак"/>
    <w:link w:val="15"/>
    <w:uiPriority w:val="10"/>
    <w:qFormat/>
    <w:rsid w:val="00bb18d9"/>
    <w:rPr>
      <w:rFonts w:ascii="Cambria" w:hAnsi="Cambria" w:eastAsia="Times New Roman" w:cs="Times New Roman"/>
      <w:color w:val="17365D"/>
      <w:spacing w:val="5"/>
      <w:kern w:val="2"/>
      <w:sz w:val="52"/>
      <w:szCs w:val="52"/>
    </w:rPr>
  </w:style>
  <w:style w:type="character" w:styleId="Style8" w:customStyle="1">
    <w:name w:val="Подзаголовок Знак"/>
    <w:uiPriority w:val="11"/>
    <w:qFormat/>
    <w:rsid w:val="00bb18d9"/>
    <w:rPr>
      <w:rFonts w:ascii="Cambria" w:hAnsi="Cambria" w:eastAsia="Times New Roman" w:cs="Times New Roman"/>
      <w:i/>
      <w:iCs/>
      <w:color w:val="4F81BD"/>
      <w:spacing w:val="15"/>
      <w:sz w:val="24"/>
      <w:szCs w:val="24"/>
    </w:rPr>
  </w:style>
  <w:style w:type="character" w:styleId="Strong">
    <w:name w:val="Strong"/>
    <w:uiPriority w:val="22"/>
    <w:qFormat/>
    <w:rsid w:val="00bb18d9"/>
    <w:rPr>
      <w:b/>
      <w:bCs/>
    </w:rPr>
  </w:style>
  <w:style w:type="character" w:styleId="Emphasis">
    <w:name w:val="Emphasis"/>
    <w:uiPriority w:val="20"/>
    <w:qFormat/>
    <w:rsid w:val="00bb18d9"/>
    <w:rPr>
      <w:i/>
      <w:iCs/>
    </w:rPr>
  </w:style>
  <w:style w:type="character" w:styleId="21" w:customStyle="1">
    <w:name w:val="Цитата 2 Знак"/>
    <w:link w:val="Quote"/>
    <w:uiPriority w:val="29"/>
    <w:qFormat/>
    <w:rsid w:val="00bb18d9"/>
    <w:rPr>
      <w:rFonts w:ascii="Calibri" w:hAnsi="Calibri" w:eastAsia="Calibri" w:cs="Times New Roman"/>
      <w:i/>
      <w:iCs/>
      <w:color w:val="000000"/>
      <w:sz w:val="20"/>
      <w:szCs w:val="20"/>
    </w:rPr>
  </w:style>
  <w:style w:type="character" w:styleId="Style9" w:customStyle="1">
    <w:name w:val="Выделенная цитата Знак"/>
    <w:link w:val="IntenseQuote"/>
    <w:uiPriority w:val="30"/>
    <w:qFormat/>
    <w:rsid w:val="00bb18d9"/>
    <w:rPr>
      <w:rFonts w:ascii="Calibri" w:hAnsi="Calibri" w:eastAsia="Calibri" w:cs="Times New Roman"/>
      <w:b/>
      <w:bCs/>
      <w:i/>
      <w:iCs/>
      <w:color w:val="4F81BD"/>
      <w:sz w:val="20"/>
      <w:szCs w:val="20"/>
    </w:rPr>
  </w:style>
  <w:style w:type="character" w:styleId="SubtleEmphasis">
    <w:name w:val="Subtle Emphasis"/>
    <w:uiPriority w:val="19"/>
    <w:qFormat/>
    <w:rsid w:val="00bb18d9"/>
    <w:rPr>
      <w:i/>
      <w:iCs/>
      <w:color w:val="808080"/>
    </w:rPr>
  </w:style>
  <w:style w:type="character" w:styleId="IntenseEmphasis">
    <w:name w:val="Intense Emphasis"/>
    <w:uiPriority w:val="21"/>
    <w:qFormat/>
    <w:rsid w:val="00bb18d9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bb18d9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bb18d9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bb18d9"/>
    <w:rPr>
      <w:b/>
      <w:bCs/>
      <w:smallCaps/>
      <w:spacing w:val="5"/>
    </w:rPr>
  </w:style>
  <w:style w:type="character" w:styleId="Style10" w:customStyle="1">
    <w:name w:val="Электронная подпись Знак"/>
    <w:link w:val="E-mailSignature"/>
    <w:uiPriority w:val="99"/>
    <w:semiHidden/>
    <w:qFormat/>
    <w:rsid w:val="00bb18d9"/>
    <w:rPr>
      <w:rFonts w:ascii="Times New Roman" w:hAnsi="Times New Roman" w:eastAsia="Calibri" w:cs="Times New Roman"/>
      <w:sz w:val="24"/>
      <w:szCs w:val="24"/>
      <w:lang w:eastAsia="ru-RU"/>
    </w:rPr>
  </w:style>
  <w:style w:type="character" w:styleId="Style11" w:customStyle="1">
    <w:name w:val="Тема примечания Знак"/>
    <w:link w:val="Annotationsubject"/>
    <w:semiHidden/>
    <w:qFormat/>
    <w:rsid w:val="00bb18d9"/>
    <w:rPr>
      <w:rFonts w:ascii="Times New Roman" w:hAnsi="Times New Roman" w:eastAsia="Calibri" w:cs="Times New Roman"/>
      <w:b/>
      <w:bCs/>
      <w:sz w:val="20"/>
      <w:szCs w:val="20"/>
      <w:lang w:eastAsia="ru-RU"/>
    </w:rPr>
  </w:style>
  <w:style w:type="character" w:styleId="Style12" w:customStyle="1">
    <w:name w:val="Основной текст с отступом Знак"/>
    <w:qFormat/>
    <w:rsid w:val="008757e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FollowedHyperlink">
    <w:name w:val="FollowedHyperlink"/>
    <w:uiPriority w:val="99"/>
    <w:semiHidden/>
    <w:unhideWhenUsed/>
    <w:rsid w:val="00b211e3"/>
    <w:rPr>
      <w:color w:val="954F72"/>
      <w:u w:val="single"/>
    </w:rPr>
  </w:style>
  <w:style w:type="character" w:styleId="Style13" w:customStyle="1">
    <w:name w:val="Абзац списка Знак"/>
    <w:link w:val="ListParagraph"/>
    <w:uiPriority w:val="34"/>
    <w:qFormat/>
    <w:rsid w:val="00253374"/>
    <w:rPr>
      <w:sz w:val="22"/>
      <w:szCs w:val="22"/>
    </w:rPr>
  </w:style>
  <w:style w:type="character" w:styleId="61" w:customStyle="1">
    <w:name w:val="Основной текст (6)_"/>
    <w:basedOn w:val="DefaultParagraphFont"/>
    <w:link w:val="62"/>
    <w:qFormat/>
    <w:rsid w:val="00310980"/>
    <w:rPr>
      <w:rFonts w:ascii="Times New Roman" w:hAnsi="Times New Roman"/>
      <w:shd w:fill="FFFFFF" w:val="clear"/>
    </w:rPr>
  </w:style>
  <w:style w:type="character" w:styleId="Style14" w:customStyle="1">
    <w:name w:val="Колонтитул_"/>
    <w:basedOn w:val="DefaultParagraphFont"/>
    <w:link w:val="Style28"/>
    <w:qFormat/>
    <w:rsid w:val="006d08bc"/>
    <w:rPr>
      <w:rFonts w:ascii="Times New Roman" w:hAnsi="Times New Roman"/>
      <w:shd w:fill="FFFFFF" w:val="clear"/>
    </w:rPr>
  </w:style>
  <w:style w:type="character" w:styleId="Style15" w:customStyle="1">
    <w:name w:val="комментарий"/>
    <w:qFormat/>
    <w:rsid w:val="008d2ec1"/>
    <w:rPr>
      <w:b/>
      <w:i/>
      <w:shd w:fill="FFFF99" w:val="clear"/>
    </w:rPr>
  </w:style>
  <w:style w:type="character" w:styleId="ConsPlusNormal" w:customStyle="1">
    <w:name w:val="ConsPlusNormal Знак"/>
    <w:link w:val="ConsPlusNormal1"/>
    <w:qFormat/>
    <w:rsid w:val="00170c47"/>
    <w:rPr>
      <w:rFonts w:ascii="Arial" w:hAnsi="Arial" w:cs="Arial"/>
    </w:rPr>
  </w:style>
  <w:style w:type="character" w:styleId="12" w:customStyle="1">
    <w:name w:val="Абзац списка Знак1"/>
    <w:basedOn w:val="DefaultParagraphFont"/>
    <w:uiPriority w:val="34"/>
    <w:qFormat/>
    <w:rsid w:val="00a270f3"/>
    <w:rPr>
      <w:rFonts w:ascii="Calibri" w:hAnsi="Calibri"/>
      <w:sz w:val="22"/>
    </w:rPr>
  </w:style>
  <w:style w:type="character" w:styleId="Style16" w:customStyle="1">
    <w:name w:val="РГ_номер текста табл Знак"/>
    <w:basedOn w:val="12"/>
    <w:link w:val="Style33"/>
    <w:qFormat/>
    <w:rsid w:val="0027201f"/>
    <w:rPr>
      <w:rFonts w:ascii="Calibri" w:hAnsi="Calibri" w:eastAsia="Calibri" w:cs="Calibri" w:asciiTheme="minorHAnsi" w:cstheme="minorHAnsi" w:hAnsiTheme="minorHAnsi"/>
      <w:sz w:val="24"/>
      <w:szCs w:val="22"/>
      <w:lang w:eastAsia="en-US"/>
    </w:rPr>
  </w:style>
  <w:style w:type="character" w:styleId="Style17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/>
  </w:style>
  <w:style w:type="paragraph" w:styleId="ListParagraph">
    <w:name w:val="List Paragraph"/>
    <w:basedOn w:val="Normal"/>
    <w:link w:val="Style13"/>
    <w:uiPriority w:val="34"/>
    <w:qFormat/>
    <w:rsid w:val="00141d91"/>
    <w:pPr>
      <w:spacing w:before="0" w:after="200"/>
      <w:ind w:left="720" w:hanging="0"/>
      <w:contextualSpacing/>
    </w:pPr>
    <w:rPr/>
  </w:style>
  <w:style w:type="paragraph" w:styleId="Annotationtext">
    <w:name w:val="annotation text"/>
    <w:basedOn w:val="Normal"/>
    <w:link w:val="Style"/>
    <w:qFormat/>
    <w:rsid w:val="00cb04da"/>
    <w:pPr>
      <w:spacing w:lineRule="auto" w:line="240" w:before="0" w:after="0"/>
    </w:pPr>
    <w:rPr>
      <w:rFonts w:ascii="Times New Roman" w:hAnsi="Times New Roman"/>
      <w:sz w:val="20"/>
      <w:szCs w:val="20"/>
    </w:rPr>
  </w:style>
  <w:style w:type="paragraph" w:styleId="BalloonText">
    <w:name w:val="Balloon Text"/>
    <w:basedOn w:val="Normal"/>
    <w:link w:val="Style1"/>
    <w:semiHidden/>
    <w:unhideWhenUsed/>
    <w:qFormat/>
    <w:rsid w:val="00cb04da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0" w:customStyle="1">
    <w:name w:val="Обычный+ без отступа"/>
    <w:basedOn w:val="Normal"/>
    <w:qFormat/>
    <w:rsid w:val="000a41f8"/>
    <w:pPr>
      <w:spacing w:lineRule="auto" w:line="360" w:before="120" w:after="0"/>
      <w:jc w:val="both"/>
    </w:pPr>
    <w:rPr>
      <w:rFonts w:ascii="Times New Roman" w:hAnsi="Times New Roman" w:eastAsia="MS Mincho"/>
      <w:sz w:val="28"/>
      <w:szCs w:val="28"/>
    </w:rPr>
  </w:style>
  <w:style w:type="paragraph" w:styleId="Style21" w:customStyle="1">
    <w:name w:val="Таблица шапка"/>
    <w:basedOn w:val="Normal"/>
    <w:qFormat/>
    <w:rsid w:val="008b7e3f"/>
    <w:pPr>
      <w:keepNext w:val="true"/>
      <w:spacing w:lineRule="auto" w:line="240" w:before="40" w:after="40"/>
      <w:ind w:left="57" w:right="57" w:hanging="0"/>
    </w:pPr>
    <w:rPr>
      <w:rFonts w:ascii="Times New Roman" w:hAnsi="Times New Roman"/>
      <w:sz w:val="18"/>
      <w:szCs w:val="18"/>
    </w:rPr>
  </w:style>
  <w:style w:type="paragraph" w:styleId="Style22" w:customStyle="1">
    <w:name w:val="Текст таблицы"/>
    <w:basedOn w:val="Normal"/>
    <w:qFormat/>
    <w:rsid w:val="008b7e3f"/>
    <w:pPr>
      <w:spacing w:lineRule="auto" w:line="240" w:before="40" w:after="40"/>
      <w:ind w:left="57" w:right="57" w:hanging="0"/>
    </w:pPr>
    <w:rPr>
      <w:rFonts w:ascii="Times New Roman" w:hAnsi="Times New Roman"/>
      <w:sz w:val="24"/>
      <w:szCs w:val="24"/>
    </w:rPr>
  </w:style>
  <w:style w:type="paragraph" w:styleId="Style23" w:customStyle="1">
    <w:name w:val="Пункт Знак"/>
    <w:basedOn w:val="Normal"/>
    <w:qFormat/>
    <w:rsid w:val="00112ebd"/>
    <w:pPr>
      <w:numPr>
        <w:ilvl w:val="1"/>
        <w:numId w:val="1"/>
      </w:numPr>
      <w:tabs>
        <w:tab w:val="clear" w:pos="709"/>
        <w:tab w:val="left" w:pos="851" w:leader="none"/>
        <w:tab w:val="left" w:pos="1134" w:leader="none"/>
      </w:tabs>
      <w:spacing w:lineRule="auto" w:line="360" w:before="0" w:after="0"/>
      <w:jc w:val="both"/>
    </w:pPr>
    <w:rPr>
      <w:rFonts w:ascii="Times New Roman" w:hAnsi="Times New Roman"/>
      <w:b/>
      <w:sz w:val="28"/>
      <w:szCs w:val="20"/>
    </w:rPr>
  </w:style>
  <w:style w:type="paragraph" w:styleId="Style24" w:customStyle="1">
    <w:name w:val="Подпункт"/>
    <w:basedOn w:val="Style23"/>
    <w:link w:val="1"/>
    <w:qFormat/>
    <w:rsid w:val="00b5006b"/>
    <w:pPr>
      <w:numPr>
        <w:ilvl w:val="2"/>
      </w:numPr>
      <w:tabs>
        <w:tab w:val="clear" w:pos="1134"/>
        <w:tab w:val="left" w:pos="851" w:leader="none"/>
      </w:tabs>
    </w:pPr>
    <w:rPr/>
  </w:style>
  <w:style w:type="paragraph" w:styleId="Style25" w:customStyle="1">
    <w:name w:val="Подподпункт"/>
    <w:basedOn w:val="Style24"/>
    <w:qFormat/>
    <w:rsid w:val="00b5006b"/>
    <w:pPr>
      <w:numPr>
        <w:ilvl w:val="3"/>
      </w:numPr>
      <w:tabs>
        <w:tab w:val="left" w:pos="851" w:leader="none"/>
        <w:tab w:val="left" w:pos="1134" w:leader="none"/>
        <w:tab w:val="left" w:pos="1418" w:leader="none"/>
      </w:tabs>
    </w:pPr>
    <w:rPr/>
  </w:style>
  <w:style w:type="paragraph" w:styleId="Style26" w:customStyle="1">
    <w:name w:val="Подподподпункт"/>
    <w:basedOn w:val="Normal"/>
    <w:qFormat/>
    <w:rsid w:val="00112ebd"/>
    <w:pPr>
      <w:numPr>
        <w:ilvl w:val="4"/>
        <w:numId w:val="1"/>
      </w:numPr>
      <w:tabs>
        <w:tab w:val="clear" w:pos="709"/>
        <w:tab w:val="left" w:pos="1134" w:leader="none"/>
        <w:tab w:val="left" w:pos="1701" w:leader="none"/>
      </w:tabs>
      <w:spacing w:lineRule="auto" w:line="360" w:before="0" w:after="0"/>
      <w:jc w:val="both"/>
    </w:pPr>
    <w:rPr>
      <w:rFonts w:ascii="Times New Roman" w:hAnsi="Times New Roman"/>
      <w:sz w:val="28"/>
      <w:szCs w:val="20"/>
    </w:rPr>
  </w:style>
  <w:style w:type="paragraph" w:styleId="13" w:customStyle="1">
    <w:name w:val="Пункт1"/>
    <w:basedOn w:val="Normal"/>
    <w:qFormat/>
    <w:rsid w:val="00b5006b"/>
    <w:pPr>
      <w:numPr>
        <w:ilvl w:val="0"/>
        <w:numId w:val="1"/>
      </w:numPr>
      <w:spacing w:lineRule="auto" w:line="360" w:before="240" w:after="0"/>
      <w:jc w:val="center"/>
    </w:pPr>
    <w:rPr>
      <w:rFonts w:ascii="Arial" w:hAnsi="Arial"/>
      <w:b/>
      <w:sz w:val="28"/>
      <w:szCs w:val="28"/>
    </w:rPr>
  </w:style>
  <w:style w:type="paragraph" w:styleId="31" w:customStyle="1">
    <w:name w:val="Пункт_3"/>
    <w:basedOn w:val="Normal"/>
    <w:uiPriority w:val="99"/>
    <w:qFormat/>
    <w:rsid w:val="00112ebd"/>
    <w:pPr>
      <w:tabs>
        <w:tab w:val="clear" w:pos="709"/>
        <w:tab w:val="left" w:pos="1134" w:leader="none"/>
      </w:tabs>
      <w:spacing w:lineRule="auto" w:line="360" w:before="0" w:after="0"/>
      <w:ind w:left="1134" w:hanging="1133"/>
      <w:jc w:val="both"/>
    </w:pPr>
    <w:rPr>
      <w:rFonts w:ascii="Times New Roman" w:hAnsi="Times New Roman"/>
      <w:sz w:val="28"/>
      <w:szCs w:val="20"/>
    </w:rPr>
  </w:style>
  <w:style w:type="paragraph" w:styleId="TOC1">
    <w:name w:val="TOC 1"/>
    <w:basedOn w:val="Normal"/>
    <w:next w:val="Normal"/>
    <w:autoRedefine/>
    <w:uiPriority w:val="39"/>
    <w:rsid w:val="00b17e73"/>
    <w:pPr>
      <w:tabs>
        <w:tab w:val="clear" w:pos="709"/>
        <w:tab w:val="right" w:pos="9344" w:leader="dot"/>
      </w:tabs>
      <w:spacing w:lineRule="auto" w:line="240" w:before="0" w:after="0"/>
      <w:jc w:val="center"/>
    </w:pPr>
    <w:rPr>
      <w:rFonts w:ascii="Times New Roman" w:hAnsi="Times New Roman"/>
      <w:b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b87d05"/>
    <w:pPr>
      <w:tabs>
        <w:tab w:val="clear" w:pos="709"/>
        <w:tab w:val="left" w:pos="426" w:leader="none"/>
        <w:tab w:val="left" w:pos="1680" w:leader="none"/>
        <w:tab w:val="right" w:pos="9344" w:leader="dot"/>
        <w:tab w:val="right" w:pos="9639" w:leader="dot"/>
      </w:tabs>
      <w:spacing w:before="0" w:after="0"/>
      <w:ind w:left="220" w:hanging="0"/>
    </w:pPr>
    <w:rPr/>
  </w:style>
  <w:style w:type="paragraph" w:styleId="FootnoteText">
    <w:name w:val="Footnote Text"/>
    <w:basedOn w:val="Normal"/>
    <w:link w:val="Style2"/>
    <w:uiPriority w:val="99"/>
    <w:unhideWhenUsed/>
    <w:rsid w:val="0080406e"/>
    <w:pPr>
      <w:spacing w:lineRule="auto" w:line="240" w:before="0" w:after="0"/>
    </w:pPr>
    <w:rPr>
      <w:rFonts w:ascii="Times New Roman" w:hAnsi="Times New Roman" w:eastAsia="Calibri"/>
      <w:sz w:val="20"/>
      <w:szCs w:val="20"/>
    </w:rPr>
  </w:style>
  <w:style w:type="paragraph" w:styleId="ConsPlusNormal1" w:customStyle="1">
    <w:name w:val="ConsPlusNormal"/>
    <w:link w:val="ConsPlusNormal"/>
    <w:qFormat/>
    <w:rsid w:val="00192f26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Style27" w:customStyle="1">
    <w:name w:val="Таблица"/>
    <w:basedOn w:val="Normal"/>
    <w:qFormat/>
    <w:rsid w:val="00192f26"/>
    <w:pPr>
      <w:spacing w:lineRule="auto" w:line="240" w:before="0" w:after="0"/>
    </w:pPr>
    <w:rPr>
      <w:rFonts w:ascii="Times New Roman" w:hAnsi="Times New Roman"/>
      <w:sz w:val="20"/>
      <w:szCs w:val="20"/>
    </w:rPr>
  </w:style>
  <w:style w:type="paragraph" w:styleId="14" w:customStyle="1">
    <w:name w:val="Абзац списка1"/>
    <w:basedOn w:val="Normal"/>
    <w:qFormat/>
    <w:rsid w:val="00192f26"/>
    <w:pPr>
      <w:spacing w:before="0" w:after="200"/>
      <w:ind w:left="720" w:hanging="0"/>
      <w:contextualSpacing/>
    </w:pPr>
    <w:rPr/>
  </w:style>
  <w:style w:type="paragraph" w:styleId="Style28" w:customStyle="1">
    <w:name w:val="Колонтитул"/>
    <w:basedOn w:val="Normal"/>
    <w:link w:val="Style14"/>
    <w:qFormat/>
    <w:rsid w:val="006d08bc"/>
    <w:pPr>
      <w:widowControl w:val="false"/>
      <w:shd w:val="clear" w:color="auto" w:fill="FFFFFF"/>
      <w:spacing w:lineRule="auto" w:line="240" w:before="0" w:after="0"/>
    </w:pPr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Style4"/>
    <w:uiPriority w:val="99"/>
    <w:unhideWhenUsed/>
    <w:rsid w:val="00ff6229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5"/>
    <w:uiPriority w:val="99"/>
    <w:unhideWhenUsed/>
    <w:rsid w:val="00ff6229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DocumentMap">
    <w:name w:val="Document Map"/>
    <w:basedOn w:val="Normal"/>
    <w:link w:val="Style6"/>
    <w:uiPriority w:val="99"/>
    <w:semiHidden/>
    <w:unhideWhenUsed/>
    <w:qFormat/>
    <w:rsid w:val="0040689f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9" w:customStyle="1">
    <w:name w:val="Знак Знак Знак Знак Знак Знак Знак Знак Знак"/>
    <w:basedOn w:val="Normal"/>
    <w:qFormat/>
    <w:rsid w:val="00bb18d9"/>
    <w:pPr>
      <w:spacing w:lineRule="exact" w:line="240" w:before="0" w:after="160"/>
      <w:jc w:val="both"/>
    </w:pPr>
    <w:rPr>
      <w:rFonts w:ascii="Verdana" w:hAnsi="Verdana" w:cs="Verdana"/>
      <w:lang w:val="en-US"/>
    </w:rPr>
  </w:style>
  <w:style w:type="paragraph" w:styleId="NoSpacing">
    <w:name w:val="No Spacing"/>
    <w:basedOn w:val="Normal"/>
    <w:uiPriority w:val="1"/>
    <w:qFormat/>
    <w:rsid w:val="00bb18d9"/>
    <w:pPr>
      <w:spacing w:lineRule="auto" w:line="360" w:before="0" w:after="0"/>
    </w:pPr>
    <w:rPr>
      <w:rFonts w:ascii="Times New Roman" w:hAnsi="Times New Roman"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bb18d9"/>
    <w:pPr>
      <w:spacing w:lineRule="auto" w:line="240" w:before="0" w:after="0"/>
    </w:pPr>
    <w:rPr>
      <w:rFonts w:ascii="Times New Roman" w:hAnsi="Times New Roman" w:eastAsia="Calibri"/>
      <w:b/>
      <w:bCs/>
      <w:color w:val="4F81BD"/>
      <w:sz w:val="18"/>
      <w:szCs w:val="18"/>
    </w:rPr>
  </w:style>
  <w:style w:type="paragraph" w:styleId="15" w:customStyle="1">
    <w:name w:val="Название1"/>
    <w:basedOn w:val="Normal"/>
    <w:next w:val="Normal"/>
    <w:link w:val="Style7"/>
    <w:uiPriority w:val="10"/>
    <w:qFormat/>
    <w:rsid w:val="00bb18d9"/>
    <w:pPr>
      <w:pBdr>
        <w:bottom w:val="single" w:sz="8" w:space="4" w:color="4F81BD"/>
      </w:pBdr>
      <w:spacing w:lineRule="auto" w:line="240" w:before="0" w:after="300"/>
      <w:contextualSpacing/>
    </w:pPr>
    <w:rPr>
      <w:rFonts w:ascii="Cambria" w:hAnsi="Cambria"/>
      <w:color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tyle8"/>
    <w:uiPriority w:val="11"/>
    <w:qFormat/>
    <w:rsid w:val="00bb18d9"/>
    <w:pPr>
      <w:numPr>
        <w:ilvl w:val="1"/>
      </w:numPr>
      <w:spacing w:lineRule="auto" w:line="240" w:before="0" w:after="0"/>
      <w:ind w:left="1066" w:firstLine="709"/>
    </w:pPr>
    <w:rPr>
      <w:rFonts w:ascii="Cambria" w:hAnsi="Cambria"/>
      <w:i/>
      <w:iCs/>
      <w:color w:val="4F81BD"/>
      <w:spacing w:val="15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bb18d9"/>
    <w:pPr>
      <w:spacing w:lineRule="auto" w:line="240" w:before="0" w:after="0"/>
    </w:pPr>
    <w:rPr>
      <w:rFonts w:eastAsia="Calibri"/>
      <w:i/>
      <w:iCs/>
      <w:color w:val="000000"/>
      <w:sz w:val="20"/>
      <w:szCs w:val="20"/>
    </w:rPr>
  </w:style>
  <w:style w:type="paragraph" w:styleId="IntenseQuote">
    <w:name w:val="Intense Quote"/>
    <w:basedOn w:val="Normal"/>
    <w:next w:val="Normal"/>
    <w:link w:val="Style9"/>
    <w:uiPriority w:val="30"/>
    <w:qFormat/>
    <w:rsid w:val="00bb18d9"/>
    <w:pPr>
      <w:pBdr>
        <w:bottom w:val="single" w:sz="4" w:space="4" w:color="4F81BD"/>
      </w:pBdr>
      <w:spacing w:lineRule="auto" w:line="240" w:before="200" w:after="280"/>
      <w:ind w:left="936" w:right="936" w:hanging="0"/>
    </w:pPr>
    <w:rPr>
      <w:rFonts w:eastAsia="Calibri"/>
      <w:b/>
      <w:bCs/>
      <w:i/>
      <w:iCs/>
      <w:color w:val="4F81BD"/>
      <w:sz w:val="20"/>
      <w:szCs w:val="20"/>
    </w:rPr>
  </w:style>
  <w:style w:type="paragraph" w:styleId="IndexHeading">
    <w:name w:val="Index Heading"/>
    <w:basedOn w:val="Style18"/>
    <w:pPr/>
    <w:rPr/>
  </w:style>
  <w:style w:type="paragraph" w:styleId="TOCHeading">
    <w:name w:val="TOC Heading"/>
    <w:basedOn w:val="Heading1"/>
    <w:next w:val="Normal"/>
    <w:uiPriority w:val="39"/>
    <w:qFormat/>
    <w:rsid w:val="00bb18d9"/>
    <w:pPr>
      <w:outlineLvl w:val="9"/>
    </w:pPr>
    <w:rPr/>
  </w:style>
  <w:style w:type="paragraph" w:styleId="E-mailSignature">
    <w:name w:val="E-mail Signature"/>
    <w:basedOn w:val="Normal"/>
    <w:link w:val="Style10"/>
    <w:uiPriority w:val="99"/>
    <w:semiHidden/>
    <w:unhideWhenUsed/>
    <w:qFormat/>
    <w:rsid w:val="00bb18d9"/>
    <w:pPr>
      <w:spacing w:lineRule="auto" w:line="240" w:before="0" w:after="0"/>
    </w:pPr>
    <w:rPr>
      <w:rFonts w:ascii="Times New Roman" w:hAnsi="Times New Roman" w:eastAsia="Calibri"/>
      <w:sz w:val="24"/>
      <w:szCs w:val="24"/>
    </w:rPr>
  </w:style>
  <w:style w:type="paragraph" w:styleId="Style30" w:customStyle="1">
    <w:name w:val="Знак"/>
    <w:basedOn w:val="Normal"/>
    <w:qFormat/>
    <w:rsid w:val="00bb18d9"/>
    <w:pPr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Annotationsubject">
    <w:name w:val="annotation subject"/>
    <w:basedOn w:val="Annotationtext"/>
    <w:next w:val="Annotationtext"/>
    <w:link w:val="Style11"/>
    <w:semiHidden/>
    <w:qFormat/>
    <w:rsid w:val="00bb18d9"/>
    <w:pPr/>
    <w:rPr>
      <w:rFonts w:eastAsia="Calibri"/>
      <w:b/>
      <w:bCs/>
    </w:rPr>
  </w:style>
  <w:style w:type="paragraph" w:styleId="32" w:customStyle="1">
    <w:name w:val="Нумерованный список ур3"/>
    <w:basedOn w:val="Normal"/>
    <w:qFormat/>
    <w:rsid w:val="00bb18d9"/>
    <w:pPr>
      <w:numPr>
        <w:ilvl w:val="2"/>
        <w:numId w:val="2"/>
      </w:numPr>
      <w:spacing w:lineRule="auto" w:line="240" w:before="0" w:after="0"/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qFormat/>
    <w:rsid w:val="00b5006b"/>
    <w:pPr>
      <w:numPr>
        <w:ilvl w:val="0"/>
        <w:numId w:val="2"/>
      </w:numPr>
      <w:spacing w:lineRule="auto" w:line="240" w:before="120" w:after="0"/>
      <w:jc w:val="both"/>
    </w:pPr>
    <w:rPr>
      <w:rFonts w:ascii="Garamond" w:hAnsi="Garamond"/>
      <w:sz w:val="24"/>
      <w:szCs w:val="20"/>
    </w:rPr>
  </w:style>
  <w:style w:type="paragraph" w:styleId="22" w:customStyle="1">
    <w:name w:val="Нумерованный список ур2"/>
    <w:basedOn w:val="Normal"/>
    <w:qFormat/>
    <w:rsid w:val="00bb18d9"/>
    <w:pPr>
      <w:numPr>
        <w:ilvl w:val="1"/>
        <w:numId w:val="2"/>
      </w:numPr>
      <w:spacing w:lineRule="auto" w:line="240" w:before="120" w:after="0"/>
      <w:jc w:val="both"/>
    </w:pPr>
    <w:rPr>
      <w:rFonts w:ascii="Garamond" w:hAnsi="Garamond"/>
      <w:sz w:val="24"/>
      <w:szCs w:val="20"/>
    </w:rPr>
  </w:style>
  <w:style w:type="paragraph" w:styleId="NormalWeb">
    <w:name w:val="Normal (Web)"/>
    <w:basedOn w:val="Normal"/>
    <w:uiPriority w:val="99"/>
    <w:qFormat/>
    <w:rsid w:val="00bb18d9"/>
    <w:pPr>
      <w:spacing w:lineRule="auto" w:line="240" w:before="30" w:after="30"/>
    </w:pPr>
    <w:rPr>
      <w:rFonts w:ascii="Arial" w:hAnsi="Arial" w:eastAsia="Arial Unicode MS" w:cs="Arial"/>
      <w:color w:val="332E2D"/>
      <w:spacing w:val="2"/>
      <w:sz w:val="24"/>
      <w:szCs w:val="24"/>
    </w:rPr>
  </w:style>
  <w:style w:type="paragraph" w:styleId="Revision">
    <w:name w:val="Revision"/>
    <w:uiPriority w:val="99"/>
    <w:semiHidden/>
    <w:qFormat/>
    <w:rsid w:val="00bb18d9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33" w:customStyle="1">
    <w:name w:val="Знак Знак3 Знак Знак"/>
    <w:basedOn w:val="Normal"/>
    <w:qFormat/>
    <w:rsid w:val="00bb18d9"/>
    <w:pPr>
      <w:spacing w:lineRule="exact" w:line="240" w:before="0" w:after="160"/>
      <w:jc w:val="both"/>
    </w:pPr>
    <w:rPr>
      <w:rFonts w:ascii="Verdana" w:hAnsi="Verdana" w:cs="Verdana"/>
      <w:lang w:val="en-US"/>
    </w:rPr>
  </w:style>
  <w:style w:type="paragraph" w:styleId="Style31" w:customStyle="1">
    <w:name w:val="Пункт"/>
    <w:basedOn w:val="Normal"/>
    <w:qFormat/>
    <w:rsid w:val="00bb18d9"/>
    <w:pPr>
      <w:widowControl w:val="false"/>
      <w:tabs>
        <w:tab w:val="clear" w:pos="709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 w:val="28"/>
      <w:szCs w:val="20"/>
    </w:rPr>
  </w:style>
  <w:style w:type="paragraph" w:styleId="23" w:customStyle="1">
    <w:name w:val="Абзац списка2"/>
    <w:basedOn w:val="Normal"/>
    <w:qFormat/>
    <w:rsid w:val="00bb18d9"/>
    <w:pPr>
      <w:spacing w:before="0" w:after="200"/>
      <w:ind w:left="720" w:hanging="0"/>
      <w:contextualSpacing/>
    </w:pPr>
    <w:rPr/>
  </w:style>
  <w:style w:type="paragraph" w:styleId="BodyTextIndent">
    <w:name w:val="Body Text Indent"/>
    <w:basedOn w:val="Normal"/>
    <w:link w:val="Style12"/>
    <w:rsid w:val="008757e8"/>
    <w:pPr>
      <w:spacing w:lineRule="auto" w:line="240" w:before="0" w:after="120"/>
      <w:ind w:left="283" w:hanging="0"/>
    </w:pPr>
    <w:rPr>
      <w:rFonts w:ascii="Times New Roman" w:hAnsi="Times New Roman"/>
      <w:sz w:val="28"/>
      <w:szCs w:val="28"/>
    </w:rPr>
  </w:style>
  <w:style w:type="paragraph" w:styleId="Style32" w:customStyle="1">
    <w:name w:val="Знак Знак"/>
    <w:basedOn w:val="Normal"/>
    <w:qFormat/>
    <w:rsid w:val="00d30377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bb55ba"/>
    <w:pPr>
      <w:spacing w:before="0" w:after="100"/>
      <w:ind w:left="440" w:hanging="0"/>
    </w:pPr>
    <w:rPr/>
  </w:style>
  <w:style w:type="paragraph" w:styleId="62" w:customStyle="1">
    <w:name w:val="Основной текст (6)"/>
    <w:basedOn w:val="Normal"/>
    <w:link w:val="61"/>
    <w:qFormat/>
    <w:rsid w:val="00310980"/>
    <w:pPr>
      <w:widowControl w:val="false"/>
      <w:shd w:val="clear" w:color="auto" w:fill="FFFFFF"/>
      <w:spacing w:lineRule="auto" w:line="240" w:before="0" w:after="0"/>
      <w:ind w:firstLine="720"/>
      <w:jc w:val="both"/>
    </w:pPr>
    <w:rPr>
      <w:rFonts w:ascii="Times New Roman" w:hAnsi="Times New Roman"/>
      <w:sz w:val="20"/>
      <w:szCs w:val="20"/>
    </w:rPr>
  </w:style>
  <w:style w:type="paragraph" w:styleId="TableListParagraph" w:customStyle="1">
    <w:name w:val="Table List Paragraph"/>
    <w:basedOn w:val="Normal"/>
    <w:qFormat/>
    <w:rsid w:val="00a270f3"/>
    <w:pPr>
      <w:numPr>
        <w:ilvl w:val="0"/>
        <w:numId w:val="7"/>
      </w:numPr>
      <w:tabs>
        <w:tab w:val="clear" w:pos="709"/>
        <w:tab w:val="left" w:pos="360" w:leader="none"/>
      </w:tabs>
      <w:spacing w:lineRule="auto" w:line="240" w:before="0" w:after="0"/>
      <w:jc w:val="both"/>
    </w:pPr>
    <w:rPr>
      <w:rFonts w:ascii="Times New Roman" w:hAnsi="Times New Roman"/>
      <w:sz w:val="24"/>
      <w:szCs w:val="24"/>
    </w:rPr>
  </w:style>
  <w:style w:type="paragraph" w:styleId="Style33" w:customStyle="1">
    <w:name w:val="РГ_номер текста табл"/>
    <w:basedOn w:val="ListParagraph"/>
    <w:link w:val="Style16"/>
    <w:qFormat/>
    <w:rsid w:val="0027201f"/>
    <w:pPr>
      <w:numPr>
        <w:ilvl w:val="0"/>
        <w:numId w:val="8"/>
      </w:numPr>
      <w:spacing w:lineRule="auto" w:line="240" w:before="0" w:after="0"/>
      <w:contextualSpacing/>
      <w:jc w:val="both"/>
    </w:pPr>
    <w:rPr>
      <w:rFonts w:ascii="Calibri" w:hAnsi="Calibri" w:eastAsia="Calibri" w:cs="Calibri" w:asciiTheme="minorHAnsi" w:cstheme="minorHAnsi" w:hAnsiTheme="minorHAnsi"/>
      <w:sz w:val="24"/>
      <w:lang w:eastAsia="en-US"/>
    </w:rPr>
  </w:style>
  <w:style w:type="paragraph" w:styleId="111" w:customStyle="1">
    <w:name w:val="1.1. таблица"/>
    <w:basedOn w:val="Style33"/>
    <w:qFormat/>
    <w:rsid w:val="0027201f"/>
    <w:pPr>
      <w:numPr>
        <w:ilvl w:val="1"/>
      </w:numPr>
      <w:tabs>
        <w:tab w:val="clear" w:pos="709"/>
      </w:tabs>
      <w:ind w:left="1440" w:hanging="36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6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6"/>
    <w:uiPriority w:val="39"/>
    <w:rsid w:val="00b918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footer" Target="footer5.xml"/><Relationship Id="rId7" Type="http://schemas.openxmlformats.org/officeDocument/2006/relationships/footer" Target="footer6.xml"/><Relationship Id="rId8" Type="http://schemas.openxmlformats.org/officeDocument/2006/relationships/footer" Target="footer7.xml"/><Relationship Id="rId9" Type="http://schemas.openxmlformats.org/officeDocument/2006/relationships/footer" Target="footer8.xml"/><Relationship Id="rId10" Type="http://schemas.openxmlformats.org/officeDocument/2006/relationships/footer" Target="footer9.xml"/><Relationship Id="rId11" Type="http://schemas.openxmlformats.org/officeDocument/2006/relationships/footnotes" Target="footnotes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_rels/footnotes.xml.rels><?xml version="1.0" encoding="UTF-8"?>
<Relationships xmlns="http://schemas.openxmlformats.org/package/2006/relationships"><Relationship Id="rId1" Type="http://schemas.openxmlformats.org/officeDocument/2006/relationships/hyperlink" Target="http://grandsmeta82.ru/znaj-kak/grand-smeta-baza-znanij/109-raschet-zatrat-na-energonositeli-elektroenergiyu-toplivo-i-pr-v-grand-smete.html" TargetMode="Externa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4CC624-E9C7-4816-A25B-83593F821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Application>AlterOffice/3.4.0.9$Linux_X86_64 LibreOffice_project/b8daf9e823b1a5463a2f48435ddc2e8696e7d4fc</Application>
  <AppVersion>15.0000</AppVersion>
  <Pages>14</Pages>
  <Words>3431</Words>
  <Characters>23122</Characters>
  <CharactersWithSpaces>27894</CharactersWithSpaces>
  <Paragraphs>416</Paragraphs>
  <Company>####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2024-01-24T10:35:00Z</dcterms:created>
  <dc:creator>Торопов Денис Владимирович</dc:creator>
  <dc:description/>
  <dc:language>ru-RU</dc:language>
  <cp:lastModifiedBy>tsaplindv@corp.gidroogk.com</cp:lastModifiedBy>
  <cp:lastPrinted>2025-01-20T13:40:16Z</cp:lastPrinted>
  <dcterms:modified xsi:type="dcterms:W3CDTF">2026-01-14T08:31:38Z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ID">
    <vt:i4>0</vt:i4>
  </property>
</Properties>
</file>