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widowControl w:val="false"/>
        <w:spacing w:before="0" w:after="120"/>
        <w:ind w:left="-709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Технические требования</w:t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</w:t>
      </w:r>
      <w:r>
        <w:rPr>
          <w:rFonts w:eastAsia="Calibri"/>
          <w:b/>
          <w:bCs/>
          <w:sz w:val="28"/>
          <w:szCs w:val="28"/>
        </w:rPr>
        <w:t xml:space="preserve">на выполнение работ 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eastAsia="Calibri"/>
          <w:b w:val="false"/>
          <w:bCs w:val="false"/>
          <w:sz w:val="28"/>
          <w:szCs w:val="28"/>
        </w:rPr>
        <w:t xml:space="preserve">Лот ...-РЕМ-2026-БурГЭС </w:t>
      </w:r>
      <w:r>
        <w:rPr>
          <w:rFonts w:eastAsia="Calibri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ru-RU" w:bidi="ar-SA"/>
        </w:rPr>
        <w:t xml:space="preserve">ОКПД2 </w:t>
      </w:r>
      <w:r>
        <w:rPr>
          <w:rFonts w:eastAsia="Calibri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8"/>
          <w:szCs w:val="28"/>
          <w:u w:val="none"/>
          <w:em w:val="none"/>
          <w:lang w:val="ru-RU" w:eastAsia="ru-RU" w:bidi="ar-SA"/>
        </w:rPr>
        <w:t>42.11.20.200</w:t>
      </w:r>
      <w:r>
        <w:rPr>
          <w:rFonts w:eastAsia="Calibri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kern w:val="0"/>
          <w:sz w:val="28"/>
          <w:szCs w:val="28"/>
          <w:u w:val="none"/>
          <w:em w:val="none"/>
          <w:lang w:val="ru-RU" w:eastAsia="ru-RU" w:bidi="ar-SA"/>
        </w:rPr>
        <w:t xml:space="preserve"> </w:t>
      </w:r>
      <w:r>
        <w:rPr>
          <w:rFonts w:eastAsia="Calibri"/>
          <w:b w:val="false"/>
          <w:bCs w:val="false"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«</w:t>
      </w:r>
      <w:r>
        <w:rPr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Т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екущий ремонт асфальтобетонного покрытия пристанционной площадки  Бурейской ГЭС</w:t>
      </w:r>
      <w:r>
        <w:rPr>
          <w:rFonts w:eastAsia="Sylfae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»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1652_3732447899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1654_3732447899">
            <w:r>
              <w:rPr>
                <w:webHidden/>
                <w:rStyle w:val="Style14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1656_3732447899">
            <w:r>
              <w:rPr>
                <w:webHidden/>
                <w:rStyle w:val="Style14"/>
                <w:vanish w:val="false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1658_3732447899">
            <w:r>
              <w:rPr>
                <w:webHidden/>
                <w:rStyle w:val="Style14"/>
                <w:vanish w:val="false"/>
              </w:rPr>
              <w:t xml:space="preserve">1.3. </w:t>
            </w:r>
            <w:r>
              <w:rPr>
                <w:rStyle w:val="Style14"/>
                <w:i w:val="false"/>
                <w:iCs w:val="false"/>
              </w:rPr>
              <w:t>Цель выполнения работ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1660_3732447899">
            <w:r>
              <w:rPr>
                <w:webHidden/>
                <w:rStyle w:val="Style14"/>
                <w:vanish w:val="false"/>
              </w:rPr>
              <w:t>1.4. Существующее положение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1664_3732447899">
            <w:r>
              <w:rPr>
                <w:webHidden/>
                <w:rStyle w:val="Style14"/>
                <w:vanish w:val="false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  <w:tab/>
              <w:t>4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1666_3732447899">
            <w:r>
              <w:rPr>
                <w:webHidden/>
                <w:rStyle w:val="Style14"/>
                <w:vanish w:val="false"/>
              </w:rPr>
              <w:t>2. Требования к выполняемым работам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1668_3732447899">
            <w:r>
              <w:rPr>
                <w:webHidden/>
                <w:rStyle w:val="Style14"/>
                <w:vanish w:val="false"/>
              </w:rPr>
              <w:t>2.1. Требования к видам и объемам выполнения работ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</w:rPr>
            <w:t xml:space="preserve">     </w:t>
          </w:r>
          <w:hyperlink w:anchor="__RefHeading___Toc11670_3732447899">
            <w:r>
              <w:rPr>
                <w:webHidden/>
                <w:rStyle w:val="Style14"/>
                <w:vanish w:val="false"/>
              </w:rPr>
              <w:t>2.2.  Требования к срокам выполнения работ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  <w:sz w:val="20"/>
              <w:szCs w:val="20"/>
            </w:rPr>
            <w:t xml:space="preserve">           </w:t>
          </w:r>
          <w:r>
            <w:rPr>
              <w:vanish w:val="false"/>
              <w:sz w:val="20"/>
              <w:szCs w:val="20"/>
            </w:rPr>
            <w:t>2.3.  Требования к качеству работ…………………………………………………………………………………...5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  <w:sz w:val="20"/>
              <w:szCs w:val="20"/>
            </w:rPr>
            <w:t xml:space="preserve">           </w:t>
          </w:r>
          <w:r>
            <w:rPr>
              <w:vanish w:val="false"/>
              <w:sz w:val="20"/>
              <w:szCs w:val="20"/>
            </w:rPr>
            <w:t>2.4.  Требования к организации работ……………………………………………………………………………….</w:t>
          </w:r>
          <w:r>
            <w:rPr>
              <w:vanish w:val="false"/>
              <w:sz w:val="20"/>
              <w:szCs w:val="20"/>
            </w:rPr>
            <w:t>6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  <w:sz w:val="20"/>
              <w:szCs w:val="20"/>
            </w:rPr>
            <w:t xml:space="preserve">           </w:t>
          </w:r>
          <w:r>
            <w:rPr>
              <w:vanish w:val="false"/>
              <w:sz w:val="20"/>
              <w:szCs w:val="20"/>
            </w:rPr>
            <w:t>2.5.  Требования к применяемым при выполнении работ оборудованию и материалам, технологиям,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  <w:sz w:val="20"/>
              <w:szCs w:val="20"/>
            </w:rPr>
            <w:t xml:space="preserve">                   </w:t>
          </w:r>
          <w:r>
            <w:rPr>
              <w:vanish w:val="false"/>
              <w:sz w:val="20"/>
              <w:szCs w:val="20"/>
            </w:rPr>
            <w:t>програмно-аппаратным средствам……………………………………………………………………………..</w:t>
          </w:r>
          <w:r>
            <w:rPr>
              <w:vanish w:val="false"/>
              <w:sz w:val="20"/>
              <w:szCs w:val="20"/>
            </w:rPr>
            <w:t>6</w:t>
          </w:r>
          <w:r>
            <w:rPr>
              <w:vanish w:val="false"/>
              <w:sz w:val="20"/>
              <w:szCs w:val="20"/>
            </w:rPr>
            <w:t xml:space="preserve"> 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  <w:sz w:val="20"/>
              <w:szCs w:val="20"/>
            </w:rPr>
            <w:t xml:space="preserve">           </w:t>
          </w:r>
          <w:r>
            <w:rPr>
              <w:vanish w:val="false"/>
              <w:sz w:val="20"/>
              <w:szCs w:val="20"/>
            </w:rPr>
            <w:t>2.6   Требования к контролю качества работ и материалов………………………………………………………..</w:t>
          </w:r>
          <w:r>
            <w:rPr>
              <w:vanish w:val="false"/>
              <w:sz w:val="20"/>
              <w:szCs w:val="20"/>
            </w:rPr>
            <w:t>7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  <w:sz w:val="20"/>
              <w:szCs w:val="20"/>
            </w:rPr>
            <w:t xml:space="preserve">           </w:t>
          </w:r>
          <w:r>
            <w:rPr>
              <w:vanish w:val="false"/>
              <w:sz w:val="20"/>
              <w:szCs w:val="20"/>
            </w:rPr>
            <w:t>2.7   Требования к персоналу Подрядчика………………………………………………………………………….</w:t>
          </w:r>
          <w:r>
            <w:rPr>
              <w:vanish w:val="false"/>
              <w:sz w:val="20"/>
              <w:szCs w:val="20"/>
            </w:rPr>
            <w:t>7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  <w:sz w:val="20"/>
              <w:szCs w:val="20"/>
            </w:rPr>
            <w:t xml:space="preserve">           </w:t>
          </w:r>
          <w:r>
            <w:rPr>
              <w:vanish w:val="false"/>
              <w:sz w:val="20"/>
              <w:szCs w:val="20"/>
            </w:rPr>
            <w:t>2.8   Требования к безопасности выполнения работ и охране труда……………………………………………...</w:t>
          </w:r>
          <w:r>
            <w:rPr>
              <w:vanish w:val="false"/>
              <w:sz w:val="20"/>
              <w:szCs w:val="20"/>
            </w:rPr>
            <w:t>8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vanish w:val="false"/>
              <w:sz w:val="24"/>
              <w:szCs w:val="24"/>
            </w:rPr>
            <w:t>3. Требования к результатам работ……………………………………………………………….</w:t>
          </w:r>
          <w:r>
            <w:rPr>
              <w:b/>
              <w:bCs/>
              <w:vanish w:val="false"/>
              <w:sz w:val="24"/>
              <w:szCs w:val="24"/>
            </w:rPr>
            <w:t>..8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4. Требования к оформлению документации……………………………………………………...</w:t>
          </w:r>
          <w:r>
            <w:rPr>
              <w:b/>
              <w:bCs/>
              <w:sz w:val="24"/>
              <w:szCs w:val="24"/>
            </w:rPr>
            <w:t>8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5. Требования к ответственности и гарантиям Подрядчика……………………………………</w:t>
          </w:r>
          <w:r>
            <w:rPr>
              <w:b/>
              <w:bCs/>
              <w:sz w:val="24"/>
              <w:szCs w:val="24"/>
            </w:rPr>
            <w:t>9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6. Требования к обязательствам Подрядчика, влияющим на исполнение договора……….</w:t>
          </w:r>
          <w:r>
            <w:rPr>
              <w:b/>
              <w:bCs/>
              <w:sz w:val="24"/>
              <w:szCs w:val="24"/>
            </w:rPr>
            <w:t>.9</w:t>
          </w:r>
        </w:p>
        <w:p>
          <w:pPr>
            <w:pStyle w:val="Normal"/>
            <w:tabs>
              <w:tab w:val="clear" w:pos="720"/>
              <w:tab w:val="right" w:pos="9921" w:leader="dot"/>
            </w:tabs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7. Приложения………………………………………………………………………………………..1</w:t>
          </w:r>
          <w:r>
            <w:rPr>
              <w:b/>
              <w:bCs/>
              <w:sz w:val="24"/>
              <w:szCs w:val="24"/>
            </w:rPr>
            <w:t>0</w:t>
          </w:r>
          <w:r>
            <w:rPr>
              <w:sz w:val="24"/>
              <w:b/>
              <w:szCs w:val="24"/>
              <w:bCs/>
            </w:rPr>
            <w:fldChar w:fldCharType="end"/>
          </w:r>
        </w:p>
      </w:sdtContent>
    </w:sdt>
    <w:p>
      <w:pPr>
        <w:pStyle w:val="TOC1"/>
        <w:tabs>
          <w:tab w:val="clear" w:pos="720"/>
          <w:tab w:val="right" w:pos="9921" w:leader="dot"/>
        </w:tabs>
        <w:rPr>
          <w:vanish w:val="false"/>
        </w:rPr>
      </w:pPr>
      <w:r>
        <w:rPr>
          <w:vanish w:val="false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right="0" w:hanging="0"/>
        <w:jc w:val="center"/>
        <w:rPr>
          <w:caps/>
        </w:rPr>
      </w:pPr>
      <w:bookmarkStart w:id="1" w:name="__RefHeading___Toc11652_3732447899"/>
      <w:bookmarkStart w:id="2" w:name="_Toc51339692"/>
      <w:bookmarkStart w:id="3" w:name="_Toc160466039"/>
      <w:bookmarkEnd w:id="1"/>
      <w:r>
        <w:rPr/>
        <w:t>Общие сведения</w:t>
      </w:r>
      <w:bookmarkEnd w:id="2"/>
      <w:bookmarkEnd w:id="3"/>
    </w:p>
    <w:p>
      <w:pPr>
        <w:pStyle w:val="Normal"/>
        <w:ind w:left="0" w:hanging="0"/>
        <w:jc w:val="center"/>
        <w:rPr>
          <w:caps/>
        </w:rPr>
      </w:pPr>
      <w:r>
        <w:rPr>
          <w:caps/>
        </w:rPr>
      </w:r>
    </w:p>
    <w:p>
      <w:pPr>
        <w:pStyle w:val="Heading4"/>
        <w:numPr>
          <w:ilvl w:val="1"/>
          <w:numId w:val="3"/>
        </w:numPr>
        <w:ind w:left="432" w:right="0" w:hanging="432"/>
        <w:rPr/>
      </w:pPr>
      <w:bookmarkStart w:id="4" w:name="__RefHeading___Toc11654_3732447899"/>
      <w:bookmarkStart w:id="5" w:name="_Toc54646396"/>
      <w:bookmarkStart w:id="6" w:name="_Toc46743505"/>
      <w:bookmarkEnd w:id="4"/>
      <w:r>
        <w:rPr/>
        <w:t>Обозначения и сокращения</w:t>
      </w:r>
      <w:bookmarkEnd w:id="5"/>
      <w:bookmarkEnd w:id="6"/>
    </w:p>
    <w:p>
      <w:pPr>
        <w:pStyle w:val="Normal"/>
        <w:rPr/>
      </w:pPr>
      <w:r>
        <w:rPr/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244"/>
        <w:gridCol w:w="5538"/>
      </w:tblGrid>
      <w:tr>
        <w:trPr>
          <w:trHeight w:val="556" w:hRule="atLeast"/>
          <w:cantSplit w:val="true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НТД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>
        <w:trPr>
          <w:trHeight w:val="556" w:hRule="atLeast"/>
          <w:cantSplit w:val="true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СТО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 организации</w:t>
            </w:r>
          </w:p>
        </w:tc>
      </w:tr>
      <w:tr>
        <w:trPr>
          <w:trHeight w:val="418" w:hRule="atLeast"/>
          <w:cantSplit w:val="true"/>
        </w:trPr>
        <w:tc>
          <w:tcPr>
            <w:tcW w:w="4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ППР</w:t>
            </w:r>
          </w:p>
        </w:tc>
        <w:tc>
          <w:tcPr>
            <w:tcW w:w="5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производства работ</w:t>
            </w:r>
          </w:p>
        </w:tc>
      </w:tr>
      <w:tr>
        <w:trPr>
          <w:trHeight w:val="418" w:hRule="atLeast"/>
          <w:cantSplit w:val="true"/>
        </w:trPr>
        <w:tc>
          <w:tcPr>
            <w:tcW w:w="4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СИЗ</w:t>
            </w:r>
          </w:p>
        </w:tc>
        <w:tc>
          <w:tcPr>
            <w:tcW w:w="5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индивидуальной защиты</w:t>
            </w:r>
          </w:p>
        </w:tc>
      </w:tr>
      <w:tr>
        <w:trPr>
          <w:trHeight w:val="418" w:hRule="atLeast"/>
          <w:cantSplit w:val="true"/>
        </w:trPr>
        <w:tc>
          <w:tcPr>
            <w:tcW w:w="4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ВОР</w:t>
            </w:r>
          </w:p>
        </w:tc>
        <w:tc>
          <w:tcPr>
            <w:tcW w:w="5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Ведомость объемов работ</w:t>
            </w:r>
          </w:p>
        </w:tc>
      </w:tr>
      <w:tr>
        <w:trPr>
          <w:trHeight w:val="418" w:hRule="atLeast"/>
          <w:cantSplit w:val="true"/>
        </w:trPr>
        <w:tc>
          <w:tcPr>
            <w:tcW w:w="4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ТТ</w:t>
            </w:r>
          </w:p>
        </w:tc>
        <w:tc>
          <w:tcPr>
            <w:tcW w:w="5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>
        <w:trPr>
          <w:trHeight w:val="418" w:hRule="atLeast"/>
          <w:cantSplit w:val="true"/>
        </w:trPr>
        <w:tc>
          <w:tcPr>
            <w:tcW w:w="4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ССБТ</w:t>
            </w:r>
          </w:p>
        </w:tc>
        <w:tc>
          <w:tcPr>
            <w:tcW w:w="5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стандартов безопасности труда</w:t>
            </w:r>
          </w:p>
        </w:tc>
      </w:tr>
    </w:tbl>
    <w:p>
      <w:pPr>
        <w:pStyle w:val="Heading4"/>
        <w:numPr>
          <w:ilvl w:val="0"/>
          <w:numId w:val="0"/>
        </w:numPr>
        <w:ind w:left="432" w:right="0" w:hanging="0"/>
        <w:rPr/>
      </w:pPr>
      <w:r>
        <w:rPr/>
      </w:r>
    </w:p>
    <w:p>
      <w:pPr>
        <w:pStyle w:val="Heading4"/>
        <w:numPr>
          <w:ilvl w:val="1"/>
          <w:numId w:val="3"/>
        </w:numPr>
        <w:ind w:left="432" w:right="0" w:hanging="432"/>
        <w:rPr>
          <w:highlight w:val="none"/>
          <w:shd w:fill="auto" w:val="clear"/>
        </w:rPr>
      </w:pPr>
      <w:bookmarkStart w:id="7" w:name="__RefHeading___Toc11656_3732447899"/>
      <w:bookmarkStart w:id="8" w:name="_Toc160466041"/>
      <w:bookmarkStart w:id="9" w:name="_Toc46743506"/>
      <w:bookmarkEnd w:id="7"/>
      <w:r>
        <w:rPr>
          <w:shd w:fill="auto" w:val="clear"/>
        </w:rPr>
        <w:t>Наименование закупаемой продукции</w:t>
      </w:r>
      <w:bookmarkEnd w:id="8"/>
      <w:bookmarkEnd w:id="9"/>
    </w:p>
    <w:p>
      <w:pPr>
        <w:pStyle w:val="Normal"/>
        <w:widowControl/>
        <w:suppressAutoHyphens w:val="true"/>
        <w:bidi w:val="0"/>
        <w:spacing w:before="0" w:after="0"/>
        <w:ind w:left="0" w:right="0" w:firstLine="850"/>
        <w:jc w:val="left"/>
        <w:rPr>
          <w:b w:val="false"/>
          <w:bCs w:val="false"/>
          <w:sz w:val="26"/>
          <w:szCs w:val="26"/>
        </w:rPr>
      </w:pPr>
      <w:r>
        <w:rPr>
          <w:rFonts w:eastAsia="Calibri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ru-RU" w:eastAsia="ru-RU" w:bidi="ar-SA"/>
        </w:rPr>
        <w:t xml:space="preserve">ОКПД2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  <w:lang w:val="ru-RU" w:eastAsia="ru-RU" w:bidi="ar-SA"/>
        </w:rPr>
        <w:t>42.11.20.200</w:t>
      </w:r>
      <w:r>
        <w:rPr>
          <w:rFonts w:eastAsia="Calibri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auto"/>
          <w:kern w:val="0"/>
          <w:sz w:val="24"/>
          <w:szCs w:val="24"/>
          <w:u w:val="none"/>
          <w:em w:val="none"/>
          <w:lang w:val="ru-RU" w:eastAsia="ru-RU" w:bidi="ar-SA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«</w:t>
      </w:r>
      <w:r>
        <w:rPr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Т</w:t>
      </w:r>
      <w:r>
        <w:rPr>
          <w:rFonts w:eastAsia="Sylfae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екущий ремонт асфальтобетонного покрытия пристанционной площадки  Бурейской ГЭС</w:t>
      </w:r>
      <w:r>
        <w:rPr>
          <w:rFonts w:eastAsia="Sylfae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>»</w:t>
      </w:r>
    </w:p>
    <w:p>
      <w:pPr>
        <w:pStyle w:val="Heading4"/>
        <w:numPr>
          <w:ilvl w:val="1"/>
          <w:numId w:val="3"/>
        </w:numPr>
        <w:spacing w:before="240" w:after="60"/>
        <w:ind w:left="431" w:right="0" w:hanging="431"/>
        <w:rPr>
          <w:i w:val="false"/>
          <w:i w:val="false"/>
          <w:iCs w:val="false"/>
        </w:rPr>
      </w:pPr>
      <w:bookmarkStart w:id="10" w:name="__RefHeading___Toc11658_3732447899"/>
      <w:bookmarkStart w:id="11" w:name="_Toc54646398"/>
      <w:bookmarkStart w:id="12" w:name="_Toc46743507_Копия_1_Копия_1"/>
      <w:bookmarkStart w:id="13" w:name="_Toc46743507_Копия_1"/>
      <w:bookmarkEnd w:id="10"/>
      <w:bookmarkEnd w:id="13"/>
      <w:r>
        <w:rPr>
          <w:i w:val="false"/>
          <w:iCs w:val="false"/>
        </w:rPr>
        <w:t xml:space="preserve">Цель </w:t>
      </w:r>
      <w:bookmarkEnd w:id="12"/>
      <w:r>
        <w:rPr>
          <w:i w:val="false"/>
          <w:iCs w:val="false"/>
          <w:lang w:val="ru-RU"/>
        </w:rPr>
        <w:t>выполнения работ</w:t>
      </w:r>
      <w:bookmarkEnd w:id="11"/>
    </w:p>
    <w:p>
      <w:pPr>
        <w:pStyle w:val="Normal"/>
        <w:widowControl/>
        <w:tabs>
          <w:tab w:val="clear" w:pos="720"/>
          <w:tab w:val="left" w:pos="345" w:leader="none"/>
          <w:tab w:val="left" w:pos="405" w:leader="none"/>
        </w:tabs>
        <w:suppressAutoHyphens w:val="true"/>
        <w:bidi w:val="0"/>
        <w:spacing w:before="0" w:after="0"/>
        <w:ind w:left="0" w:right="0" w:firstLine="850"/>
        <w:jc w:val="both"/>
        <w:rPr/>
      </w:pPr>
      <w:r>
        <w:rPr>
          <w:rStyle w:val="Style8"/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Восстановление асфальтобетонного покрытия автодороги после ремотна сети водоотведения здания СТК котороая проложена по дорожным покрытием.</w:t>
      </w:r>
    </w:p>
    <w:p>
      <w:pPr>
        <w:pStyle w:val="Normal"/>
        <w:jc w:val="both"/>
        <w:rPr>
          <w:rStyle w:val="Style8"/>
          <w:rFonts w:eastAsia="Calibri" w:cs="Times New Roman"/>
          <w:b w:val="false"/>
          <w:bCs w:val="false"/>
          <w:i w:val="false"/>
          <w:i w:val="false"/>
          <w:iCs w:val="false"/>
          <w:color w:val="auto"/>
          <w:kern w:val="0"/>
          <w:sz w:val="24"/>
          <w:szCs w:val="24"/>
          <w:shd w:fill="auto" w:val="clear"/>
          <w:lang w:val="ru-RU" w:eastAsia="x-none" w:bidi="ar-SA"/>
        </w:rPr>
      </w:pPr>
      <w:r>
        <w:rPr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</w:r>
    </w:p>
    <w:p>
      <w:pPr>
        <w:pStyle w:val="Heading4"/>
        <w:numPr>
          <w:ilvl w:val="1"/>
          <w:numId w:val="3"/>
        </w:numPr>
        <w:ind w:left="432" w:right="0" w:hanging="432"/>
        <w:rPr>
          <w:highlight w:val="none"/>
          <w:shd w:fill="auto" w:val="clear"/>
        </w:rPr>
      </w:pPr>
      <w:bookmarkStart w:id="14" w:name="__RefHeading___Toc11660_3732447899"/>
      <w:bookmarkStart w:id="15" w:name="_Toc54646399"/>
      <w:bookmarkStart w:id="16" w:name="_Toc46743508_Копия_1"/>
      <w:bookmarkEnd w:id="14"/>
      <w:r>
        <w:rPr>
          <w:shd w:fill="auto" w:val="clear"/>
        </w:rPr>
        <w:t>Существующее положение</w:t>
      </w:r>
      <w:bookmarkEnd w:id="16"/>
      <w:r>
        <w:rPr>
          <w:shd w:fill="auto" w:val="clear"/>
          <w:lang w:val="ru-RU"/>
        </w:rPr>
        <w:t xml:space="preserve"> </w:t>
      </w:r>
      <w:bookmarkEnd w:id="15"/>
    </w:p>
    <w:p>
      <w:pPr>
        <w:pStyle w:val="Normal"/>
        <w:widowControl w:val="false"/>
        <w:tabs>
          <w:tab w:val="clear" w:pos="720"/>
          <w:tab w:val="left" w:pos="1134" w:leader="none"/>
        </w:tabs>
        <w:spacing w:lineRule="atLeast" w:line="283" w:before="120" w:after="240"/>
        <w:ind w:firstLine="567"/>
        <w:jc w:val="both"/>
        <w:rPr/>
      </w:pP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auto" w:val="clear"/>
          <w:lang w:eastAsia="x-none"/>
        </w:rPr>
        <w:t xml:space="preserve">Краткое описание существующего положения: </w:t>
      </w:r>
    </w:p>
    <w:p>
      <w:pPr>
        <w:pStyle w:val="Normal"/>
        <w:widowControl w:val="false"/>
        <w:tabs>
          <w:tab w:val="clear" w:pos="720"/>
          <w:tab w:val="left" w:pos="1134" w:leader="none"/>
        </w:tabs>
        <w:suppressAutoHyphens w:val="true"/>
        <w:bidi w:val="0"/>
        <w:spacing w:lineRule="auto" w:line="240" w:before="120" w:after="240"/>
        <w:ind w:left="0" w:right="0" w:firstLine="227"/>
        <w:jc w:val="both"/>
        <w:rPr/>
      </w:pP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auto" w:val="clear"/>
          <w:lang w:eastAsia="x-none"/>
        </w:rPr>
        <w:t xml:space="preserve">     </w:t>
      </w: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auto" w:val="clear"/>
          <w:lang w:eastAsia="x-none"/>
        </w:rPr>
        <w:t>На участке под автодорогой у объекта СТК произошла разгерметизация канализационной магистрали. Наблюдается неконтролируемый сброс стоков в железобетонный лоток. Существует угроза подмыва дорожного основания и деформации полотна.</w:t>
        <w:br/>
      </w:r>
    </w:p>
    <w:p>
      <w:pPr>
        <w:pStyle w:val="Heading1"/>
        <w:numPr>
          <w:ilvl w:val="0"/>
          <w:numId w:val="0"/>
        </w:numPr>
        <w:ind w:left="0" w:right="0" w:hanging="0"/>
        <w:rPr>
          <w:sz w:val="24"/>
          <w:szCs w:val="24"/>
        </w:rPr>
      </w:pPr>
      <w:bookmarkStart w:id="17" w:name="__RefHeading___Toc11662_3732447899"/>
      <w:bookmarkStart w:id="18" w:name="_Toc160466044"/>
      <w:bookmarkEnd w:id="17"/>
      <w:r>
        <w:rPr>
          <w:sz w:val="24"/>
          <w:szCs w:val="24"/>
        </w:rPr>
        <w:t>Таблица 1. Перечень объектов Заказчика</w:t>
      </w:r>
      <w:bookmarkEnd w:id="18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602"/>
        <w:gridCol w:w="2670"/>
        <w:gridCol w:w="3828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(производства работ)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выполняются работы)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227" w:right="0" w:hanging="0"/>
              <w:contextualSpacing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color w:val="000000"/>
                <w:sz w:val="24"/>
                <w:szCs w:val="24"/>
              </w:rPr>
              <w:t>Бурейская ГЭС</w:t>
            </w:r>
          </w:p>
        </w:tc>
        <w:tc>
          <w:tcPr>
            <w:tcW w:w="2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 </w:t>
            </w:r>
            <w:r>
              <w:rPr>
                <w:i w:val="false"/>
                <w:iCs w:val="false"/>
                <w:sz w:val="24"/>
                <w:szCs w:val="24"/>
              </w:rPr>
              <w:t>Российская Федерация,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Амурская область, Бурейский район,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пгт. Талакан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дание технологическое. Служебно-технологический корпус(СТК) на отм.155,0 м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Б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Р12496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240"/>
        <w:jc w:val="both"/>
        <w:rPr>
          <w:rStyle w:val="Style8"/>
          <w:b w:val="false"/>
          <w:bCs/>
          <w:sz w:val="24"/>
          <w:szCs w:val="24"/>
        </w:rPr>
      </w:pPr>
      <w:r>
        <w:rPr>
          <w:b w:val="false"/>
          <w:bCs/>
          <w:sz w:val="24"/>
          <w:szCs w:val="24"/>
        </w:rPr>
      </w:r>
    </w:p>
    <w:p>
      <w:pPr>
        <w:pStyle w:val="Heading4"/>
        <w:numPr>
          <w:ilvl w:val="1"/>
          <w:numId w:val="3"/>
        </w:numPr>
        <w:ind w:left="432" w:right="0" w:hanging="432"/>
        <w:rPr>
          <w:shd w:fill="FFFFFF" w:val="clear"/>
        </w:rPr>
      </w:pPr>
      <w:bookmarkStart w:id="19" w:name="__RefHeading___Toc11664_3732447899"/>
      <w:bookmarkEnd w:id="19"/>
      <w:r>
        <w:rPr>
          <w:shd w:fill="FFFFFF" w:val="clear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uppressAutoHyphens w:val="true"/>
        <w:bidi w:val="0"/>
        <w:spacing w:before="0" w:after="120"/>
        <w:ind w:left="0" w:right="0" w:firstLine="567"/>
        <w:contextualSpacing/>
        <w:jc w:val="both"/>
        <w:rPr>
          <w:i w:val="false"/>
          <w:i w:val="false"/>
          <w:iCs w:val="false"/>
        </w:rPr>
      </w:pPr>
      <w:r>
        <w:rPr>
          <w:i w:val="false"/>
          <w:iCs w:val="false"/>
          <w:sz w:val="24"/>
          <w:szCs w:val="24"/>
        </w:rPr>
        <w:t>Исходя из ресурсов, которыми располагает Заказчик  возможно предоставить Подрядчику: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0" w:after="120"/>
        <w:contextualSpacing/>
        <w:jc w:val="center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426" w:leader="none"/>
        </w:tabs>
        <w:suppressAutoHyphens w:val="true"/>
        <w:bidi w:val="0"/>
        <w:spacing w:before="0" w:after="120"/>
        <w:ind w:left="1984" w:right="0" w:hanging="141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1.5.1 Вода техническая;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426" w:leader="none"/>
        </w:tabs>
        <w:suppressAutoHyphens w:val="true"/>
        <w:bidi w:val="0"/>
        <w:spacing w:before="0" w:after="120"/>
        <w:ind w:left="1984" w:right="0" w:hanging="141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1.5.2 Электроэнергия;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426" w:leader="none"/>
        </w:tabs>
        <w:suppressAutoHyphens w:val="true"/>
        <w:bidi w:val="0"/>
        <w:spacing w:before="0" w:after="120"/>
        <w:ind w:left="1984" w:right="0" w:hanging="1417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1.5.3 Рабочая документация.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20"/>
          <w:tab w:val="left" w:pos="426" w:leader="none"/>
        </w:tabs>
        <w:spacing w:before="0" w:after="120"/>
        <w:ind w:left="2007" w:hanging="0"/>
        <w:contextualSpacing/>
        <w:jc w:val="both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0" w:right="0" w:hanging="0"/>
        <w:jc w:val="left"/>
        <w:rPr/>
      </w:pPr>
      <w:bookmarkStart w:id="20" w:name="__RefHeading___Toc11668_3732447899"/>
      <w:bookmarkEnd w:id="20"/>
      <w:r>
        <w:rPr/>
        <w:t xml:space="preserve">2. </w:t>
      </w:r>
      <w:bookmarkStart w:id="21" w:name="_Toc160466046"/>
      <w:r>
        <w:rPr/>
        <w:t xml:space="preserve">Требования </w:t>
      </w:r>
      <w:r>
        <w:rPr>
          <w:lang w:val="ru-RU"/>
        </w:rPr>
        <w:t>к</w:t>
      </w:r>
      <w:r>
        <w:rPr/>
        <w:t xml:space="preserve"> </w:t>
      </w:r>
      <w:bookmarkEnd w:id="21"/>
      <w:r>
        <w:rPr/>
        <w:t xml:space="preserve">выполняемым работам </w:t>
      </w:r>
    </w:p>
    <w:p>
      <w:pPr>
        <w:pStyle w:val="Heading3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397" w:right="0" w:hanging="0"/>
        <w:jc w:val="left"/>
        <w:rPr>
          <w:rFonts w:ascii="Times New Roman" w:hAnsi="Times New Roman" w:eastAsia="Calibri" w:cs="Times New Roman"/>
          <w:color w:val="auto"/>
          <w:kern w:val="0"/>
          <w:sz w:val="24"/>
          <w:szCs w:val="24"/>
          <w:lang w:val="x-none" w:eastAsia="x-none" w:bidi="ar-SA"/>
        </w:rPr>
      </w:pPr>
      <w:bookmarkStart w:id="22" w:name="__RefHeading___Toc11670_3732447899"/>
      <w:bookmarkEnd w:id="22"/>
      <w:r>
        <w:rPr>
          <w:rFonts w:eastAsia="Calibri" w:cs="Times New Roman"/>
          <w:color w:val="auto"/>
          <w:kern w:val="0"/>
          <w:sz w:val="24"/>
          <w:szCs w:val="24"/>
          <w:lang w:val="x-none" w:eastAsia="x-none" w:bidi="ar-SA"/>
        </w:rPr>
        <w:t xml:space="preserve">  </w:t>
      </w:r>
      <w:r>
        <w:rPr>
          <w:rFonts w:eastAsia="Calibri" w:cs="Times New Roman"/>
          <w:color w:val="auto"/>
          <w:kern w:val="0"/>
          <w:sz w:val="24"/>
          <w:szCs w:val="24"/>
          <w:lang w:val="x-none" w:eastAsia="x-none" w:bidi="ar-SA"/>
        </w:rPr>
        <w:t xml:space="preserve">2.1 </w:t>
      </w:r>
      <w:bookmarkStart w:id="23" w:name="_Toc160466047"/>
      <w:r>
        <w:rPr>
          <w:rFonts w:eastAsia="Calibri" w:cs="Times New Roman"/>
          <w:color w:val="auto"/>
          <w:kern w:val="0"/>
          <w:sz w:val="24"/>
          <w:szCs w:val="24"/>
          <w:lang w:val="x-none" w:eastAsia="x-none" w:bidi="ar-SA"/>
        </w:rPr>
        <w:t>Требования к видам и объемам работ</w:t>
      </w:r>
      <w:bookmarkEnd w:id="23"/>
    </w:p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0"/>
        </w:numPr>
        <w:ind w:left="0" w:right="0" w:hanging="0"/>
        <w:rPr>
          <w:sz w:val="24"/>
          <w:szCs w:val="24"/>
        </w:rPr>
      </w:pPr>
      <w:bookmarkStart w:id="24" w:name="__RefHeading___Toc11672_3732447899"/>
      <w:bookmarkStart w:id="25" w:name="_Toc160466048"/>
      <w:bookmarkStart w:id="26" w:name="_Toc51339695"/>
      <w:bookmarkEnd w:id="24"/>
      <w:r>
        <w:rPr>
          <w:sz w:val="24"/>
          <w:szCs w:val="24"/>
        </w:rPr>
        <w:t>Таблица 2.  Перечень</w:t>
      </w:r>
      <w:r>
        <w:rPr>
          <w:sz w:val="24"/>
          <w:szCs w:val="24"/>
          <w:lang w:val="ru-RU"/>
        </w:rPr>
        <w:t xml:space="preserve"> и объем</w:t>
      </w:r>
      <w:r>
        <w:rPr>
          <w:sz w:val="24"/>
          <w:szCs w:val="24"/>
        </w:rPr>
        <w:t xml:space="preserve"> </w:t>
      </w:r>
      <w:bookmarkEnd w:id="26"/>
      <w:r>
        <w:rPr>
          <w:sz w:val="24"/>
          <w:szCs w:val="24"/>
        </w:rPr>
        <w:t>выполняемых работ</w:t>
      </w:r>
      <w:bookmarkEnd w:id="25"/>
    </w:p>
    <w:tbl>
      <w:tblPr>
        <w:tblW w:w="9840" w:type="dxa"/>
        <w:jc w:val="left"/>
        <w:tblInd w:w="1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735"/>
        <w:gridCol w:w="4245"/>
        <w:gridCol w:w="2534"/>
        <w:gridCol w:w="2325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Единица измерения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Количество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4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firstLine="850"/>
              <w:jc w:val="left"/>
              <w:rPr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x-none" w:bidi="ar-SA"/>
              </w:rPr>
              <w:t>Т</w:t>
            </w:r>
            <w:r>
              <w:rPr>
                <w:rFonts w:eastAsia="Sylfaen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x-none" w:bidi="ar-SA"/>
              </w:rPr>
              <w:t>екущий ремонт асфальтобетонного покрытия пристанционной площадки  Бурейской ГЭС</w:t>
            </w: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shd w:fill="auto" w:val="clear"/>
              </w:rPr>
              <w:t>В соответствии с ведомостью объемов работ (Приложение № 1 к настоящим ТТ)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ind w:hanging="0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737" w:right="0" w:hanging="0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</w:pPr>
      <w:bookmarkStart w:id="27" w:name="__RefHeading___Toc11674_3732447899"/>
      <w:bookmarkEnd w:id="27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 xml:space="preserve">2.2 </w:t>
      </w:r>
      <w:bookmarkStart w:id="28" w:name="_Toc160466050"/>
      <w:bookmarkStart w:id="29" w:name="_Toc51339696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 xml:space="preserve">Требования </w:t>
      </w:r>
      <w:bookmarkEnd w:id="29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>к срокам выполнения работ</w:t>
      </w:r>
      <w:bookmarkEnd w:id="28"/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420" w:leader="none"/>
        </w:tabs>
        <w:suppressAutoHyphens w:val="true"/>
        <w:bidi w:val="0"/>
        <w:spacing w:before="120" w:after="60"/>
        <w:ind w:left="737" w:right="0" w:hanging="510"/>
        <w:outlineLvl w:val="2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</w:r>
    </w:p>
    <w:p>
      <w:pPr>
        <w:pStyle w:val="Heading1"/>
        <w:numPr>
          <w:ilvl w:val="0"/>
          <w:numId w:val="0"/>
        </w:numPr>
        <w:ind w:left="0" w:righ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30" w:name="__RefHeading___Toc11676_3732447899"/>
      <w:bookmarkStart w:id="31" w:name="_Toc160466051"/>
      <w:bookmarkStart w:id="32" w:name="_Toc51339697"/>
      <w:bookmarkStart w:id="33" w:name="_Toc50125127"/>
      <w:bookmarkEnd w:id="3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</w:t>
      </w:r>
      <w:bookmarkStart w:id="34" w:name="_Hlk50465284"/>
      <w:r>
        <w:rPr>
          <w:sz w:val="24"/>
          <w:szCs w:val="24"/>
        </w:rPr>
        <w:t xml:space="preserve">Требования </w:t>
      </w:r>
      <w:bookmarkEnd w:id="32"/>
      <w:bookmarkEnd w:id="33"/>
      <w:bookmarkEnd w:id="34"/>
      <w:r>
        <w:rPr>
          <w:sz w:val="24"/>
          <w:szCs w:val="24"/>
          <w:lang w:val="ru-RU"/>
        </w:rPr>
        <w:t xml:space="preserve">по срокам выполнения работ </w:t>
      </w:r>
      <w:bookmarkEnd w:id="31"/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7"/>
        <w:gridCol w:w="3703"/>
        <w:gridCol w:w="2270"/>
        <w:gridCol w:w="2977"/>
      </w:tblGrid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(вид работ)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 (Этапа работ)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 (Этапа работ)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i w:val="false"/>
                <w:i w:val="false"/>
                <w:iCs w:val="false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i w:val="false"/>
                <w:i w:val="false"/>
                <w:iCs w:val="false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</w:tc>
        <w:tc>
          <w:tcPr>
            <w:tcW w:w="3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firstLine="850"/>
              <w:jc w:val="left"/>
              <w:rPr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x-none" w:bidi="ar-SA"/>
              </w:rPr>
              <w:t>Т</w:t>
            </w:r>
            <w:r>
              <w:rPr>
                <w:rFonts w:eastAsia="Sylfaen" w:cs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x-none" w:bidi="ar-SA"/>
              </w:rPr>
              <w:t>екущий ремонт асфальтобетонного покрытия пристанционной площадки  Бурейской ГЭС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 w:val="false"/>
                <w:iCs w:val="false"/>
                <w:sz w:val="24"/>
                <w:szCs w:val="24"/>
              </w:rPr>
              <w:t>День,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 w:val="false"/>
                <w:iCs w:val="false"/>
                <w:sz w:val="24"/>
                <w:szCs w:val="24"/>
              </w:rPr>
              <w:t>следующий за днем подписания Договора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i w:val="false"/>
                <w:iCs w:val="false"/>
                <w:sz w:val="24"/>
                <w:szCs w:val="24"/>
              </w:rPr>
              <w:t>Не позднее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i w:val="false"/>
                <w:iCs w:val="false"/>
                <w:sz w:val="24"/>
                <w:szCs w:val="24"/>
              </w:rPr>
              <w:t>30.09.2026 г.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ind w:left="0" w:right="0" w:hanging="0"/>
        <w:rPr/>
      </w:pPr>
      <w:bookmarkStart w:id="35" w:name="__RefHeading___Toc11678_3732447899"/>
      <w:bookmarkEnd w:id="35"/>
      <w:r>
        <w:rPr/>
        <w:t xml:space="preserve">         </w:t>
      </w:r>
      <w:r>
        <w:rPr/>
        <w:t xml:space="preserve">2.3 </w:t>
      </w:r>
      <w:bookmarkStart w:id="36" w:name="_Toc51339698"/>
      <w:bookmarkStart w:id="37" w:name="_Toc160466053"/>
      <w:r>
        <w:rPr/>
        <w:t xml:space="preserve">Требования к </w:t>
      </w:r>
      <w:r>
        <w:rPr>
          <w:lang w:val="ru-RU"/>
        </w:rPr>
        <w:t xml:space="preserve">качеству </w:t>
      </w:r>
      <w:bookmarkEnd w:id="37"/>
      <w:r>
        <w:rPr>
          <w:lang w:val="ru-RU"/>
        </w:rPr>
        <w:t>работ</w:t>
      </w:r>
    </w:p>
    <w:p>
      <w:pPr>
        <w:pStyle w:val="Heading1"/>
        <w:numPr>
          <w:ilvl w:val="0"/>
          <w:numId w:val="0"/>
        </w:numPr>
        <w:ind w:left="0" w:right="0" w:hanging="0"/>
        <w:rPr>
          <w:sz w:val="24"/>
          <w:szCs w:val="24"/>
        </w:rPr>
      </w:pPr>
      <w:bookmarkStart w:id="38" w:name="__RefHeading___Toc11680_3732447899"/>
      <w:bookmarkStart w:id="39" w:name="_Toc160466054"/>
      <w:bookmarkEnd w:id="38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6"/>
      <w:r>
        <w:rPr>
          <w:sz w:val="24"/>
          <w:szCs w:val="24"/>
          <w:lang w:val="ru-RU"/>
        </w:rPr>
        <w:t xml:space="preserve">качеству </w:t>
      </w:r>
      <w:bookmarkEnd w:id="39"/>
      <w:r>
        <w:rPr>
          <w:sz w:val="24"/>
          <w:szCs w:val="24"/>
          <w:lang w:val="ru-RU"/>
        </w:rPr>
        <w:t xml:space="preserve">работ </w:t>
      </w:r>
    </w:p>
    <w:tbl>
      <w:tblPr>
        <w:tblStyle w:val="af"/>
        <w:tblW w:w="15628" w:type="dxa"/>
        <w:jc w:val="left"/>
        <w:tblInd w:w="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378"/>
        <w:gridCol w:w="2327"/>
        <w:gridCol w:w="208"/>
        <w:gridCol w:w="225"/>
        <w:gridCol w:w="11490"/>
      </w:tblGrid>
      <w:tr>
        <w:trPr/>
        <w:tc>
          <w:tcPr>
            <w:tcW w:w="13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3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117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3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17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36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выполнению работ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2.3.1</w:t>
            </w:r>
          </w:p>
        </w:tc>
        <w:tc>
          <w:tcPr>
            <w:tcW w:w="142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i/>
                <w:i/>
                <w:iCs/>
                <w:sz w:val="24"/>
                <w:szCs w:val="24"/>
                <w:shd w:fill="FFFF99" w:val="clear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выполнению работ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1224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4250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Производство  ремонтных работ осуществляется в соответствии с настоящими Техническими требованиями;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Работы выполняются в соответствии с ведомостью объемов работ (Приложение № 1 к настоящим ТТ);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Производство работ осуществляется на территории действующего энергетического предприятия без остановки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    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технологического процесса;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Работы выполняются по Акту-допуску в соответствии с разработанными Подрядчиком: проектом производства работ (ППР),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     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или технологической картой.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2.3.2</w:t>
            </w:r>
          </w:p>
        </w:tc>
        <w:tc>
          <w:tcPr>
            <w:tcW w:w="2535" w:type="dxa"/>
            <w:gridSpan w:val="2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11715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 выполнении работ 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Правила технической эксплуатации электрических станций и сетей РФ, утвержденные приказом  от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 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04 октября 2022 № 1070 Минэнерго Российской Федерации;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Правила организации технического обслуживания и ремонта объектов электроэнергетики. Утверждены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 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приказом Минэнерго России от 25.10.2017 № 1013, зарегистрированы в Минюсте России 26.03.2018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>
                <w:color w:val="000000"/>
              </w:rPr>
            </w:pP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         № 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50503;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Style w:val="Strong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ГОСТ Р 59201-2021</w:t>
            </w: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 «Дороги автомобильные общего пользования. Капитальный ремонт, ремонт и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         </w:t>
            </w: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содержание. Технические правила», утвержден приказом Росстандарта от 8.10.2021 №1364-ст;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Style w:val="Strong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ГОСТ Р 58406.2-2020</w:t>
            </w: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 «Дороги автомобильные общего пользования. Смеси асфальтобетонные и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         </w:t>
            </w: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асфальтобетон. Технические условия», утвержден Росстандарта от 21.04.2022 №220-ст;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Style w:val="Strong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ГОСТ Р 54401-2020</w:t>
            </w: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 «Дороги автомобильные общего пользования. Смеси литые асфальтобетонные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jc w:val="both"/>
              <w:rPr/>
            </w:pP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           </w:t>
            </w: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дорожные горячие и асфальтобетон литой дорожный. Технические условия», утвержден Росстандарта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0" w:right="0" w:hanging="0"/>
              <w:jc w:val="both"/>
              <w:rPr/>
            </w:pP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           </w:t>
            </w: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от 27.03.2020 №156-ст;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Style w:val="Strong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ГОСТ Р 58831-2020</w:t>
            </w: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 «Дороги автомобильные общего пользования. Покрытия асфальтобетонные. Общие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          </w:t>
            </w: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правила устройства при неблагоприятных погодных условиях» утвержден Росстандарта от 17.03.2020;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Style w:val="Strong"/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СП 78.13330.2012 «Автомобильные дороги»</w:t>
            </w: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 (актуализированная редакция СНиП 3.06.03-85) с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/>
            </w:pP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         </w:t>
            </w:r>
            <w:r>
              <w:rPr>
                <w:rStyle w:val="Strong1"/>
                <w:rFonts w:eastAsia="Calibri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изменениями, утвержден Росстандарта от 30.06.2012 №272.</w:t>
            </w:r>
          </w:p>
        </w:tc>
      </w:tr>
      <w:tr>
        <w:trPr/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2.3.3</w:t>
            </w:r>
          </w:p>
        </w:tc>
        <w:tc>
          <w:tcPr>
            <w:tcW w:w="2535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pacing w:before="0" w:after="0"/>
              <w:contextualSpacing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spacing w:val="0"/>
                <w:sz w:val="24"/>
                <w:szCs w:val="24"/>
              </w:rPr>
              <w:t>Подрядчик должен обеспечить:</w:t>
            </w:r>
          </w:p>
        </w:tc>
        <w:tc>
          <w:tcPr>
            <w:tcW w:w="11715" w:type="dxa"/>
            <w:gridSpan w:val="2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spacing w:val="0"/>
                <w:sz w:val="24"/>
                <w:szCs w:val="24"/>
              </w:rPr>
              <w:t>1. Персонал Подрядчика обеспечивает поддержание чистоты на рабочих местах, своевременную уборку зоны выполнения ремонтных работ и ликвидацию отходов по окончании Работ;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spacing w:val="0"/>
                <w:sz w:val="24"/>
                <w:szCs w:val="24"/>
              </w:rPr>
              <w:t>2.Образовавшиеся в процессе выполнения работ отходы Подрядчик временно накапливает в месте производства работ в соответствии с санитарными требованиями и требованиями в области охраны окружающей среды к накоплению отходов, установленными законодательством Российской Федерации, а также требованиями, установленными локальной нормативной документацией в области обращения с отходами Заказчика (инструкциями, положениями и др.). По окончании работ Подрядчик перемещает временно накопленные на месте производства работ отходы в указанные Заказчиком места накопления отходов на его территории</w:t>
            </w:r>
            <w:r>
              <w:rPr>
                <w:b w:val="false"/>
                <w:i w:val="false"/>
                <w:iCs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 xml:space="preserve"> Приложение № 5;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3.Подрядчик заблаговременно письменно уведомляет Заказчика о необходимости выполнения дополнительных Работ.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17" w:leader="none"/>
              </w:tabs>
              <w:spacing w:before="0"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6.Подрядчик представляет Заказчику по его запросу письменный отчет о текущем исполнении своих обязательств по договору подряда.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2.4</w:t>
            </w:r>
          </w:p>
        </w:tc>
        <w:tc>
          <w:tcPr>
            <w:tcW w:w="142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2.4.1</w:t>
            </w:r>
          </w:p>
        </w:tc>
        <w:tc>
          <w:tcPr>
            <w:tcW w:w="142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организации работ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Выполнение работ осуществляется на основании утвержденных Подрядчиком проектами производства работ (ППР) или технологической картой согласованного с Заказчиком, учитывающей характер и специфику выполняемых ремонтных работ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Подрядчик о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пределяет и согласовывает со службами Заказчика места подключения временных коммуникаций (технические условия на подключение выдаются после получения от Подрядчика официального запроса с указанием потребности в ресурсах в количественных и качественных показателях);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Заказчик обеспечивает персонал Подрядчика бытовыми помещениями при наличии такой возможности и определяет места для складирования материала и инструмента;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Персонал Подрядчика обеспечивает поддержание чистоты на рабочих местах, своевременную уборку и утилизацию отходов по окончании выполнения работ. Места сбора для складирования строительных отходов и мусора с целью последующего вывоза на утилизацию определяет Заказчик;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bidi w:val="0"/>
              <w:spacing w:before="0" w:after="0"/>
              <w:ind w:left="113" w:right="0" w:hanging="0"/>
              <w:contextualSpacing/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Подрядчик подготавливает объект к сдаче-приемке: демонтирует временные сети электроснабжения, наводит порядок в переданных по акту бытовых, складских и подсобных помещениях, производит разборку ограждений, осуществляет  вывоз с производственной территории оборудования, инструмента и  строительного мусора.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2.4.2</w:t>
            </w:r>
          </w:p>
        </w:tc>
        <w:tc>
          <w:tcPr>
            <w:tcW w:w="253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1171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Допуск персонала Подрядчика для выполнения работ должен осуществляться в соответствии с Регламентом процесса «Допуск персонала Подрядных организаций на объекты ПАО «РусГидро», утвержденного приказом ПАО «РусГидро» от 28.04.2023 № 300 (методика)  (Приложение № 2 к настоящим ТТ);</w:t>
            </w:r>
          </w:p>
        </w:tc>
      </w:tr>
      <w:tr>
        <w:trPr/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2.4.3</w:t>
            </w:r>
          </w:p>
        </w:tc>
        <w:tc>
          <w:tcPr>
            <w:tcW w:w="253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>Материально- техническое оснащение</w:t>
            </w:r>
          </w:p>
        </w:tc>
        <w:tc>
          <w:tcPr>
            <w:tcW w:w="1171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6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>Наличие у Подрядчика минимально необходимого перечня оборудования и СИЗ для безопасного проведения работ: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6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- </w:t>
            </w:r>
            <w:r>
              <w:rPr>
                <w:rStyle w:val="Strong"/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швонарезчик с алмазными дисками </w:t>
            </w: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>не менее 1 ед.;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6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>- Электрический перфоратор не менее 1 ед.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2.5</w:t>
            </w:r>
          </w:p>
        </w:tc>
        <w:tc>
          <w:tcPr>
            <w:tcW w:w="142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выполнении работ оборудованию и материалам, технологиям, программно-аппаратным средствам</w:t>
            </w:r>
          </w:p>
        </w:tc>
      </w:tr>
      <w:tr>
        <w:trPr>
          <w:trHeight w:val="936" w:hRule="atLeast"/>
        </w:trPr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2.5.1</w:t>
            </w:r>
          </w:p>
        </w:tc>
        <w:tc>
          <w:tcPr>
            <w:tcW w:w="142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Подрядчик своими силами обеспечивает закупку, приемку, транспортировку, разгрузку и складирование поступающих на объект строительных материалов.</w:t>
            </w:r>
          </w:p>
        </w:tc>
      </w:tr>
      <w:tr>
        <w:trPr/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2.5.2</w:t>
            </w:r>
          </w:p>
        </w:tc>
        <w:tc>
          <w:tcPr>
            <w:tcW w:w="253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используемым запасным частям и материалам</w:t>
            </w:r>
          </w:p>
        </w:tc>
        <w:tc>
          <w:tcPr>
            <w:tcW w:w="11715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При выполнении работ Подрядчик должен применять материалы, указанные в ВОР (Приложение № 1  к настоящим ТТ);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Строительные материалы должны по качеству должны соответствовать действующим на момент поставки ТУ или ГОСТ.</w:t>
            </w:r>
          </w:p>
        </w:tc>
      </w:tr>
      <w:tr>
        <w:trPr/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2.6</w:t>
            </w:r>
          </w:p>
        </w:tc>
        <w:tc>
          <w:tcPr>
            <w:tcW w:w="14250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контролю качества работ и материалов</w:t>
            </w:r>
          </w:p>
        </w:tc>
      </w:tr>
      <w:tr>
        <w:trPr/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2.6.1</w:t>
            </w:r>
          </w:p>
        </w:tc>
        <w:tc>
          <w:tcPr>
            <w:tcW w:w="14250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Подрядчик обеспечивает входной контроль поступивших материалов и изделий в соответствии с методическими указаниями входного контроля по требованию приложения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№ 3;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Входной контроль должен включать в себя:</w:t>
            </w:r>
          </w:p>
          <w:p>
            <w:pPr>
              <w:pStyle w:val="Normal"/>
              <w:widowControl w:val="false"/>
              <w:numPr>
                <w:ilvl w:val="1"/>
                <w:numId w:val="13"/>
              </w:numPr>
              <w:tabs>
                <w:tab w:val="clear" w:pos="720"/>
                <w:tab w:val="left" w:pos="795" w:leader="none"/>
              </w:tabs>
              <w:suppressAutoHyphens w:val="true"/>
              <w:bidi w:val="0"/>
              <w:spacing w:before="62" w:after="0"/>
              <w:ind w:left="113" w:right="0" w:hanging="0"/>
              <w:contextualSpacing/>
              <w:jc w:val="left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Наличия паспорта на асфальтобетонную смесь;</w:t>
            </w:r>
          </w:p>
          <w:p>
            <w:pPr>
              <w:pStyle w:val="Normal"/>
              <w:widowControl w:val="false"/>
              <w:numPr>
                <w:ilvl w:val="1"/>
                <w:numId w:val="13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Подрядчик должен осуществлять строительный контроль в соответствии с СП 48. 13330.2019 «Организация  строительства» Постановления  Правительства РФ от 21 июня 2010 г. N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</w:t>
            </w: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троительный контроля Подрядчиком и Заказчиком осуществляется в соответствии с:</w:t>
            </w:r>
          </w:p>
          <w:p>
            <w:pPr>
              <w:pStyle w:val="Normal"/>
              <w:widowControl w:val="false"/>
              <w:numPr>
                <w:ilvl w:val="1"/>
                <w:numId w:val="13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Приказом филиала ПАО «РусГидро»-«Бурейская ГЭС» № 226 от 26.09.2017  «Положение о проведении строительного контроля при осуществлении строительства, реконструкции и капитального ремонта объектов капитального строительства», приказом филиала ПАО «РусГидро»-«Бурейская ГЭС» № БГЭС/78-200 от 08.04.22 «О внесении изменений в Приказ № 226 от 26.09.2017»;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Приказом от 16.05.2023 №344/пр  </w:t>
            </w: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«Утверждение состава и порядка ведения  исполнительной документации при строительстве, реконструкции, капитальном ремонте объектов капитального строительства »</w:t>
            </w: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– в части применения формы  актов.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90" w:hRule="atLeast"/>
        </w:trPr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2.7</w:t>
            </w:r>
          </w:p>
        </w:tc>
        <w:tc>
          <w:tcPr>
            <w:tcW w:w="14250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Подрядчика</w:t>
            </w:r>
          </w:p>
        </w:tc>
      </w:tr>
      <w:tr>
        <w:trPr/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2.7.1</w:t>
            </w:r>
          </w:p>
        </w:tc>
        <w:tc>
          <w:tcPr>
            <w:tcW w:w="14250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620" w:leader="none"/>
              </w:tabs>
              <w:suppressAutoHyphens w:val="true"/>
              <w:bidi w:val="0"/>
              <w:spacing w:before="60" w:after="0"/>
              <w:ind w:left="113" w:right="0" w:firstLine="567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До начала выполнения работ в рамках исполнения договора после его заключения Исполнитель предоставляет список персонала с указанием сведений о квалификации персонала, разряде и группе по электробезопасности с приложением копий  удостоверений на производство специальных видов работ (безопасным методам и приемам выполнения работ на высоте, грузоподъемных, работ с электро - и пневмоинструментом) (возможно совмещение специальностей).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620" w:leader="none"/>
              </w:tabs>
              <w:suppressAutoHyphens w:val="true"/>
              <w:bidi w:val="0"/>
              <w:spacing w:before="60" w:after="0"/>
              <w:ind w:left="113" w:right="0" w:firstLine="624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Требуемый минимальный состав персонала Подрядчика для выполнения работ: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620" w:leader="none"/>
              </w:tabs>
              <w:suppressAutoHyphens w:val="true"/>
              <w:bidi w:val="0"/>
              <w:spacing w:before="60" w:after="0"/>
              <w:ind w:left="113" w:right="0" w:hanging="0"/>
              <w:contextualSpacing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Инженерно-технический работник (ИТР) по наряду – 1 человек (группа по электробезопасности не ниже 2 гр)</w:t>
            </w:r>
            <w:r>
              <w:rPr>
                <w:rFonts w:eastAsia="Times New Roman" w:cs="Times New Roman"/>
                <w:b w:val="false"/>
                <w:i w:val="false"/>
                <w:iC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>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620" w:leader="none"/>
              </w:tabs>
              <w:suppressAutoHyphens w:val="true"/>
              <w:bidi w:val="0"/>
              <w:spacing w:before="60" w:after="0"/>
              <w:ind w:left="113"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>Водитель  - 1 чел.;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620" w:leader="none"/>
              </w:tabs>
              <w:suppressAutoHyphens w:val="true"/>
              <w:bidi w:val="0"/>
              <w:spacing w:before="60" w:after="0"/>
              <w:ind w:left="113" w:right="0" w:hanging="0"/>
              <w:contextualSpacing/>
              <w:jc w:val="both"/>
              <w:rPr/>
            </w:pPr>
            <w:r>
              <w:rPr>
                <w:rStyle w:val="Strong"/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color w:val="333333"/>
                <w:spacing w:val="0"/>
                <w:kern w:val="0"/>
                <w:sz w:val="24"/>
                <w:szCs w:val="24"/>
                <w:lang w:val="ru-RU" w:eastAsia="ru-RU" w:bidi="ar-SA"/>
              </w:rPr>
              <w:t>Асфальтобетонщик -1 чел.</w:t>
            </w:r>
          </w:p>
        </w:tc>
      </w:tr>
      <w:tr>
        <w:trPr/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2.8</w:t>
            </w:r>
          </w:p>
        </w:tc>
        <w:tc>
          <w:tcPr>
            <w:tcW w:w="14250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выполнения работ и охране труда</w:t>
            </w:r>
          </w:p>
        </w:tc>
      </w:tr>
      <w:tr>
        <w:trPr/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2.8.1</w:t>
            </w:r>
          </w:p>
        </w:tc>
        <w:tc>
          <w:tcPr>
            <w:tcW w:w="14250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25" w:leader="none"/>
              </w:tabs>
              <w:suppressAutoHyphens w:val="true"/>
              <w:bidi w:val="0"/>
              <w:spacing w:before="62" w:after="0"/>
              <w:ind w:left="680" w:right="567" w:hanging="624"/>
              <w:contextualSpacing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Выполняемые работы должны проводиться современными способами и средствами, которые не должны наносить ущерб и повреждения оборудованию и инженерным коммуникациям;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bidi w:val="0"/>
              <w:spacing w:before="62" w:after="0"/>
              <w:ind w:left="340" w:right="227" w:hanging="227"/>
              <w:contextualSpacing/>
              <w:jc w:val="left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Запрещается осуществление ремонтных работ без утвержденного Подрядчиком и согласованного с Заказчиком ППР;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bidi w:val="0"/>
              <w:spacing w:before="62" w:after="0"/>
              <w:ind w:left="340" w:right="227" w:hanging="227"/>
              <w:contextualSpacing/>
              <w:jc w:val="left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Производитель работ обязан знать и строго соблюдать требования Правил по охране труда в строительстве, обеспечивать в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2" w:after="0"/>
              <w:ind w:left="340" w:right="227" w:hanging="0"/>
              <w:contextualSpacing/>
              <w:jc w:val="left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процессе ремонтных работ выполнение строительных норм и правил, стандартов, ССБТ, проекта производства работ,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2" w:after="0"/>
              <w:ind w:left="340" w:right="227" w:hanging="0"/>
              <w:contextualSpacing/>
              <w:jc w:val="left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должностных инструкций на объекте;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4.      </w:t>
            </w: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Работа выполняется в соответствии с: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left="113" w:right="0" w:firstLine="567"/>
              <w:contextualSpacing/>
              <w:jc w:val="both"/>
              <w:rPr/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4.1 «Правилами по охране труда при строительстве, реконструкции и ремонте, утверждены приказом Минтруда России от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left="113" w:right="0" w:firstLine="567"/>
              <w:contextualSpacing/>
              <w:jc w:val="both"/>
              <w:rPr/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 </w:t>
            </w: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11.12.2020 № 883н»;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left="113" w:right="0" w:firstLine="567"/>
              <w:contextualSpacing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4.2  «Правилами по охране труда при эксплуатации электроустановок», утверждены приказом от 15 декабря 2020 года № 903н;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left="113" w:right="0" w:firstLine="567"/>
              <w:contextualSpacing/>
              <w:jc w:val="both"/>
              <w:rPr/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4.3  «Правилами по охране труда при погрузочно-разгрузочных работах», утверждены приказом Минтруда России от 28 октября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left="113" w:right="0" w:firstLine="567"/>
              <w:contextualSpacing/>
              <w:jc w:val="both"/>
              <w:rPr/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  </w:t>
            </w: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2020 г. № 753н;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left="113" w:right="0" w:firstLine="567"/>
              <w:contextualSpacing/>
              <w:jc w:val="both"/>
              <w:rPr/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4.4  «Правилами по охране труда при работе с инструментом и приспособлениями», утверждены приказом Минтруда России от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left="113" w:right="0" w:firstLine="567"/>
              <w:contextualSpacing/>
              <w:jc w:val="both"/>
              <w:rPr/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  </w:t>
            </w: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27 ноября 2020 г. № 835н;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left="113" w:right="0" w:firstLine="567"/>
              <w:contextualSpacing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4.5 «Правилами противопожарного режима в Российской Федерации, утверждены Постановлением Правительства РФ от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left="113" w:right="0" w:firstLine="567"/>
              <w:contextualSpacing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16.09.2020 № 1479;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left="113" w:right="0" w:firstLine="567"/>
              <w:contextualSpacing/>
              <w:jc w:val="both"/>
              <w:rPr/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4.6  «Правилами пожарной безопасности для энергетических предприятий РД153-34.0-03.301-00;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        </w:t>
            </w: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>4.7  СТО РусГидро 01.02.132-2015 «Гидроэлектростанции. Контроль качества производства работ в процессе строительства.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2" w:after="0"/>
              <w:ind w:left="113" w:right="0" w:hanging="0"/>
              <w:contextualSpacing/>
              <w:jc w:val="both"/>
              <w:rPr/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             </w:t>
            </w: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>Нормы и требования».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3.</w:t>
            </w:r>
          </w:p>
        </w:tc>
        <w:tc>
          <w:tcPr>
            <w:tcW w:w="142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результатам работ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3.1</w:t>
            </w:r>
          </w:p>
        </w:tc>
        <w:tc>
          <w:tcPr>
            <w:tcW w:w="142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Устранение дефектов дорожного подлотна и приведения автодороги  в нормативное проектное состояния для осуществления нормального проезда транспорта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4.</w:t>
            </w:r>
          </w:p>
        </w:tc>
        <w:tc>
          <w:tcPr>
            <w:tcW w:w="142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оформлению документации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4.1</w:t>
            </w:r>
          </w:p>
        </w:tc>
        <w:tc>
          <w:tcPr>
            <w:tcW w:w="23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2" w:after="0"/>
              <w:ind w:left="0" w:right="0" w:hanging="0"/>
              <w:contextualSpacing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Оформление отчетной документации</w:t>
            </w:r>
          </w:p>
        </w:tc>
        <w:tc>
          <w:tcPr>
            <w:tcW w:w="11923" w:type="dxa"/>
            <w:gridSpan w:val="3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62" w:after="0"/>
              <w:ind w:left="0" w:right="0" w:hanging="0"/>
              <w:contextualSpacing/>
              <w:jc w:val="both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Отчётные документы по выполнению работ представить на бумажном носителе в 2 экземплярах на русском языке, а также электронном носителе в 1 экземпляре в форматах *.dwg, *.vsd, * .PDF, AlterOffice (AText, ACell), Microsoft Office (Word, Excel).</w:t>
            </w:r>
          </w:p>
        </w:tc>
      </w:tr>
      <w:tr>
        <w:trPr/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4.2</w:t>
            </w:r>
          </w:p>
        </w:tc>
        <w:tc>
          <w:tcPr>
            <w:tcW w:w="14250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Работы и сдача их результата будут производиться в соответствии с действующими нормами и правилами на данный тип работ, а также в соответствии с условиями проекта договора. Минимальный состав передаваемой Подрядчиком подписанной всеми участниками технической документации: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1. ППР или технологическую карту;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2. Акты освидетельствования скрытых работ;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3. Акты выполненных работ;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4. Акты осуществления контрольных мероприятий входящего контроля материалов и изделий;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5. Журнал входящего контроля материалов;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6. Паспорта качества, сертификаты соответствия на поставленные строительные материалы;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7. Фотофиксация (фотографии в качестве приложений) мест устраняемых дефектов до и после выполнения ремонтных работ;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62" w:after="0"/>
              <w:ind w:right="0" w:hanging="0"/>
              <w:contextualSpacing/>
              <w:jc w:val="both"/>
              <w:rPr>
                <w:sz w:val="24"/>
                <w:szCs w:val="24"/>
              </w:rPr>
            </w:pPr>
            <w:r>
              <w:rPr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</w:rPr>
              <w:t>8. Копии Акта-допуска и Наряда-допуска на выполнение ремонтных работ.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5.</w:t>
            </w:r>
          </w:p>
        </w:tc>
        <w:tc>
          <w:tcPr>
            <w:tcW w:w="142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Подрядчика</w:t>
            </w:r>
          </w:p>
        </w:tc>
      </w:tr>
      <w:tr>
        <w:trPr/>
        <w:tc>
          <w:tcPr>
            <w:tcW w:w="137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5.1</w:t>
            </w:r>
          </w:p>
        </w:tc>
        <w:tc>
          <w:tcPr>
            <w:tcW w:w="14250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Гарантийный срок на результат выполненных работ составляет 24 (двадцать четыре) месяца, со дня подписания Акт приемки выполненных работ.</w:t>
            </w:r>
          </w:p>
        </w:tc>
      </w:tr>
      <w:tr>
        <w:trPr/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lang w:val="ru-RU" w:eastAsia="ru-RU" w:bidi="ar-SA"/>
              </w:rPr>
            </w:pPr>
            <w:r>
              <w:rPr>
                <w:rFonts w:cs="Times New Roman"/>
                <w:b/>
                <w:bCs/>
                <w:kern w:val="0"/>
                <w:lang w:val="ru-RU" w:eastAsia="ru-RU" w:bidi="ar-SA"/>
              </w:rPr>
              <w:t>6.</w:t>
            </w:r>
          </w:p>
        </w:tc>
        <w:tc>
          <w:tcPr>
            <w:tcW w:w="14250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Подрядчика, влияющим на исполнение договора</w:t>
            </w:r>
          </w:p>
        </w:tc>
      </w:tr>
      <w:tr>
        <w:trPr/>
        <w:tc>
          <w:tcPr>
            <w:tcW w:w="1378" w:type="dxa"/>
            <w:vMerge w:val="restart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6.1</w:t>
            </w:r>
          </w:p>
        </w:tc>
        <w:tc>
          <w:tcPr>
            <w:tcW w:w="2760" w:type="dxa"/>
            <w:gridSpan w:val="3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114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При необходимости по предварительному письменному согласованию с Заказчиком заключать договоры субподряда, неся при этом ответственность за действия Субподрядчика, как за свои собственные.</w:t>
            </w:r>
          </w:p>
        </w:tc>
      </w:tr>
      <w:tr>
        <w:trPr/>
        <w:tc>
          <w:tcPr>
            <w:tcW w:w="1378" w:type="dxa"/>
            <w:vMerge w:val="continue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760" w:type="dxa"/>
            <w:gridSpan w:val="3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114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следующие документы, подтверждающие соответствие их квалификационного уровня, а также готовность и возможность выполнения ими работ: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Проект договора с Субподрядчиком;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Сведения об объемах выполнения работ Субподрядчиком;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Пофамильный перечень персонала, который будет задействован при производстве работ;</w:t>
            </w:r>
          </w:p>
          <w:p>
            <w:pPr>
              <w:pStyle w:val="Normal"/>
              <w:widowControl w:val="false"/>
              <w:numPr>
                <w:ilvl w:val="0"/>
                <w:numId w:val="16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Копии документов, подтверждающих наличие у Субподрядчика и его персонала допусков,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before="0" w:after="0"/>
              <w:ind w:left="113" w:right="0" w:hanging="0"/>
              <w:jc w:val="both"/>
              <w:rPr>
                <w:i w:val="false"/>
                <w:i w:val="false"/>
                <w:iCs w:val="false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         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разрешений и лицензий, необходимых для выполнения работ.</w:t>
            </w:r>
          </w:p>
        </w:tc>
      </w:tr>
      <w:tr>
        <w:trPr/>
        <w:tc>
          <w:tcPr>
            <w:tcW w:w="137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6.2</w:t>
            </w:r>
          </w:p>
        </w:tc>
        <w:tc>
          <w:tcPr>
            <w:tcW w:w="2760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Иные требования к Подрядчику и его обязательствам, влияющим на исполнение договора</w:t>
            </w:r>
          </w:p>
        </w:tc>
        <w:tc>
          <w:tcPr>
            <w:tcW w:w="1149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По требованию и в сроки, установленные Заказчиком, своими силами, средствами и за свой счет устранять недостатки, несоответствия и/или дефекты, выявленные в процессе производства работ, при приемке выполненных работ и/или в гарантийный период. Подрядчик должен незамедлительно приступить к устранению недостатков, о которых ему стало известно.</w:t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0"/>
        </w:numPr>
        <w:ind w:left="0" w:right="0" w:hanging="0"/>
        <w:rPr>
          <w:lang w:val="ru-RU"/>
        </w:rPr>
      </w:pPr>
      <w:bookmarkStart w:id="40" w:name="__RefHeading___Toc11686_3732447899"/>
      <w:bookmarkEnd w:id="40"/>
      <w:r>
        <w:rPr/>
        <w:t xml:space="preserve">                                                        </w:t>
      </w:r>
      <w:r>
        <w:rPr/>
        <w:t>7</w:t>
      </w:r>
      <w:r>
        <w:rPr/>
        <w:t xml:space="preserve">. </w:t>
      </w:r>
      <w:bookmarkStart w:id="41" w:name="_Toc162286595"/>
      <w:r>
        <w:rPr/>
        <w:t>Приложения</w:t>
      </w:r>
      <w:bookmarkEnd w:id="41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ListParagraph"/>
        <w:widowControl/>
        <w:tabs>
          <w:tab w:val="clear" w:pos="720"/>
          <w:tab w:val="left" w:pos="913" w:leader="none"/>
          <w:tab w:val="left" w:pos="963" w:leader="none"/>
        </w:tabs>
        <w:suppressAutoHyphens w:val="true"/>
        <w:bidi w:val="0"/>
        <w:spacing w:before="0" w:after="0"/>
        <w:ind w:left="340" w:right="0" w:hanging="0"/>
        <w:contextualSpacing/>
        <w:jc w:val="both"/>
        <w:rPr>
          <w:i w:val="false"/>
          <w:i w:val="false"/>
          <w:iCs w:val="false"/>
        </w:rPr>
      </w:pPr>
      <w:r>
        <w:rPr>
          <w:bCs/>
          <w:i w:val="false"/>
          <w:iCs w:val="false"/>
          <w:color w:val="000000"/>
        </w:rPr>
        <w:t>Приложение  № 1. В</w:t>
      </w:r>
      <w:r>
        <w:rPr>
          <w:rFonts w:eastAsia="Times New Roman" w:cs="Times New Roman"/>
          <w:bCs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>едомость объемов работ;</w:t>
      </w:r>
    </w:p>
    <w:p>
      <w:pPr>
        <w:pStyle w:val="ListParagraph"/>
        <w:widowControl/>
        <w:tabs>
          <w:tab w:val="clear" w:pos="720"/>
          <w:tab w:val="left" w:pos="913" w:leader="none"/>
          <w:tab w:val="left" w:pos="963" w:leader="none"/>
        </w:tabs>
        <w:suppressAutoHyphens w:val="true"/>
        <w:bidi w:val="0"/>
        <w:spacing w:before="0" w:after="0"/>
        <w:ind w:left="340" w:right="0" w:hanging="0"/>
        <w:contextualSpacing/>
        <w:jc w:val="both"/>
        <w:rPr>
          <w:i w:val="false"/>
          <w:i w:val="false"/>
          <w:iCs w:val="false"/>
        </w:rPr>
      </w:pPr>
      <w:r>
        <w:rPr>
          <w:rFonts w:eastAsia="Times New Roman" w:cs="Times New Roman"/>
          <w:bCs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 xml:space="preserve">Приложение №  2. Методика допуска персонала подрядных организаций к выполнению </w:t>
      </w:r>
    </w:p>
    <w:p>
      <w:pPr>
        <w:pStyle w:val="ListParagraph"/>
        <w:widowControl/>
        <w:tabs>
          <w:tab w:val="clear" w:pos="720"/>
          <w:tab w:val="left" w:pos="913" w:leader="none"/>
          <w:tab w:val="left" w:pos="963" w:leader="none"/>
        </w:tabs>
        <w:suppressAutoHyphens w:val="true"/>
        <w:bidi w:val="0"/>
        <w:spacing w:before="0" w:after="0"/>
        <w:ind w:left="340" w:right="0" w:hanging="0"/>
        <w:contextualSpacing/>
        <w:jc w:val="both"/>
        <w:rPr>
          <w:i w:val="false"/>
          <w:i w:val="false"/>
          <w:iCs w:val="false"/>
        </w:rPr>
      </w:pPr>
      <w:r>
        <w:rPr>
          <w:rFonts w:eastAsia="Times New Roman" w:cs="Times New Roman"/>
          <w:bCs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 xml:space="preserve">                                </w:t>
      </w:r>
      <w:r>
        <w:rPr>
          <w:rFonts w:eastAsia="Times New Roman" w:cs="Times New Roman"/>
          <w:bCs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>работ на объектах Общества;</w:t>
      </w:r>
    </w:p>
    <w:p>
      <w:pPr>
        <w:pStyle w:val="ListParagraph"/>
        <w:widowControl/>
        <w:tabs>
          <w:tab w:val="clear" w:pos="720"/>
          <w:tab w:val="left" w:pos="913" w:leader="none"/>
          <w:tab w:val="left" w:pos="963" w:leader="none"/>
        </w:tabs>
        <w:suppressAutoHyphens w:val="true"/>
        <w:bidi w:val="0"/>
        <w:spacing w:before="0" w:after="0"/>
        <w:ind w:left="340" w:right="0" w:hanging="0"/>
        <w:contextualSpacing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b w:val="false"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shd w:fill="auto" w:val="clear"/>
          <w:em w:val="none"/>
          <w:lang w:val="ru-RU" w:eastAsia="ru-RU" w:bidi="ar-SA"/>
        </w:rPr>
        <w:t>Приложение №  3. Методические рекомендации входного контроля;</w:t>
      </w:r>
    </w:p>
    <w:p>
      <w:pPr>
        <w:pStyle w:val="ListParagraph"/>
        <w:widowControl/>
        <w:tabs>
          <w:tab w:val="clear" w:pos="720"/>
          <w:tab w:val="left" w:pos="913" w:leader="none"/>
          <w:tab w:val="left" w:pos="963" w:leader="none"/>
        </w:tabs>
        <w:suppressAutoHyphens w:val="true"/>
        <w:bidi w:val="0"/>
        <w:spacing w:before="0" w:after="0"/>
        <w:ind w:left="340" w:right="0" w:hanging="0"/>
        <w:contextualSpacing/>
        <w:jc w:val="both"/>
        <w:rPr>
          <w:i w:val="false"/>
          <w:i w:val="false"/>
          <w:iCs w:val="false"/>
        </w:rPr>
      </w:pPr>
      <w:r>
        <w:rPr>
          <w:rFonts w:eastAsia="Times New Roman" w:cs="Times New Roman"/>
          <w:b w:val="false"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ru-RU" w:bidi="ar-SA"/>
        </w:rPr>
        <w:t xml:space="preserve">Приложение № 4. </w:t>
      </w:r>
      <w:bookmarkStart w:id="42" w:name="_Hlk124855937"/>
      <w:r>
        <w:rPr>
          <w:rFonts w:eastAsia="Times New Roman" w:cs="Times New Roman"/>
          <w:b w:val="false"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ru-RU" w:bidi="ar-SA"/>
        </w:rPr>
        <w:t xml:space="preserve">Требования к оформлению и составлению сметной документации на </w:t>
      </w:r>
    </w:p>
    <w:p>
      <w:pPr>
        <w:pStyle w:val="ListParagraph"/>
        <w:widowControl/>
        <w:tabs>
          <w:tab w:val="clear" w:pos="720"/>
          <w:tab w:val="left" w:pos="913" w:leader="none"/>
          <w:tab w:val="left" w:pos="963" w:leader="none"/>
        </w:tabs>
        <w:suppressAutoHyphens w:val="true"/>
        <w:bidi w:val="0"/>
        <w:spacing w:before="0" w:after="0"/>
        <w:ind w:left="340" w:right="0" w:hanging="0"/>
        <w:contextualSpacing/>
        <w:jc w:val="both"/>
        <w:rPr>
          <w:i w:val="false"/>
          <w:i w:val="false"/>
          <w:iCs w:val="false"/>
        </w:rPr>
      </w:pPr>
      <w:r>
        <w:rPr>
          <w:rFonts w:eastAsia="Times New Roman" w:cs="Times New Roman"/>
          <w:b w:val="false"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ru-RU" w:bidi="ar-SA"/>
        </w:rPr>
        <w:t xml:space="preserve">                                </w:t>
      </w:r>
      <w:r>
        <w:rPr>
          <w:rFonts w:eastAsia="Times New Roman" w:cs="Times New Roman"/>
          <w:b w:val="false"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ru-RU" w:bidi="ar-SA"/>
        </w:rPr>
        <w:t xml:space="preserve">работы по программе ремонтов </w:t>
      </w:r>
      <w:bookmarkEnd w:id="42"/>
      <w:r>
        <w:rPr>
          <w:rFonts w:eastAsia="Times New Roman" w:cs="Times New Roman"/>
          <w:b w:val="false"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4"/>
          <w:szCs w:val="24"/>
          <w:u w:val="none"/>
          <w:em w:val="none"/>
          <w:lang w:val="ru-RU" w:eastAsia="ru-RU" w:bidi="ar-SA"/>
        </w:rPr>
        <w:t>;</w:t>
      </w:r>
    </w:p>
    <w:p>
      <w:pPr>
        <w:pStyle w:val="ListParagraph"/>
        <w:widowControl/>
        <w:tabs>
          <w:tab w:val="clear" w:pos="720"/>
          <w:tab w:val="left" w:pos="913" w:leader="none"/>
          <w:tab w:val="left" w:pos="963" w:leader="none"/>
        </w:tabs>
        <w:suppressAutoHyphens w:val="true"/>
        <w:bidi w:val="0"/>
        <w:spacing w:before="0" w:after="0"/>
        <w:ind w:left="340" w:right="0" w:hanging="0"/>
        <w:contextualSpacing/>
        <w:jc w:val="both"/>
        <w:rPr>
          <w:i w:val="false"/>
          <w:i w:val="false"/>
          <w:iCs w:val="false"/>
        </w:rPr>
      </w:pPr>
      <w:r>
        <w:rPr>
          <w:rFonts w:eastAsia="Times New Roman" w:cs="Times New Roman"/>
          <w:bCs/>
          <w:i w:val="false"/>
          <w:iCs w:val="false"/>
          <w:color w:val="000000"/>
          <w:kern w:val="0"/>
          <w:sz w:val="24"/>
          <w:szCs w:val="24"/>
          <w:lang w:val="ru-RU" w:eastAsia="ru-RU" w:bidi="ar-SA"/>
        </w:rPr>
        <w:t>Приложение № 5. Инструкция по обращению с отходами.</w:t>
      </w:r>
    </w:p>
    <w:p>
      <w:pPr>
        <w:pStyle w:val="ListParagraph"/>
        <w:widowControl/>
        <w:tabs>
          <w:tab w:val="clear" w:pos="720"/>
          <w:tab w:val="left" w:pos="913" w:leader="none"/>
          <w:tab w:val="left" w:pos="963" w:leader="none"/>
        </w:tabs>
        <w:suppressAutoHyphens w:val="true"/>
        <w:bidi w:val="0"/>
        <w:spacing w:before="0" w:after="0"/>
        <w:ind w:left="340" w:right="0" w:hanging="0"/>
        <w:contextualSpacing/>
        <w:jc w:val="both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rPr>
          <w:b/>
          <w:bCs/>
          <w:sz w:val="24"/>
          <w:szCs w:val="24"/>
        </w:rPr>
      </w:pPr>
      <w:r>
        <w:rPr/>
      </w:r>
    </w:p>
    <w:p>
      <w:pPr>
        <w:pStyle w:val="Normal"/>
        <w:rPr>
          <w:b/>
          <w:bCs/>
          <w:sz w:val="24"/>
          <w:szCs w:val="24"/>
        </w:rPr>
      </w:pPr>
      <w:r>
        <w:rPr/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Разработал: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>Руководитель группы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>ГТС и ПЗ ПТС                                                                                                     В.В. Василенко</w:t>
      </w:r>
    </w:p>
    <w:p>
      <w:pPr>
        <w:pStyle w:val="Normal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/>
        <w:t xml:space="preserve">                     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Согласовано: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Cs/>
          <w:sz w:val="24"/>
          <w:szCs w:val="24"/>
        </w:rPr>
        <w:t>Заместитель главного инженера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по технической части                                                                                         С.А. Жигайлов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>Начальник ПТС                                                                                                  Е.В. Гомзин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>Начальник службы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>эксплуатации                                                                                                       Е.А. Степанов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И.о. начальника СПСР ТПиР                                                                             </w:t>
      </w:r>
      <w:r>
        <w:rPr>
          <w:bCs/>
          <w:sz w:val="24"/>
          <w:szCs w:val="24"/>
        </w:rPr>
        <w:t>С.Л.Белых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  <w:t>И.о.н</w:t>
      </w:r>
      <w:r>
        <w:rPr>
          <w:bCs/>
          <w:sz w:val="24"/>
          <w:szCs w:val="24"/>
        </w:rPr>
        <w:t>ачальник</w:t>
      </w:r>
      <w:r>
        <w:rPr>
          <w:bCs/>
          <w:sz w:val="24"/>
          <w:szCs w:val="24"/>
        </w:rPr>
        <w:t>а</w:t>
      </w:r>
      <w:r>
        <w:rPr>
          <w:bCs/>
          <w:sz w:val="24"/>
          <w:szCs w:val="24"/>
        </w:rPr>
        <w:t xml:space="preserve"> отдела закупок                                                                           </w:t>
      </w:r>
      <w:r>
        <w:rPr>
          <w:bCs/>
          <w:sz w:val="24"/>
          <w:szCs w:val="24"/>
        </w:rPr>
        <w:t>Е.М.Осадчая</w:t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/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bCs/>
          <w:sz w:val="24"/>
          <w:szCs w:val="24"/>
        </w:rPr>
      </w:pPr>
      <w:r>
        <w:rPr/>
      </w:r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/>
      <w:jc w:val="right"/>
      <w:rPr>
        <w:rFonts w:eastAsia="Calibri"/>
        <w:b/>
        <w:sz w:val="24"/>
        <w:szCs w:val="24"/>
      </w:rPr>
    </w:pPr>
    <w:bookmarkStart w:id="0" w:name="_Hlk128646191"/>
    <w:bookmarkEnd w:id="0"/>
    <w:r>
      <w:rPr>
        <w:rFonts w:eastAsia="Calibri"/>
        <w:b/>
        <w:sz w:val="24"/>
        <w:szCs w:val="24"/>
      </w:rPr>
      <w:t>УТВЕРЖДАЮ</w:t>
    </w:r>
  </w:p>
  <w:p>
    <w:pPr>
      <w:pStyle w:val="Normal"/>
      <w:spacing w:lineRule="auto" w:line="276"/>
      <w:jc w:val="right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w:t xml:space="preserve">Первый заместитель директора – </w:t>
    </w:r>
  </w:p>
  <w:p>
    <w:pPr>
      <w:pStyle w:val="Normal"/>
      <w:spacing w:lineRule="auto" w:line="276"/>
      <w:jc w:val="right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  <w:t>Главный инженер филиала</w:t>
    </w:r>
  </w:p>
  <w:p>
    <w:pPr>
      <w:pStyle w:val="Normal"/>
      <w:spacing w:lineRule="auto" w:line="276"/>
      <w:jc w:val="right"/>
      <w:rPr/>
    </w:pPr>
    <w:r>
      <w:rPr>
        <w:rFonts w:eastAsia="Calibri"/>
        <w:sz w:val="24"/>
        <w:szCs w:val="24"/>
      </w:rPr>
      <w:t>ПАО «РусГидро» - «Бурейская ГЭС»</w:t>
    </w:r>
  </w:p>
  <w:p>
    <w:pPr>
      <w:pStyle w:val="Normal"/>
      <w:spacing w:lineRule="auto" w:line="276"/>
      <w:jc w:val="right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  <w:p>
    <w:pPr>
      <w:pStyle w:val="Normal"/>
      <w:spacing w:lineRule="auto" w:line="276"/>
      <w:jc w:val="right"/>
      <w:rPr/>
    </w:pPr>
    <w:r>
      <w:rPr>
        <w:rFonts w:eastAsia="Calibri"/>
        <w:sz w:val="24"/>
        <w:szCs w:val="24"/>
      </w:rPr>
      <w:t>_____________ О.В.Григорьев</w:t>
    </w:r>
  </w:p>
  <w:p>
    <w:pPr>
      <w:pStyle w:val="Normal"/>
      <w:spacing w:lineRule="auto" w:line="276"/>
      <w:jc w:val="right"/>
      <w:rPr>
        <w:rFonts w:eastAsia="Calibri"/>
        <w:sz w:val="24"/>
        <w:szCs w:val="24"/>
      </w:rPr>
    </w:pPr>
    <w:r>
      <w:rPr>
        <w:rFonts w:eastAsia="Calibri"/>
        <w:sz w:val="24"/>
        <w:szCs w:val="24"/>
      </w:rPr>
    </w:r>
  </w:p>
  <w:p>
    <w:pPr>
      <w:pStyle w:val="Normal"/>
      <w:spacing w:lineRule="auto" w:line="276"/>
      <w:jc w:val="right"/>
      <w:rPr/>
    </w:pPr>
    <w:r>
      <w:rPr>
        <w:rFonts w:eastAsia="Calibri"/>
        <w:sz w:val="24"/>
        <w:szCs w:val="24"/>
      </w:rPr>
      <w:t>«_____» ____________ 2026 г.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19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679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2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679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color w:val="auto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szCs w:val="24"/>
        <w:iCs w:val="false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4"/>
        <w:i w:val="false"/>
        <w:szCs w:val="24"/>
        <w:iCs w:val="fals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sz w:val="24"/>
        <w:i w:val="false"/>
        <w:szCs w:val="24"/>
        <w:iCs w:val="false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>
        <w:sz w:val="24"/>
        <w:i w:val="false"/>
        <w:szCs w:val="24"/>
        <w:iCs w:val="false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>
        <w:sz w:val="24"/>
        <w:i w:val="false"/>
        <w:szCs w:val="24"/>
        <w:iCs w:val="false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>
        <w:sz w:val="24"/>
        <w:i w:val="false"/>
        <w:szCs w:val="24"/>
        <w:iCs w:val="false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>
        <w:sz w:val="24"/>
        <w:i w:val="false"/>
        <w:szCs w:val="24"/>
        <w:iCs w:val="false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>
        <w:sz w:val="24"/>
        <w:i w:val="false"/>
        <w:szCs w:val="24"/>
        <w:iCs w:val="false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>
        <w:sz w:val="24"/>
        <w:i w:val="false"/>
        <w:szCs w:val="24"/>
        <w:iCs w:val="false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szCs w:val="24"/>
        <w:iCs w:val="fals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i w:val="false"/>
        <w:szCs w:val="24"/>
        <w:iCs w:val="fals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4"/>
        <w:i w:val="false"/>
        <w:szCs w:val="24"/>
        <w:iCs w:val="fals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4"/>
        <w:i w:val="false"/>
        <w:szCs w:val="24"/>
        <w:iCs w:val="fals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4"/>
        <w:i w:val="false"/>
        <w:szCs w:val="24"/>
        <w:iCs w:val="fals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4"/>
        <w:i w:val="false"/>
        <w:szCs w:val="24"/>
        <w:iCs w:val="false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4"/>
        <w:i w:val="false"/>
        <w:szCs w:val="24"/>
        <w:iCs w:val="false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4"/>
        <w:i w:val="false"/>
        <w:szCs w:val="24"/>
        <w:iCs w:val="false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4"/>
        <w:i w:val="false"/>
        <w:szCs w:val="24"/>
        <w:iCs w:val="false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szCs w:val="24"/>
        <w:iCs w:val="fals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i w:val="false"/>
        <w:szCs w:val="24"/>
        <w:iCs w:val="fals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4"/>
        <w:i w:val="false"/>
        <w:szCs w:val="24"/>
        <w:iCs w:val="fals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4"/>
        <w:i w:val="false"/>
        <w:szCs w:val="24"/>
        <w:iCs w:val="fals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4"/>
        <w:i w:val="false"/>
        <w:szCs w:val="24"/>
        <w:iCs w:val="fals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4"/>
        <w:i w:val="false"/>
        <w:szCs w:val="24"/>
        <w:iCs w:val="false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4"/>
        <w:i w:val="false"/>
        <w:szCs w:val="24"/>
        <w:iCs w:val="false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4"/>
        <w:i w:val="false"/>
        <w:szCs w:val="24"/>
        <w:iCs w:val="false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4"/>
        <w:i w:val="false"/>
        <w:szCs w:val="24"/>
        <w:iCs w:val="false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szCs w:val="24"/>
        <w:iCs w:val="fals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i w:val="false"/>
        <w:szCs w:val="24"/>
        <w:iCs w:val="fals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4"/>
        <w:i w:val="false"/>
        <w:szCs w:val="24"/>
        <w:iCs w:val="fals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4"/>
        <w:i w:val="false"/>
        <w:szCs w:val="24"/>
        <w:iCs w:val="fals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4"/>
        <w:i w:val="false"/>
        <w:szCs w:val="24"/>
        <w:iCs w:val="fals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4"/>
        <w:i w:val="false"/>
        <w:szCs w:val="24"/>
        <w:iCs w:val="false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4"/>
        <w:i w:val="false"/>
        <w:szCs w:val="24"/>
        <w:iCs w:val="false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4"/>
        <w:i w:val="false"/>
        <w:szCs w:val="24"/>
        <w:iCs w:val="false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4"/>
        <w:i w:val="false"/>
        <w:szCs w:val="24"/>
        <w:iCs w:val="false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szCs w:val="24"/>
        <w:iCs w:val="false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4"/>
        <w:i w:val="false"/>
        <w:szCs w:val="24"/>
        <w:iCs w:val="fals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sz w:val="24"/>
        <w:i w:val="false"/>
        <w:szCs w:val="24"/>
        <w:iCs w:val="false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>
        <w:sz w:val="24"/>
        <w:i w:val="false"/>
        <w:szCs w:val="24"/>
        <w:iCs w:val="false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>
        <w:sz w:val="24"/>
        <w:i w:val="false"/>
        <w:szCs w:val="24"/>
        <w:iCs w:val="false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>
        <w:sz w:val="24"/>
        <w:i w:val="false"/>
        <w:szCs w:val="24"/>
        <w:iCs w:val="false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>
        <w:sz w:val="24"/>
        <w:i w:val="false"/>
        <w:szCs w:val="24"/>
        <w:iCs w:val="false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>
        <w:sz w:val="24"/>
        <w:i w:val="false"/>
        <w:szCs w:val="24"/>
        <w:iCs w:val="false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>
        <w:sz w:val="24"/>
        <w:i w:val="false"/>
        <w:szCs w:val="24"/>
        <w:iCs w:val="false"/>
      </w:r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szCs w:val="24"/>
        <w:i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i w:val="false"/>
        <w:szCs w:val="24"/>
        <w:i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i w:val="false"/>
        <w:szCs w:val="24"/>
        <w:i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i w:val="false"/>
        <w:szCs w:val="24"/>
        <w:i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i w:val="false"/>
        <w:szCs w:val="24"/>
        <w:i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i w:val="false"/>
        <w:szCs w:val="24"/>
        <w:i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i w:val="false"/>
        <w:szCs w:val="24"/>
        <w:i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i w:val="false"/>
        <w:szCs w:val="24"/>
        <w:i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i w:val="false"/>
        <w:szCs w:val="24"/>
        <w:iCs w:val="false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szCs w:val="24"/>
        <w:iCs w:val="false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4"/>
        <w:i w:val="false"/>
        <w:szCs w:val="24"/>
        <w:iCs w:val="false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sz w:val="24"/>
        <w:i w:val="false"/>
        <w:szCs w:val="24"/>
        <w:iCs w:val="false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>
        <w:sz w:val="24"/>
        <w:i w:val="false"/>
        <w:szCs w:val="24"/>
        <w:iCs w:val="false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>
        <w:sz w:val="24"/>
        <w:i w:val="false"/>
        <w:szCs w:val="24"/>
        <w:iCs w:val="false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>
        <w:sz w:val="24"/>
        <w:i w:val="false"/>
        <w:szCs w:val="24"/>
        <w:iCs w:val="false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>
        <w:sz w:val="24"/>
        <w:i w:val="false"/>
        <w:szCs w:val="24"/>
        <w:iCs w:val="false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>
        <w:sz w:val="24"/>
        <w:i w:val="false"/>
        <w:szCs w:val="24"/>
        <w:iCs w:val="false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>
        <w:sz w:val="24"/>
        <w:i w:val="false"/>
        <w:szCs w:val="24"/>
        <w:iCs w:val="false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szCs w:val="24"/>
        <w:iCs w:val="fals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i w:val="false"/>
        <w:szCs w:val="24"/>
        <w:iCs w:val="false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4"/>
        <w:i w:val="false"/>
        <w:szCs w:val="24"/>
        <w:iCs w:val="fals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sz w:val="24"/>
        <w:i w:val="false"/>
        <w:szCs w:val="24"/>
        <w:iCs w:val="fals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sz w:val="24"/>
        <w:i w:val="false"/>
        <w:szCs w:val="24"/>
        <w:iCs w:val="fals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sz w:val="24"/>
        <w:i w:val="false"/>
        <w:szCs w:val="24"/>
        <w:iCs w:val="false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sz w:val="24"/>
        <w:i w:val="false"/>
        <w:szCs w:val="24"/>
        <w:iCs w:val="false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sz w:val="24"/>
        <w:i w:val="false"/>
        <w:szCs w:val="24"/>
        <w:iCs w:val="false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sz w:val="24"/>
        <w:i w:val="false"/>
        <w:szCs w:val="24"/>
        <w:iCs w:val="false"/>
      </w:rPr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d57a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f0b32"/>
    <w:pPr>
      <w:keepNext w:val="true"/>
      <w:widowControl/>
      <w:numPr>
        <w:ilvl w:val="2"/>
        <w:numId w:val="3"/>
      </w:numPr>
      <w:tabs>
        <w:tab w:val="clear" w:pos="720"/>
        <w:tab w:val="left" w:pos="420" w:leader="none"/>
      </w:tabs>
      <w:suppressAutoHyphens w:val="true"/>
      <w:bidi w:val="0"/>
      <w:spacing w:before="120" w:after="60"/>
      <w:ind w:left="397" w:right="0" w:hanging="510"/>
      <w:jc w:val="left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f0b32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4f0b32"/>
    <w:rPr>
      <w:color w:val="605E5C"/>
      <w:shd w:fill="E1DFDD" w:val="clear"/>
    </w:rPr>
  </w:style>
  <w:style w:type="character" w:styleId="15" w:customStyle="1">
    <w:name w:val="Стиль15 Знак"/>
    <w:link w:val="151"/>
    <w:qFormat/>
    <w:rsid w:val="009870a8"/>
    <w:rPr>
      <w:rFonts w:eastAsia="Calibri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qFormat/>
    <w:rsid w:val="00ee6e9d"/>
    <w:rPr>
      <w:color w:val="808080"/>
    </w:rPr>
  </w:style>
  <w:style w:type="character" w:styleId="ConsPlusNormal" w:customStyle="1">
    <w:name w:val="ConsPlusNormal Знак"/>
    <w:link w:val="ConsPlusNormal1"/>
    <w:qFormat/>
    <w:locked/>
    <w:rsid w:val="00fa0675"/>
    <w:rPr>
      <w:rFonts w:ascii="Arial" w:hAnsi="Arial" w:cs="Arial"/>
    </w:rPr>
  </w:style>
  <w:style w:type="character" w:styleId="Style14">
    <w:name w:val="Ссылка указателя"/>
    <w:qFormat/>
    <w:rPr/>
  </w:style>
  <w:style w:type="character" w:styleId="Style15">
    <w:name w:val="Символ нумерации"/>
    <w:qFormat/>
    <w:rPr>
      <w:i w:val="false"/>
      <w:iCs w:val="false"/>
      <w:sz w:val="24"/>
      <w:szCs w:val="24"/>
    </w:rPr>
  </w:style>
  <w:style w:type="character" w:styleId="LineNumber">
    <w:name w:val="Line Number"/>
    <w:rPr/>
  </w:style>
  <w:style w:type="character" w:styleId="Strong11">
    <w:name w:val="Strong11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e2850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1" w:customStyle="1">
    <w:name w:val="ConsPlusNormal"/>
    <w:link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420"/>
        <w:tab w:val="left" w:pos="567" w:leader="none"/>
      </w:tabs>
      <w:suppressAutoHyphens w:val="true"/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21" w:customStyle="1">
    <w:name w:val="Стиль12"/>
    <w:basedOn w:val="Normal"/>
    <w:qFormat/>
    <w:rsid w:val="009870a8"/>
    <w:pPr>
      <w:numPr>
        <w:ilvl w:val="0"/>
        <w:numId w:val="8"/>
      </w:numPr>
      <w:tabs>
        <w:tab w:val="clear" w:pos="720"/>
        <w:tab w:val="left" w:pos="1134" w:leader="none"/>
      </w:tabs>
      <w:spacing w:before="0" w:after="0"/>
      <w:ind w:left="1497" w:hanging="930"/>
      <w:contextualSpacing/>
      <w:jc w:val="both"/>
    </w:pPr>
    <w:rPr>
      <w:sz w:val="24"/>
      <w:szCs w:val="24"/>
    </w:rPr>
  </w:style>
  <w:style w:type="paragraph" w:styleId="131" w:customStyle="1">
    <w:name w:val="Стиль13"/>
    <w:basedOn w:val="Normal"/>
    <w:autoRedefine/>
    <w:qFormat/>
    <w:rsid w:val="009870a8"/>
    <w:pPr>
      <w:numPr>
        <w:ilvl w:val="1"/>
        <w:numId w:val="8"/>
      </w:numPr>
      <w:tabs>
        <w:tab w:val="clear" w:pos="720"/>
        <w:tab w:val="left" w:pos="1134" w:leader="none"/>
      </w:tabs>
      <w:spacing w:before="0" w:after="0"/>
      <w:ind w:left="0" w:firstLine="709"/>
      <w:contextualSpacing/>
      <w:jc w:val="both"/>
    </w:pPr>
    <w:rPr>
      <w:sz w:val="24"/>
      <w:szCs w:val="24"/>
    </w:rPr>
  </w:style>
  <w:style w:type="paragraph" w:styleId="141" w:customStyle="1">
    <w:name w:val="Стиль14"/>
    <w:basedOn w:val="Normal"/>
    <w:qFormat/>
    <w:rsid w:val="009870a8"/>
    <w:pPr>
      <w:numPr>
        <w:ilvl w:val="2"/>
        <w:numId w:val="8"/>
      </w:numPr>
      <w:tabs>
        <w:tab w:val="clear" w:pos="720"/>
        <w:tab w:val="left" w:pos="1134" w:leader="none"/>
        <w:tab w:val="left" w:pos="1276" w:leader="none"/>
      </w:tabs>
      <w:spacing w:before="0" w:after="0"/>
      <w:contextualSpacing/>
      <w:jc w:val="both"/>
    </w:pPr>
    <w:rPr>
      <w:sz w:val="24"/>
      <w:szCs w:val="24"/>
    </w:rPr>
  </w:style>
  <w:style w:type="paragraph" w:styleId="151" w:customStyle="1">
    <w:name w:val="Стиль15"/>
    <w:basedOn w:val="141"/>
    <w:link w:val="15"/>
    <w:qFormat/>
    <w:rsid w:val="009870a8"/>
    <w:pPr>
      <w:tabs>
        <w:tab w:val="clear" w:pos="1134"/>
        <w:tab w:val="clear" w:pos="1276"/>
      </w:tabs>
      <w:ind w:hanging="0"/>
    </w:pPr>
    <w:rPr>
      <w:rFonts w:eastAsia="Calibri"/>
      <w:lang w:eastAsia="en-US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6" w:customStyle="1">
    <w:name w:val="Стиль3"/>
    <w:uiPriority w:val="99"/>
    <w:qFormat/>
    <w:rsid w:val="00985e2c"/>
  </w:style>
  <w:style w:type="numbering" w:styleId="26521409561">
    <w:name w:val="26521409561"/>
    <w:qFormat/>
  </w:style>
  <w:style w:type="numbering" w:styleId="8811504271">
    <w:name w:val="8811504271"/>
    <w:qFormat/>
  </w:style>
  <w:style w:type="numbering" w:styleId="5942036981">
    <w:name w:val="5942036981"/>
    <w:qFormat/>
  </w:style>
  <w:style w:type="numbering" w:styleId="41286372531">
    <w:name w:val="41286372531"/>
    <w:qFormat/>
  </w:style>
  <w:style w:type="numbering" w:styleId="26734963761">
    <w:name w:val="26734963761"/>
    <w:qFormat/>
  </w:style>
  <w:style w:type="numbering" w:styleId="24702021951">
    <w:name w:val="24702021951"/>
    <w:qFormat/>
  </w:style>
  <w:style w:type="numbering" w:styleId="34502818751">
    <w:name w:val="34502818751"/>
    <w:qFormat/>
  </w:style>
  <w:style w:type="numbering" w:styleId="22818197621">
    <w:name w:val="22818197621"/>
    <w:qFormat/>
  </w:style>
  <w:style w:type="numbering" w:styleId="9319243981">
    <w:name w:val="9319243981"/>
    <w:qFormat/>
  </w:style>
  <w:style w:type="numbering" w:styleId="933096811">
    <w:name w:val="933096811"/>
    <w:qFormat/>
  </w:style>
  <w:style w:type="numbering" w:styleId="38419392291">
    <w:name w:val="384193922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B3FCA-C6F3-4A6A-8EC7-966956BE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5704</TotalTime>
  <Application>AlterOffice/3.4.0.9$Linux_X86_64 LibreOffice_project/b8daf9e823b1a5463a2f48435ddc2e8696e7d4fc</Application>
  <AppVersion>15.0000</AppVersion>
  <Pages>10</Pages>
  <Words>2085</Words>
  <Characters>14924</Characters>
  <CharactersWithSpaces>17746</CharactersWithSpaces>
  <Paragraphs>280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2024-05-16T01:30:00Z</dcterms:created>
  <dc:creator>Быстров Олег Геннадьевич</dc:creator>
  <dc:description/>
  <dc:language>ru-RU</dc:language>
  <cp:lastModifiedBy>vasilenkovv@corp.gidroogk.com</cp:lastModifiedBy>
  <cp:lastPrinted>2025-02-18T11:30:37Z</cp:lastPrinted>
  <dcterms:modified xsi:type="dcterms:W3CDTF">2026-08-03T16:21:33Z</dcterms:modified>
  <cp:revision>122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