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A9A0A" w14:textId="746A67F8" w:rsidR="000D50C6" w:rsidRPr="008A1965" w:rsidRDefault="008F7BAE" w:rsidP="008F7BAE">
      <w:pPr>
        <w:autoSpaceDE w:val="0"/>
        <w:autoSpaceDN w:val="0"/>
        <w:spacing w:after="0" w:line="240" w:lineRule="auto"/>
        <w:jc w:val="both"/>
        <w:rPr>
          <w:rFonts w:ascii="Times New Roman" w:hAnsi="Times New Roman" w:cs="Times New Roman"/>
          <w:snapToGrid w:val="0"/>
          <w:sz w:val="24"/>
          <w:szCs w:val="24"/>
        </w:rPr>
      </w:pPr>
      <w:r>
        <w:t xml:space="preserve">                                                                                                                                                                                                                                    </w:t>
      </w:r>
      <w:r w:rsidR="000D50C6" w:rsidRPr="008A1965">
        <w:rPr>
          <w:rFonts w:ascii="Times New Roman" w:hAnsi="Times New Roman" w:cs="Times New Roman"/>
          <w:snapToGrid w:val="0"/>
          <w:sz w:val="24"/>
          <w:szCs w:val="24"/>
        </w:rPr>
        <w:t>Приложение № 1</w:t>
      </w:r>
    </w:p>
    <w:p w14:paraId="24245464" w14:textId="012F2955" w:rsidR="000D50C6" w:rsidRPr="008A1965" w:rsidRDefault="000D50C6" w:rsidP="000D50C6">
      <w:pPr>
        <w:suppressAutoHyphens/>
        <w:spacing w:after="0" w:line="240" w:lineRule="auto"/>
        <w:ind w:left="11328"/>
        <w:rPr>
          <w:rFonts w:ascii="Times New Roman" w:hAnsi="Times New Roman" w:cs="Times New Roman"/>
          <w:snapToGrid w:val="0"/>
          <w:sz w:val="24"/>
          <w:szCs w:val="24"/>
        </w:rPr>
      </w:pPr>
      <w:r w:rsidRPr="008A1965">
        <w:rPr>
          <w:rFonts w:ascii="Times New Roman" w:hAnsi="Times New Roman" w:cs="Times New Roman"/>
          <w:snapToGrid w:val="0"/>
          <w:sz w:val="24"/>
          <w:szCs w:val="24"/>
        </w:rPr>
        <w:t>Приглашени</w:t>
      </w:r>
      <w:r w:rsidR="00F90299">
        <w:rPr>
          <w:rFonts w:ascii="Times New Roman" w:hAnsi="Times New Roman" w:cs="Times New Roman"/>
          <w:snapToGrid w:val="0"/>
          <w:sz w:val="24"/>
          <w:szCs w:val="24"/>
        </w:rPr>
        <w:t>е</w:t>
      </w:r>
      <w:r w:rsidRPr="008A1965">
        <w:rPr>
          <w:rFonts w:ascii="Times New Roman" w:hAnsi="Times New Roman" w:cs="Times New Roman"/>
          <w:snapToGrid w:val="0"/>
          <w:sz w:val="24"/>
          <w:szCs w:val="24"/>
        </w:rPr>
        <w:t xml:space="preserve"> к участию в закупке способом «сравнение цен»</w:t>
      </w:r>
    </w:p>
    <w:p w14:paraId="20C6433E" w14:textId="77777777" w:rsidR="00564D79" w:rsidRPr="008A1965" w:rsidRDefault="00564D79" w:rsidP="00564D79">
      <w:pPr>
        <w:suppressAutoHyphens/>
        <w:spacing w:after="0" w:line="240" w:lineRule="auto"/>
        <w:ind w:left="11328"/>
        <w:rPr>
          <w:rFonts w:ascii="Times New Roman" w:hAnsi="Times New Roman" w:cs="Times New Roman"/>
          <w:snapToGrid w:val="0"/>
          <w:sz w:val="24"/>
          <w:szCs w:val="24"/>
        </w:rPr>
      </w:pPr>
    </w:p>
    <w:p w14:paraId="710E5CDD" w14:textId="77777777" w:rsidR="00564D79" w:rsidRPr="008A1965" w:rsidRDefault="00564D79" w:rsidP="00564D79">
      <w:pPr>
        <w:pStyle w:val="af2"/>
        <w:tabs>
          <w:tab w:val="clear" w:pos="1134"/>
        </w:tabs>
        <w:spacing w:before="120" w:line="276" w:lineRule="auto"/>
        <w:ind w:left="567" w:firstLine="0"/>
        <w:jc w:val="center"/>
        <w:rPr>
          <w:b/>
          <w:sz w:val="24"/>
          <w:szCs w:val="24"/>
        </w:rPr>
      </w:pPr>
      <w:r w:rsidRPr="008A1965">
        <w:rPr>
          <w:b/>
          <w:sz w:val="24"/>
          <w:szCs w:val="24"/>
        </w:rPr>
        <w:t>Требования к закупаемой услуге</w:t>
      </w:r>
    </w:p>
    <w:tbl>
      <w:tblPr>
        <w:tblW w:w="0" w:type="auto"/>
        <w:tblInd w:w="113" w:type="dxa"/>
        <w:tblLook w:val="04A0" w:firstRow="1" w:lastRow="0" w:firstColumn="1" w:lastColumn="0" w:noHBand="0" w:noVBand="1"/>
      </w:tblPr>
      <w:tblGrid>
        <w:gridCol w:w="466"/>
        <w:gridCol w:w="5228"/>
        <w:gridCol w:w="8505"/>
      </w:tblGrid>
      <w:tr w:rsidR="00961A4F" w:rsidRPr="00961A4F" w14:paraId="77650511" w14:textId="77777777" w:rsidTr="00C058F5">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BFBFBF"/>
            <w:hideMark/>
          </w:tcPr>
          <w:p w14:paraId="56003F3F" w14:textId="77777777" w:rsidR="00961A4F" w:rsidRPr="00961A4F" w:rsidRDefault="00961A4F" w:rsidP="00961A4F">
            <w:pPr>
              <w:spacing w:after="0" w:line="276" w:lineRule="auto"/>
              <w:jc w:val="center"/>
              <w:rPr>
                <w:rFonts w:ascii="Times New Roman" w:hAnsi="Times New Roman" w:cs="Times New Roman"/>
                <w:b/>
                <w:bCs/>
                <w:sz w:val="20"/>
                <w:szCs w:val="20"/>
              </w:rPr>
            </w:pPr>
            <w:r w:rsidRPr="00961A4F">
              <w:rPr>
                <w:rFonts w:ascii="Times New Roman" w:hAnsi="Times New Roman" w:cs="Times New Roman"/>
                <w:b/>
                <w:bCs/>
                <w:sz w:val="20"/>
                <w:szCs w:val="20"/>
              </w:rPr>
              <w:t>1</w:t>
            </w:r>
          </w:p>
        </w:tc>
        <w:tc>
          <w:tcPr>
            <w:tcW w:w="13733" w:type="dxa"/>
            <w:gridSpan w:val="2"/>
            <w:tcBorders>
              <w:top w:val="single" w:sz="4" w:space="0" w:color="auto"/>
              <w:left w:val="nil"/>
              <w:bottom w:val="single" w:sz="4" w:space="0" w:color="auto"/>
              <w:right w:val="single" w:sz="4" w:space="0" w:color="000000"/>
            </w:tcBorders>
            <w:shd w:val="clear" w:color="000000" w:fill="BFBFBF"/>
            <w:hideMark/>
          </w:tcPr>
          <w:p w14:paraId="628730B9" w14:textId="77777777" w:rsidR="00961A4F" w:rsidRPr="00961A4F" w:rsidRDefault="00961A4F" w:rsidP="00961A4F">
            <w:pPr>
              <w:spacing w:after="0" w:line="276" w:lineRule="auto"/>
              <w:rPr>
                <w:rFonts w:ascii="Times New Roman" w:hAnsi="Times New Roman" w:cs="Times New Roman"/>
                <w:b/>
                <w:bCs/>
                <w:sz w:val="20"/>
                <w:szCs w:val="20"/>
              </w:rPr>
            </w:pPr>
            <w:r w:rsidRPr="00961A4F">
              <w:rPr>
                <w:rFonts w:ascii="Times New Roman" w:hAnsi="Times New Roman" w:cs="Times New Roman"/>
                <w:b/>
                <w:bCs/>
                <w:sz w:val="20"/>
                <w:szCs w:val="20"/>
              </w:rPr>
              <w:t>Общая информация о закупке</w:t>
            </w:r>
          </w:p>
        </w:tc>
      </w:tr>
      <w:tr w:rsidR="008A1965" w:rsidRPr="00961A4F" w14:paraId="66C5A038"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79805189"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1.1</w:t>
            </w:r>
          </w:p>
        </w:tc>
        <w:tc>
          <w:tcPr>
            <w:tcW w:w="5228" w:type="dxa"/>
            <w:tcBorders>
              <w:top w:val="single" w:sz="4" w:space="0" w:color="auto"/>
              <w:left w:val="nil"/>
              <w:bottom w:val="single" w:sz="4" w:space="0" w:color="auto"/>
              <w:right w:val="single" w:sz="4" w:space="0" w:color="auto"/>
            </w:tcBorders>
            <w:shd w:val="clear" w:color="auto" w:fill="auto"/>
            <w:hideMark/>
          </w:tcPr>
          <w:p w14:paraId="4AC4F86B"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Номер Лота</w:t>
            </w:r>
          </w:p>
        </w:tc>
        <w:tc>
          <w:tcPr>
            <w:tcW w:w="8505" w:type="dxa"/>
            <w:tcBorders>
              <w:top w:val="single" w:sz="4" w:space="0" w:color="auto"/>
              <w:left w:val="nil"/>
              <w:bottom w:val="single" w:sz="4" w:space="0" w:color="auto"/>
              <w:right w:val="single" w:sz="4" w:space="0" w:color="auto"/>
            </w:tcBorders>
            <w:shd w:val="clear" w:color="auto" w:fill="auto"/>
            <w:hideMark/>
          </w:tcPr>
          <w:p w14:paraId="017B0042" w14:textId="155A1D8C" w:rsidR="008A1965" w:rsidRPr="00961A4F" w:rsidRDefault="00F90299" w:rsidP="00176822">
            <w:pPr>
              <w:spacing w:after="0" w:line="276" w:lineRule="auto"/>
              <w:rPr>
                <w:rFonts w:ascii="Times New Roman" w:hAnsi="Times New Roman" w:cs="Times New Roman"/>
                <w:sz w:val="20"/>
                <w:szCs w:val="20"/>
              </w:rPr>
            </w:pPr>
            <w:r>
              <w:rPr>
                <w:rFonts w:ascii="Times New Roman" w:hAnsi="Times New Roman" w:cs="Times New Roman"/>
                <w:sz w:val="20"/>
                <w:szCs w:val="20"/>
              </w:rPr>
              <w:t>3000</w:t>
            </w:r>
            <w:r w:rsidR="00176822">
              <w:rPr>
                <w:rFonts w:ascii="Times New Roman" w:hAnsi="Times New Roman" w:cs="Times New Roman"/>
                <w:sz w:val="20"/>
                <w:szCs w:val="20"/>
              </w:rPr>
              <w:t>572</w:t>
            </w:r>
          </w:p>
        </w:tc>
      </w:tr>
      <w:tr w:rsidR="008A1965" w:rsidRPr="00961A4F" w14:paraId="7FAC57D7"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6A05FAF"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1.2</w:t>
            </w:r>
          </w:p>
        </w:tc>
        <w:tc>
          <w:tcPr>
            <w:tcW w:w="5228" w:type="dxa"/>
            <w:tcBorders>
              <w:top w:val="single" w:sz="4" w:space="0" w:color="auto"/>
              <w:left w:val="nil"/>
              <w:bottom w:val="single" w:sz="4" w:space="0" w:color="auto"/>
              <w:right w:val="single" w:sz="4" w:space="0" w:color="auto"/>
            </w:tcBorders>
            <w:shd w:val="clear" w:color="auto" w:fill="auto"/>
            <w:hideMark/>
          </w:tcPr>
          <w:p w14:paraId="11838BA0"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Наименование Лота</w:t>
            </w:r>
          </w:p>
        </w:tc>
        <w:tc>
          <w:tcPr>
            <w:tcW w:w="8505" w:type="dxa"/>
            <w:tcBorders>
              <w:top w:val="single" w:sz="4" w:space="0" w:color="auto"/>
              <w:left w:val="nil"/>
              <w:bottom w:val="single" w:sz="4" w:space="0" w:color="auto"/>
              <w:right w:val="single" w:sz="4" w:space="0" w:color="auto"/>
            </w:tcBorders>
            <w:shd w:val="clear" w:color="auto" w:fill="auto"/>
            <w:hideMark/>
          </w:tcPr>
          <w:p w14:paraId="7E9044CD" w14:textId="1ADE8B57" w:rsidR="008A1965" w:rsidRPr="00961A4F" w:rsidRDefault="00176822" w:rsidP="008A1965">
            <w:pPr>
              <w:spacing w:after="0" w:line="276" w:lineRule="auto"/>
              <w:rPr>
                <w:rFonts w:ascii="Times New Roman" w:hAnsi="Times New Roman" w:cs="Times New Roman"/>
                <w:sz w:val="20"/>
                <w:szCs w:val="20"/>
              </w:rPr>
            </w:pPr>
            <w:r>
              <w:rPr>
                <w:rFonts w:ascii="Times New Roman" w:hAnsi="Times New Roman" w:cs="Times New Roman"/>
                <w:sz w:val="20"/>
                <w:szCs w:val="20"/>
              </w:rPr>
              <w:t>Услуги оценочных организаций</w:t>
            </w:r>
          </w:p>
        </w:tc>
      </w:tr>
      <w:tr w:rsidR="008A1965" w:rsidRPr="00961A4F" w14:paraId="1EDB7C73"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11B2DE8D"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1.3</w:t>
            </w:r>
          </w:p>
        </w:tc>
        <w:tc>
          <w:tcPr>
            <w:tcW w:w="5228" w:type="dxa"/>
            <w:tcBorders>
              <w:top w:val="single" w:sz="4" w:space="0" w:color="auto"/>
              <w:left w:val="nil"/>
              <w:bottom w:val="single" w:sz="4" w:space="0" w:color="auto"/>
              <w:right w:val="single" w:sz="4" w:space="0" w:color="auto"/>
            </w:tcBorders>
            <w:shd w:val="clear" w:color="auto" w:fill="auto"/>
            <w:hideMark/>
          </w:tcPr>
          <w:p w14:paraId="16107C0D"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Наименование закупаемой продукции</w:t>
            </w:r>
          </w:p>
        </w:tc>
        <w:tc>
          <w:tcPr>
            <w:tcW w:w="8505" w:type="dxa"/>
            <w:tcBorders>
              <w:top w:val="single" w:sz="4" w:space="0" w:color="auto"/>
              <w:left w:val="nil"/>
              <w:bottom w:val="single" w:sz="4" w:space="0" w:color="auto"/>
              <w:right w:val="single" w:sz="4" w:space="0" w:color="auto"/>
            </w:tcBorders>
            <w:shd w:val="clear" w:color="auto" w:fill="auto"/>
            <w:hideMark/>
          </w:tcPr>
          <w:p w14:paraId="1173B460" w14:textId="47BC05A8" w:rsidR="008A1965" w:rsidRPr="00F90299" w:rsidRDefault="00D15327" w:rsidP="00CD478F">
            <w:pPr>
              <w:spacing w:after="0" w:line="276" w:lineRule="auto"/>
              <w:rPr>
                <w:rFonts w:ascii="Times New Roman" w:hAnsi="Times New Roman" w:cs="Times New Roman"/>
                <w:sz w:val="20"/>
                <w:szCs w:val="20"/>
              </w:rPr>
            </w:pPr>
            <w:r>
              <w:rPr>
                <w:rFonts w:ascii="Times New Roman" w:hAnsi="Times New Roman" w:cs="Times New Roman"/>
                <w:sz w:val="20"/>
                <w:szCs w:val="20"/>
              </w:rPr>
              <w:t>Оценка стоимости движимого имущества</w:t>
            </w:r>
          </w:p>
        </w:tc>
      </w:tr>
      <w:tr w:rsidR="008A1965" w:rsidRPr="00961A4F" w14:paraId="4194F682"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5421CBE"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1.4</w:t>
            </w:r>
          </w:p>
        </w:tc>
        <w:tc>
          <w:tcPr>
            <w:tcW w:w="5228" w:type="dxa"/>
            <w:tcBorders>
              <w:top w:val="single" w:sz="4" w:space="0" w:color="auto"/>
              <w:left w:val="nil"/>
              <w:bottom w:val="single" w:sz="4" w:space="0" w:color="auto"/>
              <w:right w:val="single" w:sz="4" w:space="0" w:color="auto"/>
            </w:tcBorders>
            <w:shd w:val="clear" w:color="auto" w:fill="auto"/>
            <w:hideMark/>
          </w:tcPr>
          <w:p w14:paraId="3455A47A"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Код по ОКПД 2</w:t>
            </w:r>
          </w:p>
        </w:tc>
        <w:tc>
          <w:tcPr>
            <w:tcW w:w="8505" w:type="dxa"/>
            <w:tcBorders>
              <w:top w:val="single" w:sz="4" w:space="0" w:color="auto"/>
              <w:left w:val="nil"/>
              <w:bottom w:val="single" w:sz="4" w:space="0" w:color="auto"/>
              <w:right w:val="single" w:sz="4" w:space="0" w:color="000000"/>
            </w:tcBorders>
            <w:shd w:val="clear" w:color="auto" w:fill="auto"/>
            <w:hideMark/>
          </w:tcPr>
          <w:p w14:paraId="5493B509" w14:textId="633E7BDB" w:rsidR="008A1965" w:rsidRPr="00F90299" w:rsidRDefault="00176822" w:rsidP="00CD478F">
            <w:pPr>
              <w:spacing w:after="0" w:line="276" w:lineRule="auto"/>
              <w:rPr>
                <w:rFonts w:ascii="Times New Roman" w:hAnsi="Times New Roman" w:cs="Times New Roman"/>
                <w:sz w:val="20"/>
                <w:szCs w:val="20"/>
              </w:rPr>
            </w:pPr>
            <w:r>
              <w:rPr>
                <w:rFonts w:ascii="Times New Roman" w:hAnsi="Times New Roman" w:cs="Times New Roman"/>
                <w:sz w:val="20"/>
                <w:szCs w:val="20"/>
              </w:rPr>
              <w:t>74.90.12.122</w:t>
            </w:r>
          </w:p>
        </w:tc>
      </w:tr>
      <w:tr w:rsidR="008A1965" w:rsidRPr="00961A4F" w14:paraId="1EC1C95E"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AC1A3B5"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1.5</w:t>
            </w:r>
          </w:p>
        </w:tc>
        <w:tc>
          <w:tcPr>
            <w:tcW w:w="5228" w:type="dxa"/>
            <w:tcBorders>
              <w:top w:val="single" w:sz="4" w:space="0" w:color="auto"/>
              <w:left w:val="nil"/>
              <w:bottom w:val="single" w:sz="4" w:space="0" w:color="auto"/>
              <w:right w:val="single" w:sz="4" w:space="0" w:color="auto"/>
            </w:tcBorders>
            <w:shd w:val="clear" w:color="auto" w:fill="auto"/>
            <w:hideMark/>
          </w:tcPr>
          <w:p w14:paraId="41B21F5C"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Наименование по коду ОКПД 2</w:t>
            </w:r>
          </w:p>
        </w:tc>
        <w:tc>
          <w:tcPr>
            <w:tcW w:w="8505" w:type="dxa"/>
            <w:tcBorders>
              <w:top w:val="single" w:sz="4" w:space="0" w:color="auto"/>
              <w:left w:val="nil"/>
              <w:bottom w:val="single" w:sz="4" w:space="0" w:color="auto"/>
              <w:right w:val="single" w:sz="4" w:space="0" w:color="auto"/>
            </w:tcBorders>
            <w:shd w:val="clear" w:color="auto" w:fill="auto"/>
            <w:hideMark/>
          </w:tcPr>
          <w:p w14:paraId="6969E6A2" w14:textId="1B1802D7" w:rsidR="008A1965" w:rsidRPr="00961A4F" w:rsidRDefault="00534127" w:rsidP="00176822">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Услуги по </w:t>
            </w:r>
            <w:r w:rsidR="00176822">
              <w:rPr>
                <w:rFonts w:ascii="Times New Roman" w:hAnsi="Times New Roman" w:cs="Times New Roman"/>
                <w:sz w:val="20"/>
                <w:szCs w:val="20"/>
              </w:rPr>
              <w:t>установлению рыночной или иной стоимости совокупности вещей, составляющих имущество лица, в том числе имущество определенного вида</w:t>
            </w:r>
          </w:p>
        </w:tc>
      </w:tr>
      <w:tr w:rsidR="008A1965" w:rsidRPr="00961A4F" w14:paraId="2808A391"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B56DFF0"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1.6</w:t>
            </w:r>
          </w:p>
        </w:tc>
        <w:tc>
          <w:tcPr>
            <w:tcW w:w="5228" w:type="dxa"/>
            <w:tcBorders>
              <w:top w:val="single" w:sz="4" w:space="0" w:color="auto"/>
              <w:left w:val="nil"/>
              <w:bottom w:val="single" w:sz="4" w:space="0" w:color="auto"/>
              <w:right w:val="single" w:sz="4" w:space="0" w:color="auto"/>
            </w:tcBorders>
            <w:shd w:val="clear" w:color="auto" w:fill="auto"/>
            <w:hideMark/>
          </w:tcPr>
          <w:p w14:paraId="1ED9A3ED"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Условие участия в закупочной процедуре только субъектов МСП (да/нет)</w:t>
            </w:r>
          </w:p>
        </w:tc>
        <w:tc>
          <w:tcPr>
            <w:tcW w:w="8505" w:type="dxa"/>
            <w:tcBorders>
              <w:top w:val="single" w:sz="4" w:space="0" w:color="auto"/>
              <w:left w:val="nil"/>
              <w:bottom w:val="single" w:sz="4" w:space="0" w:color="auto"/>
              <w:right w:val="single" w:sz="4" w:space="0" w:color="auto"/>
            </w:tcBorders>
            <w:shd w:val="clear" w:color="auto" w:fill="auto"/>
            <w:hideMark/>
          </w:tcPr>
          <w:p w14:paraId="1E72753F" w14:textId="5992E1AF" w:rsidR="008A1965" w:rsidRPr="00F90299" w:rsidRDefault="008A1965" w:rsidP="008A1965">
            <w:pPr>
              <w:spacing w:after="0" w:line="276" w:lineRule="auto"/>
              <w:rPr>
                <w:rFonts w:ascii="Times New Roman" w:hAnsi="Times New Roman" w:cs="Times New Roman"/>
                <w:sz w:val="20"/>
                <w:szCs w:val="20"/>
              </w:rPr>
            </w:pPr>
            <w:r w:rsidRPr="00F90299">
              <w:rPr>
                <w:rFonts w:ascii="Times New Roman" w:eastAsia="Times New Roman" w:hAnsi="Times New Roman" w:cs="Times New Roman"/>
                <w:sz w:val="20"/>
                <w:szCs w:val="20"/>
              </w:rPr>
              <w:t>да</w:t>
            </w:r>
          </w:p>
        </w:tc>
      </w:tr>
      <w:tr w:rsidR="008A1965" w:rsidRPr="00961A4F" w14:paraId="3CFA69A4"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E77B58F"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1.7</w:t>
            </w:r>
          </w:p>
        </w:tc>
        <w:tc>
          <w:tcPr>
            <w:tcW w:w="5228" w:type="dxa"/>
            <w:tcBorders>
              <w:top w:val="single" w:sz="4" w:space="0" w:color="auto"/>
              <w:left w:val="nil"/>
              <w:bottom w:val="single" w:sz="4" w:space="0" w:color="auto"/>
              <w:right w:val="single" w:sz="4" w:space="0" w:color="auto"/>
            </w:tcBorders>
            <w:shd w:val="clear" w:color="auto" w:fill="auto"/>
            <w:hideMark/>
          </w:tcPr>
          <w:p w14:paraId="017D1E86"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Место поставки товара/выполнения работ/оказания услуг</w:t>
            </w:r>
          </w:p>
        </w:tc>
        <w:tc>
          <w:tcPr>
            <w:tcW w:w="8505" w:type="dxa"/>
            <w:tcBorders>
              <w:top w:val="single" w:sz="4" w:space="0" w:color="auto"/>
              <w:left w:val="nil"/>
              <w:bottom w:val="single" w:sz="4" w:space="0" w:color="auto"/>
              <w:right w:val="single" w:sz="4" w:space="0" w:color="auto"/>
            </w:tcBorders>
            <w:shd w:val="clear" w:color="auto" w:fill="auto"/>
            <w:hideMark/>
          </w:tcPr>
          <w:p w14:paraId="380899A0" w14:textId="1E9B9952" w:rsidR="008A1965" w:rsidRPr="00961A4F" w:rsidRDefault="00176822" w:rsidP="00F90299">
            <w:pPr>
              <w:spacing w:after="0" w:line="276" w:lineRule="auto"/>
              <w:rPr>
                <w:rFonts w:ascii="Times New Roman" w:hAnsi="Times New Roman" w:cs="Times New Roman"/>
                <w:sz w:val="20"/>
                <w:szCs w:val="20"/>
              </w:rPr>
            </w:pPr>
            <w:r>
              <w:rPr>
                <w:rFonts w:ascii="Times New Roman" w:hAnsi="Times New Roman" w:cs="Times New Roman"/>
                <w:sz w:val="20"/>
                <w:szCs w:val="20"/>
              </w:rPr>
              <w:t>Г. Тула, ул. Демидовская плотина, дом 10</w:t>
            </w:r>
          </w:p>
        </w:tc>
      </w:tr>
      <w:tr w:rsidR="008A1965" w:rsidRPr="00961A4F" w14:paraId="1FA5C291"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DB387B3"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1.8</w:t>
            </w:r>
          </w:p>
        </w:tc>
        <w:tc>
          <w:tcPr>
            <w:tcW w:w="5228" w:type="dxa"/>
            <w:tcBorders>
              <w:top w:val="single" w:sz="4" w:space="0" w:color="auto"/>
              <w:left w:val="nil"/>
              <w:bottom w:val="single" w:sz="4" w:space="0" w:color="auto"/>
              <w:right w:val="single" w:sz="4" w:space="0" w:color="auto"/>
            </w:tcBorders>
            <w:shd w:val="clear" w:color="auto" w:fill="auto"/>
            <w:hideMark/>
          </w:tcPr>
          <w:p w14:paraId="1B69D70A"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Срок поставки товара/выполнения работ/оказания услуг</w:t>
            </w:r>
          </w:p>
        </w:tc>
        <w:tc>
          <w:tcPr>
            <w:tcW w:w="8505" w:type="dxa"/>
            <w:tcBorders>
              <w:top w:val="single" w:sz="4" w:space="0" w:color="auto"/>
              <w:left w:val="nil"/>
              <w:bottom w:val="single" w:sz="4" w:space="0" w:color="auto"/>
              <w:right w:val="single" w:sz="4" w:space="0" w:color="auto"/>
            </w:tcBorders>
            <w:shd w:val="clear" w:color="auto" w:fill="auto"/>
            <w:hideMark/>
          </w:tcPr>
          <w:p w14:paraId="466B5B98" w14:textId="60918926" w:rsidR="008A1965" w:rsidRPr="00961A4F" w:rsidRDefault="0097147B" w:rsidP="008A1965">
            <w:pPr>
              <w:spacing w:after="0" w:line="276" w:lineRule="auto"/>
              <w:rPr>
                <w:rFonts w:ascii="Times New Roman" w:hAnsi="Times New Roman" w:cs="Times New Roman"/>
                <w:sz w:val="20"/>
                <w:szCs w:val="20"/>
              </w:rPr>
            </w:pPr>
            <w:r>
              <w:rPr>
                <w:rFonts w:ascii="Times New Roman" w:hAnsi="Times New Roman" w:cs="Times New Roman"/>
                <w:sz w:val="20"/>
                <w:szCs w:val="20"/>
              </w:rPr>
              <w:t>10.09.2026 г.</w:t>
            </w:r>
          </w:p>
        </w:tc>
      </w:tr>
      <w:tr w:rsidR="008A1965" w:rsidRPr="00961A4F" w14:paraId="76FEE015" w14:textId="77777777" w:rsidTr="00EC1700">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3526012E" w14:textId="77777777" w:rsidR="008A1965" w:rsidRPr="00961A4F" w:rsidRDefault="008A1965" w:rsidP="008A1965">
            <w:pPr>
              <w:spacing w:after="0" w:line="276" w:lineRule="auto"/>
              <w:jc w:val="center"/>
              <w:rPr>
                <w:rFonts w:ascii="Times New Roman" w:hAnsi="Times New Roman" w:cs="Times New Roman"/>
                <w:sz w:val="20"/>
                <w:szCs w:val="20"/>
              </w:rPr>
            </w:pPr>
            <w:r w:rsidRPr="00961A4F">
              <w:rPr>
                <w:rFonts w:ascii="Times New Roman" w:hAnsi="Times New Roman" w:cs="Times New Roman"/>
                <w:sz w:val="20"/>
                <w:szCs w:val="20"/>
              </w:rPr>
              <w:t>1.9</w:t>
            </w:r>
          </w:p>
        </w:tc>
        <w:tc>
          <w:tcPr>
            <w:tcW w:w="5228" w:type="dxa"/>
            <w:tcBorders>
              <w:top w:val="single" w:sz="4" w:space="0" w:color="auto"/>
              <w:left w:val="nil"/>
              <w:bottom w:val="single" w:sz="4" w:space="0" w:color="auto"/>
              <w:right w:val="single" w:sz="4" w:space="0" w:color="auto"/>
            </w:tcBorders>
            <w:shd w:val="clear" w:color="auto" w:fill="auto"/>
            <w:hideMark/>
          </w:tcPr>
          <w:p w14:paraId="0E0806A6" w14:textId="77777777" w:rsidR="008A1965" w:rsidRPr="008A1965" w:rsidRDefault="008A1965" w:rsidP="008A1965">
            <w:pPr>
              <w:spacing w:after="0" w:line="276" w:lineRule="auto"/>
              <w:rPr>
                <w:rFonts w:ascii="Times New Roman" w:hAnsi="Times New Roman" w:cs="Times New Roman"/>
                <w:sz w:val="24"/>
                <w:szCs w:val="24"/>
              </w:rPr>
            </w:pPr>
            <w:r w:rsidRPr="008A1965">
              <w:rPr>
                <w:rFonts w:ascii="Times New Roman" w:hAnsi="Times New Roman" w:cs="Times New Roman"/>
                <w:sz w:val="24"/>
                <w:szCs w:val="24"/>
              </w:rPr>
              <w:t>Форма, условия и порядок оплаты</w:t>
            </w:r>
          </w:p>
        </w:tc>
        <w:tc>
          <w:tcPr>
            <w:tcW w:w="8505" w:type="dxa"/>
            <w:tcBorders>
              <w:top w:val="single" w:sz="4" w:space="0" w:color="auto"/>
              <w:left w:val="nil"/>
              <w:bottom w:val="single" w:sz="4" w:space="0" w:color="auto"/>
              <w:right w:val="single" w:sz="4" w:space="0" w:color="auto"/>
            </w:tcBorders>
            <w:shd w:val="clear" w:color="auto" w:fill="auto"/>
            <w:hideMark/>
          </w:tcPr>
          <w:p w14:paraId="64F3C5F9" w14:textId="1CF87CE8" w:rsidR="008A1965" w:rsidRPr="00961A4F" w:rsidRDefault="00F90299" w:rsidP="008A1965">
            <w:pPr>
              <w:spacing w:after="0" w:line="276" w:lineRule="auto"/>
              <w:rPr>
                <w:rFonts w:ascii="Times New Roman" w:hAnsi="Times New Roman" w:cs="Times New Roman"/>
                <w:sz w:val="20"/>
                <w:szCs w:val="20"/>
              </w:rPr>
            </w:pPr>
            <w:r>
              <w:rPr>
                <w:rFonts w:ascii="Times New Roman" w:hAnsi="Times New Roman" w:cs="Times New Roman"/>
                <w:sz w:val="20"/>
                <w:szCs w:val="20"/>
              </w:rPr>
              <w:t>В течении 7 дней с момента подписания акта выполненных работ</w:t>
            </w:r>
          </w:p>
        </w:tc>
      </w:tr>
      <w:tr w:rsidR="00961A4F" w:rsidRPr="007D7D65" w14:paraId="17EA47D1" w14:textId="77777777" w:rsidTr="00EC1700">
        <w:trPr>
          <w:trHeight w:val="4522"/>
        </w:trPr>
        <w:tc>
          <w:tcPr>
            <w:tcW w:w="0" w:type="auto"/>
            <w:tcBorders>
              <w:top w:val="nil"/>
              <w:left w:val="single" w:sz="4" w:space="0" w:color="auto"/>
              <w:bottom w:val="single" w:sz="4" w:space="0" w:color="auto"/>
              <w:right w:val="single" w:sz="4" w:space="0" w:color="auto"/>
            </w:tcBorders>
            <w:shd w:val="clear" w:color="000000" w:fill="BFBFBF"/>
            <w:hideMark/>
          </w:tcPr>
          <w:p w14:paraId="2AE784C9" w14:textId="77777777" w:rsidR="00961A4F" w:rsidRPr="009569D8" w:rsidRDefault="00961A4F" w:rsidP="00961A4F">
            <w:pPr>
              <w:spacing w:after="0" w:line="276" w:lineRule="auto"/>
              <w:jc w:val="center"/>
              <w:rPr>
                <w:rFonts w:ascii="Times New Roman" w:hAnsi="Times New Roman" w:cs="Times New Roman"/>
                <w:b/>
                <w:bCs/>
                <w:sz w:val="20"/>
                <w:szCs w:val="20"/>
              </w:rPr>
            </w:pPr>
            <w:r w:rsidRPr="009569D8">
              <w:rPr>
                <w:rFonts w:ascii="Times New Roman" w:hAnsi="Times New Roman" w:cs="Times New Roman"/>
                <w:b/>
                <w:bCs/>
                <w:sz w:val="20"/>
                <w:szCs w:val="20"/>
              </w:rPr>
              <w:lastRenderedPageBreak/>
              <w:t>2</w:t>
            </w:r>
          </w:p>
        </w:tc>
        <w:tc>
          <w:tcPr>
            <w:tcW w:w="5228" w:type="dxa"/>
            <w:tcBorders>
              <w:top w:val="single" w:sz="4" w:space="0" w:color="auto"/>
              <w:left w:val="nil"/>
              <w:bottom w:val="single" w:sz="4" w:space="0" w:color="auto"/>
              <w:right w:val="single" w:sz="4" w:space="0" w:color="000000"/>
            </w:tcBorders>
            <w:shd w:val="clear" w:color="000000" w:fill="BFBFBF"/>
            <w:hideMark/>
          </w:tcPr>
          <w:p w14:paraId="0EDDCFF1" w14:textId="77777777" w:rsidR="00961A4F" w:rsidRPr="009569D8" w:rsidRDefault="00961A4F" w:rsidP="00961A4F">
            <w:pPr>
              <w:spacing w:after="0" w:line="276" w:lineRule="auto"/>
              <w:rPr>
                <w:rFonts w:ascii="Times New Roman" w:hAnsi="Times New Roman" w:cs="Times New Roman"/>
                <w:b/>
                <w:bCs/>
                <w:sz w:val="20"/>
                <w:szCs w:val="20"/>
              </w:rPr>
            </w:pPr>
            <w:r w:rsidRPr="009569D8">
              <w:rPr>
                <w:rFonts w:ascii="Times New Roman" w:hAnsi="Times New Roman" w:cs="Times New Roman"/>
                <w:b/>
                <w:bCs/>
                <w:sz w:val="20"/>
                <w:szCs w:val="20"/>
              </w:rPr>
              <w:t>Техническое задание</w:t>
            </w:r>
          </w:p>
        </w:tc>
        <w:tc>
          <w:tcPr>
            <w:tcW w:w="8505" w:type="dxa"/>
            <w:tcBorders>
              <w:top w:val="single" w:sz="4" w:space="0" w:color="auto"/>
              <w:left w:val="nil"/>
              <w:bottom w:val="single" w:sz="4" w:space="0" w:color="auto"/>
              <w:right w:val="single" w:sz="4" w:space="0" w:color="000000"/>
            </w:tcBorders>
            <w:shd w:val="clear" w:color="000000" w:fill="BFBFBF"/>
          </w:tcPr>
          <w:p w14:paraId="6219FB5E"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Предмет договора:</w:t>
            </w:r>
          </w:p>
          <w:p w14:paraId="19CD20CA" w14:textId="77777777" w:rsidR="00EC1700" w:rsidRPr="00EC1700" w:rsidRDefault="00EC1700" w:rsidP="00EC1700">
            <w:pPr>
              <w:spacing w:line="240" w:lineRule="auto"/>
              <w:rPr>
                <w:rFonts w:ascii="Times New Roman" w:hAnsi="Times New Roman" w:cs="Times New Roman"/>
                <w:sz w:val="24"/>
                <w:szCs w:val="24"/>
              </w:rPr>
            </w:pPr>
            <w:proofErr w:type="gramStart"/>
            <w:r w:rsidRPr="00EC1700">
              <w:rPr>
                <w:rFonts w:ascii="Times New Roman" w:hAnsi="Times New Roman" w:cs="Times New Roman"/>
                <w:sz w:val="24"/>
                <w:szCs w:val="24"/>
              </w:rPr>
              <w:t>Оказание услуг</w:t>
            </w:r>
            <w:proofErr w:type="gramEnd"/>
            <w:r w:rsidRPr="00EC1700">
              <w:rPr>
                <w:rFonts w:ascii="Times New Roman" w:hAnsi="Times New Roman" w:cs="Times New Roman"/>
                <w:sz w:val="24"/>
                <w:szCs w:val="24"/>
              </w:rPr>
              <w:t xml:space="preserve"> по оценке рыночной стоимости движимого имущества.</w:t>
            </w:r>
          </w:p>
          <w:p w14:paraId="6D6F9E7A"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 xml:space="preserve">Объекты оценки (состав оцениваемого имущества с указанием сведений, достаточных для его идентификации и/или идентификации каждой из его частей (при наличии)): </w:t>
            </w:r>
          </w:p>
          <w:p w14:paraId="6E1F97E4"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Движимое имущество в соответствии с перечнем в Приложении 1 к настоящему Заданию на оценку.</w:t>
            </w:r>
          </w:p>
          <w:p w14:paraId="4D13037B"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Перечень в Приложении 1 к настоящему Заданию на оценку не является окончательным, может быть уточнен после заключения Договора на оказание услуг по оценке по состоянию на дату оценки и изменен</w:t>
            </w:r>
            <w:r w:rsidRPr="00EC1700">
              <w:rPr>
                <w:rFonts w:ascii="Times New Roman" w:hAnsi="Times New Roman" w:cs="Times New Roman"/>
                <w:sz w:val="24"/>
                <w:szCs w:val="24"/>
                <w:vertAlign w:val="superscript"/>
              </w:rPr>
              <w:footnoteReference w:id="1"/>
            </w:r>
            <w:r w:rsidRPr="00EC1700">
              <w:rPr>
                <w:rFonts w:ascii="Times New Roman" w:hAnsi="Times New Roman" w:cs="Times New Roman"/>
                <w:sz w:val="24"/>
                <w:szCs w:val="24"/>
              </w:rPr>
              <w:t xml:space="preserve"> по результатам сбора информации Исполнителем в рамках оказания услуг в соответствии с п. 2.3 и п. 3.1 настоящего Задания на оценку.</w:t>
            </w:r>
          </w:p>
          <w:p w14:paraId="6D79770C"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Все изменения в перечень вносятся путем направления Заказчиком Исполнителю письма о внесении изменений в перечень. Стоимость оказываемых услуг при изменении перечня остается неизменной.</w:t>
            </w:r>
          </w:p>
          <w:p w14:paraId="67D900BE"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 xml:space="preserve">Права на Объекты оценки, учитываемые при определении стоимости: </w:t>
            </w:r>
          </w:p>
          <w:p w14:paraId="0AFE5CC2"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Движимое имущество в соответствии с перечнем в Приложении 1 к настоящему Заданию на оценку принадлежит на праве собственности АО «ТГЭС».</w:t>
            </w:r>
          </w:p>
          <w:p w14:paraId="5B3928E2"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Ограничения и обременения, связанные с правами на Объекты оценки:</w:t>
            </w:r>
          </w:p>
          <w:p w14:paraId="3AE25EF6"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Отсутствуют.</w:t>
            </w:r>
          </w:p>
          <w:p w14:paraId="1961DCAF" w14:textId="77777777" w:rsidR="00EC1700" w:rsidRPr="00EC1700" w:rsidRDefault="00EC1700" w:rsidP="00EC1700">
            <w:pPr>
              <w:keepNext/>
              <w:numPr>
                <w:ilvl w:val="1"/>
                <w:numId w:val="37"/>
              </w:numPr>
              <w:tabs>
                <w:tab w:val="left" w:pos="1418"/>
              </w:tabs>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Цель оценки:</w:t>
            </w:r>
          </w:p>
          <w:p w14:paraId="5A5BECD4"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Формирование объективного представления о стоимости Объектов оценки для принятия управленческих решений, в том числе о заключении договоров купли-продажи.</w:t>
            </w:r>
          </w:p>
          <w:p w14:paraId="13997741"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lastRenderedPageBreak/>
              <w:t>Ограничения, связанные с целью оценки:</w:t>
            </w:r>
          </w:p>
          <w:p w14:paraId="0180C438"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Результаты оценки могут быть использованы для цели проведения оценки (п. 1.5 настоящего Задания на оценку) в течение 6 месяцев с даты составления Отчета об оценке.</w:t>
            </w:r>
          </w:p>
          <w:p w14:paraId="43F45662"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Вид стоимости:</w:t>
            </w:r>
          </w:p>
          <w:p w14:paraId="0FA2D6BB"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Рыночная.</w:t>
            </w:r>
          </w:p>
          <w:p w14:paraId="75147CCD"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Дата оценки:</w:t>
            </w:r>
          </w:p>
          <w:p w14:paraId="2E04BF82"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По состоянию на дату заключения Договора на оказание услуг по оценке (может быть уточнена и изменена в процессе оказания услуг путем направления Заказчиком Исполнителю письма об изменении даты оценки);</w:t>
            </w:r>
          </w:p>
          <w:p w14:paraId="07339B99"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Информация по учету нематериальных активов, необходимых для эксплуатации машин и оборудования (при наличии таких активов):</w:t>
            </w:r>
          </w:p>
          <w:p w14:paraId="61E4E6FD"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Эксплуатация Объектов оценки возможна без использования нематериальных активов (программных средств, специализированных баз данных, лицензий, технической документации и др.).</w:t>
            </w:r>
          </w:p>
          <w:p w14:paraId="257E70C5"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Специальные допущения:</w:t>
            </w:r>
          </w:p>
          <w:p w14:paraId="7EB90EE1" w14:textId="77777777" w:rsidR="00EC1700" w:rsidRPr="00EC1700" w:rsidRDefault="00EC1700" w:rsidP="00EC1700">
            <w:pPr>
              <w:tabs>
                <w:tab w:val="left" w:pos="1481"/>
              </w:tabs>
              <w:spacing w:line="240" w:lineRule="auto"/>
              <w:rPr>
                <w:rFonts w:ascii="Times New Roman" w:hAnsi="Times New Roman" w:cs="Times New Roman"/>
                <w:sz w:val="24"/>
                <w:szCs w:val="24"/>
              </w:rPr>
            </w:pPr>
            <w:r w:rsidRPr="00EC1700">
              <w:rPr>
                <w:rFonts w:ascii="Times New Roman" w:hAnsi="Times New Roman" w:cs="Times New Roman"/>
                <w:sz w:val="24"/>
                <w:szCs w:val="24"/>
              </w:rPr>
              <w:t>Отсутствуют.</w:t>
            </w:r>
          </w:p>
          <w:p w14:paraId="1C7CBB5C"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Иные существенные допущения:</w:t>
            </w:r>
          </w:p>
          <w:p w14:paraId="782C885E" w14:textId="77777777" w:rsidR="00EC1700" w:rsidRPr="00EC1700" w:rsidRDefault="00EC1700" w:rsidP="00EC1700">
            <w:pPr>
              <w:pStyle w:val="a7"/>
              <w:numPr>
                <w:ilvl w:val="2"/>
                <w:numId w:val="37"/>
              </w:numPr>
              <w:spacing w:after="0" w:line="240" w:lineRule="auto"/>
              <w:ind w:left="0" w:firstLine="567"/>
              <w:contextualSpacing w:val="0"/>
              <w:jc w:val="both"/>
              <w:rPr>
                <w:rFonts w:ascii="Times New Roman" w:hAnsi="Times New Roman"/>
                <w:sz w:val="24"/>
                <w:szCs w:val="24"/>
              </w:rPr>
            </w:pPr>
            <w:r w:rsidRPr="00EC1700">
              <w:rPr>
                <w:rFonts w:ascii="Times New Roman" w:hAnsi="Times New Roman"/>
                <w:sz w:val="24"/>
                <w:szCs w:val="24"/>
              </w:rPr>
              <w:t>Оценка производится в предположении отсутствия каких-либо обременений оцениваемых прав (данное условие может быть уточнено и изменено в процессе проведения оценки, путем направления Заказчиком Исполнителю соответствующего письма).</w:t>
            </w:r>
          </w:p>
          <w:p w14:paraId="5F787715" w14:textId="77777777" w:rsidR="00EC1700" w:rsidRPr="00EC1700" w:rsidRDefault="00EC1700" w:rsidP="00EC1700">
            <w:pPr>
              <w:pStyle w:val="a7"/>
              <w:numPr>
                <w:ilvl w:val="2"/>
                <w:numId w:val="37"/>
              </w:numPr>
              <w:spacing w:after="0" w:line="240" w:lineRule="auto"/>
              <w:ind w:left="0" w:firstLine="567"/>
              <w:contextualSpacing w:val="0"/>
              <w:jc w:val="both"/>
              <w:rPr>
                <w:rFonts w:ascii="Times New Roman" w:hAnsi="Times New Roman"/>
                <w:sz w:val="24"/>
                <w:szCs w:val="24"/>
              </w:rPr>
            </w:pPr>
            <w:r w:rsidRPr="00EC1700">
              <w:rPr>
                <w:rFonts w:ascii="Times New Roman" w:hAnsi="Times New Roman"/>
                <w:sz w:val="24"/>
                <w:szCs w:val="24"/>
              </w:rPr>
              <w:t>Заказчик понимает, что Исполнитель не будет проводить аудит предоставляемой информации.</w:t>
            </w:r>
          </w:p>
          <w:p w14:paraId="2B7D4110" w14:textId="77777777" w:rsidR="00EC1700" w:rsidRPr="00EC1700" w:rsidRDefault="00EC1700" w:rsidP="00EC1700">
            <w:pPr>
              <w:keepNext/>
              <w:numPr>
                <w:ilvl w:val="2"/>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color w:val="000000"/>
                <w:sz w:val="24"/>
                <w:szCs w:val="24"/>
              </w:rPr>
              <w:t>Заказчик и Исполнитель признают согласованными допущения и ограничения, предусмотренные соответственно разделами два и три ФСО III, утвержденного Приказом Министерства экономического развития РФ № 200 от 14.04.2022, принятые и установленные Оценщиком на любом этапе процесса оценки, которые отсутствуют в настоящем Задании на оценку, но необходимы для определения стоимости и будут в обязательном порядке раскрыты Оценщиком в Отчете об оценке.</w:t>
            </w:r>
          </w:p>
          <w:p w14:paraId="7F35D3E2"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Ограничения оценки:</w:t>
            </w:r>
          </w:p>
          <w:p w14:paraId="4F0E7378"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color w:val="000000"/>
                <w:sz w:val="24"/>
                <w:szCs w:val="24"/>
              </w:rPr>
              <w:lastRenderedPageBreak/>
              <w:t>Оценка осуществляется с проведением полного осмотра.</w:t>
            </w:r>
          </w:p>
          <w:p w14:paraId="7870B1DC"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Ограничения на использование, распространение и публикацию отчета об оценке:</w:t>
            </w:r>
          </w:p>
          <w:p w14:paraId="16643B03" w14:textId="77777777" w:rsidR="00EC1700" w:rsidRPr="00EC1700" w:rsidRDefault="00EC1700" w:rsidP="00EC1700">
            <w:pPr>
              <w:pStyle w:val="a7"/>
              <w:numPr>
                <w:ilvl w:val="2"/>
                <w:numId w:val="37"/>
              </w:numPr>
              <w:spacing w:after="0" w:line="240" w:lineRule="auto"/>
              <w:ind w:left="0" w:firstLine="567"/>
              <w:contextualSpacing w:val="0"/>
              <w:jc w:val="both"/>
              <w:rPr>
                <w:rFonts w:ascii="Times New Roman" w:hAnsi="Times New Roman"/>
                <w:color w:val="000000"/>
                <w:sz w:val="24"/>
                <w:szCs w:val="24"/>
              </w:rPr>
            </w:pPr>
            <w:r w:rsidRPr="00EC1700">
              <w:rPr>
                <w:rFonts w:ascii="Times New Roman" w:hAnsi="Times New Roman"/>
                <w:color w:val="000000"/>
                <w:sz w:val="24"/>
                <w:szCs w:val="24"/>
              </w:rPr>
              <w:t>Отчет об оценке достоверен и может использоваться исключительно в полном объеме, включая все Приложения и учитывая все принятые в оценке специальные и иные допущения, ограничения. Отдельные части Отчета об оценке не могут являться самостоятельными документами. Кроме того, никакая отдельно взятая часть Отчета не может служить основанием для принятия решения, ссылка на любую промежуточную величину в Отчете, вычисленную или приведенную, не является правомочной.</w:t>
            </w:r>
          </w:p>
          <w:p w14:paraId="1E389FC2" w14:textId="77777777" w:rsidR="00EC1700" w:rsidRPr="00EC1700" w:rsidRDefault="00EC1700" w:rsidP="00EC1700">
            <w:pPr>
              <w:pStyle w:val="a7"/>
              <w:numPr>
                <w:ilvl w:val="2"/>
                <w:numId w:val="37"/>
              </w:numPr>
              <w:spacing w:after="0" w:line="240" w:lineRule="auto"/>
              <w:ind w:left="0" w:firstLine="567"/>
              <w:contextualSpacing w:val="0"/>
              <w:jc w:val="both"/>
              <w:rPr>
                <w:rFonts w:ascii="Times New Roman" w:hAnsi="Times New Roman"/>
                <w:color w:val="000000"/>
                <w:sz w:val="24"/>
                <w:szCs w:val="24"/>
              </w:rPr>
            </w:pPr>
            <w:r w:rsidRPr="00EC1700">
              <w:rPr>
                <w:rFonts w:ascii="Times New Roman" w:hAnsi="Times New Roman"/>
                <w:color w:val="000000"/>
                <w:sz w:val="24"/>
                <w:szCs w:val="24"/>
              </w:rPr>
              <w:t>Отчет может использоваться с учетом того, что профессиональное суждение Оценщика относительно стоимости Объекта оценки действительно только на дату оценки, указанную в Отчете, и лишь для целей и функций, указанных в Отчете. Оценщик не принимает на себя ответственность за возможное изменение стоимости Объекта оценки после даты оценки в силу изменения характеристик Объекта оценки, социально-экономической ситуации и появления прочих влияющих на стоимость Объекта оценки факторов.</w:t>
            </w:r>
          </w:p>
          <w:p w14:paraId="7D559BC2" w14:textId="77777777" w:rsidR="00EC1700" w:rsidRPr="00EC1700" w:rsidRDefault="00EC1700" w:rsidP="00EC1700">
            <w:pPr>
              <w:pStyle w:val="a7"/>
              <w:numPr>
                <w:ilvl w:val="2"/>
                <w:numId w:val="37"/>
              </w:numPr>
              <w:spacing w:after="0" w:line="240" w:lineRule="auto"/>
              <w:ind w:left="0" w:firstLine="567"/>
              <w:contextualSpacing w:val="0"/>
              <w:jc w:val="both"/>
              <w:rPr>
                <w:rFonts w:ascii="Times New Roman" w:hAnsi="Times New Roman"/>
                <w:color w:val="000000"/>
                <w:sz w:val="24"/>
                <w:szCs w:val="24"/>
              </w:rPr>
            </w:pPr>
            <w:r w:rsidRPr="00EC1700">
              <w:rPr>
                <w:rFonts w:ascii="Times New Roman" w:hAnsi="Times New Roman"/>
                <w:color w:val="000000"/>
                <w:sz w:val="24"/>
                <w:szCs w:val="24"/>
              </w:rPr>
              <w:t>Заказчик гарантирует, что сам Отчет, а также любая информация, суждения, аналитические разработки Оценщика и другие материалы Отчета будут использованы им исключительно в соответствии с целями, допущениями и ограничениями, которые содержатся в Отчете.</w:t>
            </w:r>
          </w:p>
          <w:p w14:paraId="584549DA" w14:textId="77777777" w:rsidR="00EC1700" w:rsidRPr="00EC1700" w:rsidRDefault="00EC1700" w:rsidP="00EC1700">
            <w:pPr>
              <w:pStyle w:val="a7"/>
              <w:numPr>
                <w:ilvl w:val="2"/>
                <w:numId w:val="37"/>
              </w:numPr>
              <w:spacing w:after="0" w:line="240" w:lineRule="auto"/>
              <w:ind w:left="0" w:firstLine="567"/>
              <w:contextualSpacing w:val="0"/>
              <w:jc w:val="both"/>
              <w:rPr>
                <w:rFonts w:ascii="Times New Roman" w:hAnsi="Times New Roman"/>
                <w:color w:val="000000"/>
                <w:sz w:val="24"/>
                <w:szCs w:val="24"/>
              </w:rPr>
            </w:pPr>
            <w:r w:rsidRPr="00EC1700">
              <w:rPr>
                <w:rFonts w:ascii="Times New Roman" w:hAnsi="Times New Roman"/>
                <w:color w:val="000000"/>
                <w:sz w:val="24"/>
                <w:szCs w:val="24"/>
              </w:rPr>
              <w:t>Отчет и его части предназначены исключительно для Заказчика, его аффилированных лиц и прочих сторон с учетом цели оценки, и за исключением случаев, предусмотренных законодательством, не подлежат передаче другим юридическим и физическим лицам, а также публикации без разрешения Исполнителя.</w:t>
            </w:r>
          </w:p>
          <w:p w14:paraId="752F0B15"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xml:space="preserve">Представленные в данном разделе допущения и ограничения не противоречат законодательству Российской Федерации и согласованы Заказчиком и Оценщиком. </w:t>
            </w:r>
          </w:p>
          <w:p w14:paraId="28C90B22"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Форма предоставления итоговой стоимости:</w:t>
            </w:r>
          </w:p>
          <w:p w14:paraId="43BCDD69" w14:textId="77777777" w:rsidR="00EC1700" w:rsidRPr="00EC1700" w:rsidRDefault="00EC1700" w:rsidP="00EC1700">
            <w:pPr>
              <w:pStyle w:val="a7"/>
              <w:spacing w:after="0" w:line="240" w:lineRule="auto"/>
              <w:ind w:left="0" w:firstLine="567"/>
              <w:contextualSpacing w:val="0"/>
              <w:jc w:val="both"/>
              <w:rPr>
                <w:rFonts w:ascii="Times New Roman" w:hAnsi="Times New Roman"/>
                <w:color w:val="000000"/>
                <w:sz w:val="24"/>
                <w:szCs w:val="24"/>
              </w:rPr>
            </w:pPr>
            <w:r w:rsidRPr="00EC1700">
              <w:rPr>
                <w:rFonts w:ascii="Times New Roman" w:hAnsi="Times New Roman"/>
                <w:color w:val="000000"/>
                <w:sz w:val="24"/>
                <w:szCs w:val="24"/>
              </w:rPr>
              <w:t>В виде числа в рублях за каждый Объект оценки без учета НДС с учетом округления и с учетом НДС.</w:t>
            </w:r>
          </w:p>
          <w:p w14:paraId="3F86D89D"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Оценщик не должен приводить в отчете суждение о возможных границах интервала, в котором, по его мнению, может находиться итоговая стоимость Объекта оценки.</w:t>
            </w:r>
          </w:p>
          <w:p w14:paraId="3330E636"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lastRenderedPageBreak/>
              <w:t>Форма составления отчета:</w:t>
            </w:r>
          </w:p>
          <w:p w14:paraId="75FC8406"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На бумажном носителе (с предоставлением Заказчику в электронном виде полной скан-копии Отчета об оценке, включая все тома и приложения к нему, с подписями и печатями).</w:t>
            </w:r>
          </w:p>
          <w:p w14:paraId="7361D549" w14:textId="77777777" w:rsidR="00EC1700" w:rsidRPr="00EC1700" w:rsidRDefault="00EC1700" w:rsidP="00EC1700">
            <w:pPr>
              <w:keepNext/>
              <w:numPr>
                <w:ilvl w:val="0"/>
                <w:numId w:val="37"/>
              </w:numPr>
              <w:tabs>
                <w:tab w:val="left" w:pos="284"/>
              </w:tabs>
              <w:spacing w:before="240" w:after="120" w:line="240" w:lineRule="auto"/>
              <w:ind w:left="0" w:firstLine="0"/>
              <w:jc w:val="center"/>
              <w:rPr>
                <w:rFonts w:ascii="Times New Roman" w:hAnsi="Times New Roman" w:cs="Times New Roman"/>
                <w:b/>
                <w:sz w:val="24"/>
                <w:szCs w:val="24"/>
              </w:rPr>
            </w:pPr>
            <w:r w:rsidRPr="00EC1700">
              <w:rPr>
                <w:rFonts w:ascii="Times New Roman" w:hAnsi="Times New Roman" w:cs="Times New Roman"/>
                <w:b/>
                <w:sz w:val="24"/>
                <w:szCs w:val="24"/>
              </w:rPr>
              <w:t>ТРЕБОВАНИЯ К ПОРЯДКУ ОКАЗАНИЯ УСЛУГ И ОПЛАТЕ</w:t>
            </w:r>
          </w:p>
          <w:p w14:paraId="0B403C25"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Нормативная база:</w:t>
            </w:r>
          </w:p>
          <w:p w14:paraId="3A501D33"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Услуги оказываются в соответствии с требованиями законодательства РФ к порядку проведения оценки, в том числе с учетом требований:</w:t>
            </w:r>
          </w:p>
          <w:p w14:paraId="2E7D0B7D" w14:textId="77777777" w:rsidR="00EC1700" w:rsidRPr="00EC1700" w:rsidRDefault="00EC1700" w:rsidP="00EC1700">
            <w:pPr>
              <w:spacing w:line="240" w:lineRule="auto"/>
              <w:rPr>
                <w:rFonts w:ascii="Times New Roman" w:hAnsi="Times New Roman" w:cs="Times New Roman"/>
                <w:sz w:val="24"/>
                <w:szCs w:val="24"/>
              </w:rPr>
            </w:pPr>
          </w:p>
          <w:p w14:paraId="0E2E8BB6" w14:textId="77777777" w:rsidR="00EC1700" w:rsidRPr="00EC1700" w:rsidRDefault="00EC1700" w:rsidP="00EC1700">
            <w:pPr>
              <w:numPr>
                <w:ilvl w:val="2"/>
                <w:numId w:val="37"/>
              </w:numPr>
              <w:tabs>
                <w:tab w:val="left" w:pos="1418"/>
              </w:tabs>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Гражданского кодекса.</w:t>
            </w:r>
          </w:p>
          <w:p w14:paraId="2AB27BAB" w14:textId="77777777" w:rsidR="00EC1700" w:rsidRPr="00EC1700" w:rsidRDefault="00EC1700" w:rsidP="00EC1700">
            <w:pPr>
              <w:numPr>
                <w:ilvl w:val="2"/>
                <w:numId w:val="37"/>
              </w:numPr>
              <w:tabs>
                <w:tab w:val="left" w:pos="1418"/>
              </w:tabs>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Федерального закона от 29 июля 1998 г. № 135</w:t>
            </w:r>
            <w:r w:rsidRPr="00EC1700">
              <w:rPr>
                <w:rFonts w:ascii="Times New Roman" w:hAnsi="Times New Roman" w:cs="Times New Roman"/>
                <w:sz w:val="24"/>
                <w:szCs w:val="24"/>
              </w:rPr>
              <w:noBreakHyphen/>
              <w:t>ФЗ «Об оценочной деятельности в Российской Федерации».</w:t>
            </w:r>
          </w:p>
          <w:p w14:paraId="1C3F0B97" w14:textId="77777777" w:rsidR="00EC1700" w:rsidRPr="00EC1700" w:rsidRDefault="00EC1700" w:rsidP="00EC1700">
            <w:pPr>
              <w:numPr>
                <w:ilvl w:val="2"/>
                <w:numId w:val="37"/>
              </w:numPr>
              <w:tabs>
                <w:tab w:val="left" w:pos="1418"/>
              </w:tabs>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Федеральных стандартов оценки:</w:t>
            </w:r>
          </w:p>
          <w:p w14:paraId="39AC69BC"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«Структура федеральных стандартов оценки и основные понятия, используемые в федеральных стандартах оценки (ФСО I)», утвержден приказом Минэкономразвития России от 14.04.2022 №200;</w:t>
            </w:r>
          </w:p>
          <w:p w14:paraId="26612EE2"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«Виды стоимости (ФСО II)», утвержден приказом Минэкономразвития России от 14.04.2022 №200;</w:t>
            </w:r>
          </w:p>
          <w:p w14:paraId="795068EB"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«Процесс оценки (ФСО III)», утвержден приказом Минэкономразвития России от 14.04.2022 №200;</w:t>
            </w:r>
          </w:p>
          <w:p w14:paraId="1CD5F0E4"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xml:space="preserve"> «Задание на оценку (ФСО IV)», утвержден приказом Минэкономразвития России от 14.04.2022 №200; </w:t>
            </w:r>
          </w:p>
          <w:p w14:paraId="5687157F"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«Подходы и методы оценки (ФСО V)», утвержден приказом Минэкономразвития России от 14.04.2022 №200;</w:t>
            </w:r>
          </w:p>
          <w:p w14:paraId="17508B98"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«Отчет об оценке (ФСО VI)», утвержден приказом Минэкономразвития России от 14.04.2022 №200;</w:t>
            </w:r>
          </w:p>
          <w:p w14:paraId="080813A0" w14:textId="77777777" w:rsidR="00EC1700" w:rsidRPr="00EC1700" w:rsidRDefault="00EC1700" w:rsidP="00EC1700">
            <w:pPr>
              <w:tabs>
                <w:tab w:val="left" w:pos="1418"/>
              </w:tabs>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r>
            <w:r w:rsidRPr="00EC1700">
              <w:rPr>
                <w:rFonts w:ascii="Times New Roman" w:hAnsi="Times New Roman" w:cs="Times New Roman"/>
                <w:sz w:val="24"/>
                <w:szCs w:val="24"/>
                <w:lang w:val="en-US"/>
              </w:rPr>
              <w:t> </w:t>
            </w:r>
            <w:r w:rsidRPr="00EC1700">
              <w:rPr>
                <w:rFonts w:ascii="Times New Roman" w:hAnsi="Times New Roman" w:cs="Times New Roman"/>
                <w:sz w:val="24"/>
                <w:szCs w:val="24"/>
              </w:rPr>
              <w:t xml:space="preserve">«Оценка стоимости машин и оборудования (ФСО № 10)», утвержден Приказом Минэкономразвития России от 01.06.2015 № 328 (с изменениями согласно Приложению №7 к приказу Минэкономразвития России от 14.04.2022 </w:t>
            </w:r>
            <w:r w:rsidRPr="00EC1700">
              <w:rPr>
                <w:rFonts w:ascii="Times New Roman" w:hAnsi="Times New Roman" w:cs="Times New Roman"/>
                <w:sz w:val="24"/>
                <w:szCs w:val="24"/>
              </w:rPr>
              <w:lastRenderedPageBreak/>
              <w:t>№ 200 «Изменения, которые вносятся в некоторые приказы Минэкономразвития России о федеральных стандартах оценки</w:t>
            </w:r>
            <w:proofErr w:type="gramStart"/>
            <w:r w:rsidRPr="00EC1700">
              <w:rPr>
                <w:rFonts w:ascii="Times New Roman" w:hAnsi="Times New Roman" w:cs="Times New Roman"/>
                <w:sz w:val="24"/>
                <w:szCs w:val="24"/>
              </w:rPr>
              <w:t>»</w:t>
            </w:r>
            <w:proofErr w:type="gramEnd"/>
            <w:r w:rsidRPr="00EC1700">
              <w:rPr>
                <w:rFonts w:ascii="Times New Roman" w:hAnsi="Times New Roman" w:cs="Times New Roman"/>
                <w:sz w:val="24"/>
                <w:szCs w:val="24"/>
              </w:rPr>
              <w:t>).</w:t>
            </w:r>
          </w:p>
          <w:p w14:paraId="38E58697" w14:textId="77777777" w:rsidR="00EC1700" w:rsidRPr="00EC1700" w:rsidRDefault="00EC1700" w:rsidP="00EC1700">
            <w:pPr>
              <w:numPr>
                <w:ilvl w:val="2"/>
                <w:numId w:val="37"/>
              </w:numPr>
              <w:tabs>
                <w:tab w:val="left" w:pos="1418"/>
              </w:tabs>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Стандартов и правил оценочной деятельности саморегулируемой организации оценщиков;</w:t>
            </w:r>
          </w:p>
          <w:p w14:paraId="586921CD"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 xml:space="preserve">Срок проведения оценки и порядок сдачи выполненных работ (услуг): </w:t>
            </w:r>
          </w:p>
          <w:p w14:paraId="5442923C"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Начало оказания услуг по оценке – с момента заключения Договора на оказание услуг по оценке.</w:t>
            </w:r>
          </w:p>
          <w:p w14:paraId="18F0DCB1"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Подготовка и представление предварительного проекта Отчета об оценке для рассмотрения Заказчику осуществляется не позднее 7 (семи) рабочих дней с момента представления всей необходимой для оценки информации на основании информационного запроса Исполнителя</w:t>
            </w:r>
          </w:p>
          <w:p w14:paraId="6B4F446B"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noBreakHyphen/>
              <w:t> Завершение оказания услуг – не позднее 5 (пяти) рабочих дней с момента рассмотрения проектов Отчетов об оценке Заказчиком.</w:t>
            </w:r>
          </w:p>
          <w:p w14:paraId="5B00C012"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В случае нарушения сроков оказания услуг АО «ТГЭС» вправе наложить на исполнителя штраф в размере 0,1 (одна десятая) % от стоимости оказываемых услуг за каждый день просрочки по Договору.</w:t>
            </w:r>
          </w:p>
          <w:p w14:paraId="46D54E7A"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Основные этапы оказания услуг:</w:t>
            </w:r>
          </w:p>
          <w:p w14:paraId="0030734B"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получение в электронном и/или бумажном виде исходной информации об объектах оценки, подготовленной в соответствии с настоящим Заданием на оценку и информационным запросом оценщика;</w:t>
            </w:r>
          </w:p>
          <w:p w14:paraId="5DC3B6F9"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сбор и анализ исходных данных и информации, уточнение и получение дополнительных разъяснений у собственника/балансодержателя имущества;</w:t>
            </w:r>
          </w:p>
          <w:p w14:paraId="384F472D"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подготовка проектов Отчета об оценке;</w:t>
            </w:r>
          </w:p>
          <w:p w14:paraId="546A4D9B"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передача проектов Отчета об оценке в АО «ТГЭС» для рассмотрения;</w:t>
            </w:r>
          </w:p>
          <w:p w14:paraId="0D301F5C"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подготовка Отчета об оценке;</w:t>
            </w:r>
          </w:p>
          <w:p w14:paraId="0A2FBD0E"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передача Отчета об оценке в АО «ТГЭС».</w:t>
            </w:r>
          </w:p>
          <w:p w14:paraId="64747124"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Выдача итоговых результатов:</w:t>
            </w:r>
          </w:p>
          <w:p w14:paraId="62254E9D"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Результатом услуг являются следующие материалы:</w:t>
            </w:r>
          </w:p>
          <w:p w14:paraId="4C45C363"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lastRenderedPageBreak/>
              <w:t>-  Отчет об оценке, предоставленный в 2 (двух) подписанных экземплярах на бумажном носителе каждый, а также полная скан-копия Отчета об оценке в электронном виде (предпочтительно формат </w:t>
            </w:r>
            <w:r w:rsidRPr="00EC1700">
              <w:rPr>
                <w:rFonts w:ascii="Times New Roman" w:hAnsi="Times New Roman" w:cs="Times New Roman"/>
                <w:sz w:val="24"/>
                <w:szCs w:val="24"/>
                <w:lang w:val="en-US"/>
              </w:rPr>
              <w:t>pdf</w:t>
            </w:r>
            <w:r w:rsidRPr="00EC1700">
              <w:rPr>
                <w:rFonts w:ascii="Times New Roman" w:hAnsi="Times New Roman" w:cs="Times New Roman"/>
                <w:sz w:val="24"/>
                <w:szCs w:val="24"/>
              </w:rPr>
              <w:t>), включая все приложения и тома к нему, с подписями и печатями.</w:t>
            </w:r>
          </w:p>
          <w:p w14:paraId="2B658B73"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 xml:space="preserve">- Сопроводительные материалы в виде моделей, представляющих собой расчетные файлы в электронном формате </w:t>
            </w:r>
            <w:proofErr w:type="spellStart"/>
            <w:r w:rsidRPr="00EC1700">
              <w:rPr>
                <w:rFonts w:ascii="Times New Roman" w:hAnsi="Times New Roman" w:cs="Times New Roman"/>
                <w:sz w:val="24"/>
                <w:szCs w:val="24"/>
              </w:rPr>
              <w:t>Microsoft</w:t>
            </w:r>
            <w:proofErr w:type="spellEnd"/>
            <w:r w:rsidRPr="00EC1700">
              <w:rPr>
                <w:rFonts w:ascii="Times New Roman" w:hAnsi="Times New Roman" w:cs="Times New Roman"/>
                <w:sz w:val="24"/>
                <w:szCs w:val="24"/>
              </w:rPr>
              <w:t xml:space="preserve"> </w:t>
            </w:r>
            <w:proofErr w:type="spellStart"/>
            <w:r w:rsidRPr="00EC1700">
              <w:rPr>
                <w:rFonts w:ascii="Times New Roman" w:hAnsi="Times New Roman" w:cs="Times New Roman"/>
                <w:sz w:val="24"/>
                <w:szCs w:val="24"/>
              </w:rPr>
              <w:t>Excel</w:t>
            </w:r>
            <w:proofErr w:type="spellEnd"/>
            <w:r w:rsidRPr="00EC1700">
              <w:rPr>
                <w:rFonts w:ascii="Times New Roman" w:hAnsi="Times New Roman" w:cs="Times New Roman"/>
                <w:sz w:val="24"/>
                <w:szCs w:val="24"/>
              </w:rPr>
              <w:t xml:space="preserve"> с действующими для просмотра связями между формулами и расчетами, позволяющими проверить достоверность расчетов и выводов оценки.</w:t>
            </w:r>
          </w:p>
          <w:p w14:paraId="71A3967D" w14:textId="77777777" w:rsidR="00EC1700" w:rsidRPr="00EC1700" w:rsidRDefault="00EC1700" w:rsidP="00EC1700">
            <w:pPr>
              <w:keepNext/>
              <w:numPr>
                <w:ilvl w:val="1"/>
                <w:numId w:val="37"/>
              </w:numPr>
              <w:spacing w:before="120" w:after="60" w:line="240" w:lineRule="auto"/>
              <w:ind w:left="0" w:firstLine="567"/>
              <w:jc w:val="both"/>
              <w:rPr>
                <w:rFonts w:ascii="Times New Roman" w:hAnsi="Times New Roman" w:cs="Times New Roman"/>
                <w:b/>
                <w:sz w:val="24"/>
                <w:szCs w:val="24"/>
              </w:rPr>
            </w:pPr>
            <w:r w:rsidRPr="00EC1700">
              <w:rPr>
                <w:rFonts w:ascii="Times New Roman" w:hAnsi="Times New Roman" w:cs="Times New Roman"/>
                <w:b/>
                <w:sz w:val="24"/>
                <w:szCs w:val="24"/>
              </w:rPr>
              <w:t>Форма, сроки и порядок оплаты за оказываемые услуги:</w:t>
            </w:r>
          </w:p>
          <w:p w14:paraId="2BD11FD7" w14:textId="77777777" w:rsidR="00EC1700" w:rsidRPr="00EC1700" w:rsidRDefault="00EC1700" w:rsidP="00EC1700">
            <w:pPr>
              <w:pStyle w:val="a7"/>
              <w:tabs>
                <w:tab w:val="left" w:pos="1134"/>
              </w:tabs>
              <w:spacing w:line="240" w:lineRule="auto"/>
              <w:ind w:left="709" w:firstLine="142"/>
              <w:rPr>
                <w:rFonts w:ascii="Times New Roman" w:hAnsi="Times New Roman"/>
                <w:sz w:val="24"/>
                <w:szCs w:val="24"/>
              </w:rPr>
            </w:pPr>
            <w:r w:rsidRPr="00EC1700">
              <w:rPr>
                <w:rFonts w:ascii="Times New Roman" w:hAnsi="Times New Roman"/>
                <w:sz w:val="24"/>
                <w:szCs w:val="24"/>
              </w:rPr>
              <w:t>Предусмотрен 1 этап оплаты:</w:t>
            </w:r>
          </w:p>
          <w:p w14:paraId="10BF3A46" w14:textId="77777777" w:rsidR="00EC1700" w:rsidRPr="00EC1700" w:rsidRDefault="00EC1700" w:rsidP="00EC1700">
            <w:pPr>
              <w:tabs>
                <w:tab w:val="left" w:pos="567"/>
                <w:tab w:val="left" w:pos="709"/>
                <w:tab w:val="left" w:pos="993"/>
              </w:tabs>
              <w:spacing w:line="240" w:lineRule="auto"/>
              <w:ind w:firstLine="851"/>
              <w:rPr>
                <w:rFonts w:ascii="Times New Roman" w:eastAsia="Calibri" w:hAnsi="Times New Roman" w:cs="Times New Roman"/>
                <w:sz w:val="24"/>
                <w:szCs w:val="24"/>
              </w:rPr>
            </w:pPr>
            <w:r w:rsidRPr="00EC1700">
              <w:rPr>
                <w:rFonts w:ascii="Times New Roman" w:hAnsi="Times New Roman" w:cs="Times New Roman"/>
                <w:sz w:val="24"/>
                <w:szCs w:val="24"/>
              </w:rPr>
              <w:t>Оплата оказанных по Договору услуг производится безналичным расчетом в течение 30 (тридцати) рабочих дней после подписания Сторонами акта приема-сдачи оказанных услуг и предоставления счета и/или счета-фактуры, а также материалов в соответствии с п. 2.4. настоящего Задания на оценку</w:t>
            </w:r>
          </w:p>
          <w:p w14:paraId="132B47A1" w14:textId="77777777" w:rsidR="00EC1700" w:rsidRPr="00EC1700" w:rsidRDefault="00EC1700" w:rsidP="00EC1700">
            <w:pPr>
              <w:tabs>
                <w:tab w:val="left" w:pos="567"/>
                <w:tab w:val="left" w:pos="709"/>
              </w:tabs>
              <w:spacing w:before="60" w:after="60" w:line="240" w:lineRule="auto"/>
              <w:ind w:firstLine="851"/>
              <w:rPr>
                <w:rFonts w:ascii="Times New Roman" w:hAnsi="Times New Roman" w:cs="Times New Roman"/>
                <w:i/>
                <w:sz w:val="24"/>
                <w:szCs w:val="24"/>
              </w:rPr>
            </w:pPr>
            <w:r w:rsidRPr="00EC1700">
              <w:rPr>
                <w:rFonts w:ascii="Times New Roman" w:hAnsi="Times New Roman" w:cs="Times New Roman"/>
                <w:i/>
                <w:sz w:val="24"/>
                <w:szCs w:val="24"/>
              </w:rPr>
              <w:t>В случае, если договор заключается с субъектом малого и среднего предпринимательства, срок оплаты не может превышать 7 (семь) рабочих дней с момента подписания акта.</w:t>
            </w:r>
          </w:p>
          <w:p w14:paraId="7E67A7CD" w14:textId="77777777" w:rsidR="00EC1700" w:rsidRPr="00EC1700" w:rsidRDefault="00EC1700" w:rsidP="00EC1700">
            <w:pPr>
              <w:tabs>
                <w:tab w:val="left" w:pos="567"/>
                <w:tab w:val="left" w:pos="709"/>
              </w:tabs>
              <w:spacing w:line="240" w:lineRule="auto"/>
              <w:ind w:firstLine="851"/>
              <w:rPr>
                <w:rFonts w:ascii="Times New Roman" w:hAnsi="Times New Roman" w:cs="Times New Roman"/>
                <w:sz w:val="24"/>
                <w:szCs w:val="24"/>
              </w:rPr>
            </w:pPr>
            <w:r w:rsidRPr="00EC1700">
              <w:rPr>
                <w:rFonts w:ascii="Times New Roman" w:hAnsi="Times New Roman" w:cs="Times New Roman"/>
                <w:sz w:val="24"/>
                <w:szCs w:val="24"/>
              </w:rPr>
              <w:t>Датой исполнения денежного обязательства является день списания денежной суммы со счета АО «ТГЭС».</w:t>
            </w:r>
          </w:p>
          <w:p w14:paraId="699D6C24" w14:textId="77777777" w:rsidR="00EC1700" w:rsidRPr="00EC1700" w:rsidRDefault="00EC1700" w:rsidP="00EC1700">
            <w:pPr>
              <w:keepNext/>
              <w:numPr>
                <w:ilvl w:val="0"/>
                <w:numId w:val="37"/>
              </w:numPr>
              <w:tabs>
                <w:tab w:val="left" w:pos="284"/>
              </w:tabs>
              <w:spacing w:before="240" w:after="120" w:line="240" w:lineRule="auto"/>
              <w:ind w:left="0" w:firstLine="0"/>
              <w:jc w:val="center"/>
              <w:rPr>
                <w:rFonts w:ascii="Times New Roman" w:hAnsi="Times New Roman" w:cs="Times New Roman"/>
                <w:b/>
                <w:sz w:val="24"/>
                <w:szCs w:val="24"/>
              </w:rPr>
            </w:pPr>
            <w:r w:rsidRPr="00EC1700">
              <w:rPr>
                <w:rFonts w:ascii="Times New Roman" w:hAnsi="Times New Roman" w:cs="Times New Roman"/>
                <w:b/>
                <w:sz w:val="24"/>
                <w:szCs w:val="24"/>
              </w:rPr>
              <w:t>ТРЕБОВАНИЯ К УСЛУГАМ, ПРЕДСТАВЛЯЕМЫМ ИСПОЛНИТЕЛЕМ</w:t>
            </w:r>
          </w:p>
          <w:p w14:paraId="574A86E8" w14:textId="77777777" w:rsidR="00EC1700" w:rsidRPr="00EC1700" w:rsidRDefault="00EC1700" w:rsidP="00EC1700">
            <w:pPr>
              <w:numPr>
                <w:ilvl w:val="1"/>
                <w:numId w:val="37"/>
              </w:numPr>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Обязательство Исполнителя самостоятельно собрать всю необходимую информацию для проведения оценочных работ.</w:t>
            </w:r>
          </w:p>
          <w:p w14:paraId="61264659" w14:textId="77777777" w:rsidR="00EC1700" w:rsidRPr="00EC1700" w:rsidRDefault="00EC1700" w:rsidP="00EC1700">
            <w:pPr>
              <w:numPr>
                <w:ilvl w:val="1"/>
                <w:numId w:val="37"/>
              </w:numPr>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 xml:space="preserve">Обязательство Исполнителя соблюдать сроки и условия </w:t>
            </w:r>
            <w:proofErr w:type="spellStart"/>
            <w:r w:rsidRPr="00EC1700">
              <w:rPr>
                <w:rFonts w:ascii="Times New Roman" w:hAnsi="Times New Roman" w:cs="Times New Roman"/>
                <w:sz w:val="24"/>
                <w:szCs w:val="24"/>
              </w:rPr>
              <w:t>пп</w:t>
            </w:r>
            <w:proofErr w:type="spellEnd"/>
            <w:r w:rsidRPr="00EC1700">
              <w:rPr>
                <w:rFonts w:ascii="Times New Roman" w:hAnsi="Times New Roman" w:cs="Times New Roman"/>
                <w:sz w:val="24"/>
                <w:szCs w:val="24"/>
              </w:rPr>
              <w:t>. 2.2. – 2.4.</w:t>
            </w:r>
          </w:p>
          <w:p w14:paraId="1465BCE5" w14:textId="77777777" w:rsidR="00EC1700" w:rsidRPr="00EC1700" w:rsidRDefault="00EC1700" w:rsidP="00EC1700">
            <w:pPr>
              <w:spacing w:line="240" w:lineRule="auto"/>
              <w:rPr>
                <w:rFonts w:ascii="Times New Roman" w:hAnsi="Times New Roman" w:cs="Times New Roman"/>
                <w:sz w:val="24"/>
                <w:szCs w:val="24"/>
              </w:rPr>
            </w:pPr>
            <w:r w:rsidRPr="00EC1700">
              <w:rPr>
                <w:rFonts w:ascii="Times New Roman" w:hAnsi="Times New Roman" w:cs="Times New Roman"/>
                <w:sz w:val="24"/>
                <w:szCs w:val="24"/>
              </w:rPr>
              <w:t>В случае нарушения сроков оказания услуг по оценке, АО «ТГЭС» вправе наложить на исполнителя штраф в размере 0,1 (одна десятая) % от стоимости оказываемых услуг за каждый день просрочки по Договору.</w:t>
            </w:r>
          </w:p>
          <w:p w14:paraId="1E0C5AA3" w14:textId="77777777" w:rsidR="00EC1700" w:rsidRPr="00EC1700" w:rsidRDefault="00EC1700" w:rsidP="00EC1700">
            <w:pPr>
              <w:numPr>
                <w:ilvl w:val="1"/>
                <w:numId w:val="37"/>
              </w:numPr>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Обязательство Исполнителя сотрудничать с Заказчиком в процессе рассмотрения Отчета об оценке в целях защиты результатов оценки.</w:t>
            </w:r>
          </w:p>
          <w:p w14:paraId="5AFDD097" w14:textId="77777777" w:rsidR="00EC1700" w:rsidRPr="00EC1700" w:rsidRDefault="00EC1700" w:rsidP="00EC1700">
            <w:pPr>
              <w:numPr>
                <w:ilvl w:val="1"/>
                <w:numId w:val="37"/>
              </w:numPr>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lastRenderedPageBreak/>
              <w:t>Обязательство Исполнителя при наличии у Заказчика письменных мотивированных замечаний к проекту Отчета об оценке исправить в течение 3 (трех) календарных дней выявленные недостатки и предоставить Заказчику новую редакцию проекта Отчета. Доработки по мотивированным замечаниям производятся Исполнителем за свой счет, если они не выходят за пределы содержания и объема выполняемых услуг.</w:t>
            </w:r>
          </w:p>
          <w:p w14:paraId="56382598" w14:textId="77777777" w:rsidR="00EC1700" w:rsidRPr="00EC1700" w:rsidRDefault="00EC1700" w:rsidP="00EC1700">
            <w:pPr>
              <w:numPr>
                <w:ilvl w:val="1"/>
                <w:numId w:val="37"/>
              </w:numPr>
              <w:spacing w:after="0" w:line="240" w:lineRule="auto"/>
              <w:ind w:left="0" w:firstLine="567"/>
              <w:jc w:val="both"/>
              <w:rPr>
                <w:rFonts w:ascii="Times New Roman" w:hAnsi="Times New Roman" w:cs="Times New Roman"/>
                <w:sz w:val="24"/>
                <w:szCs w:val="24"/>
              </w:rPr>
            </w:pPr>
            <w:r w:rsidRPr="00EC1700">
              <w:rPr>
                <w:rFonts w:ascii="Times New Roman" w:hAnsi="Times New Roman" w:cs="Times New Roman"/>
                <w:sz w:val="24"/>
                <w:szCs w:val="24"/>
              </w:rPr>
              <w:t>Обязательство Исполнителя без дополнительной оплаты актуализировать дату составления Отчета об оценке по письменному запросу Заказчика в течение 1 (одного) рабочего дня и предоставить оригинал Отчета Заказчику.</w:t>
            </w:r>
          </w:p>
          <w:p w14:paraId="430711E8" w14:textId="77777777" w:rsidR="00EC1700" w:rsidRPr="00EC1700" w:rsidRDefault="00EC1700" w:rsidP="00EC1700">
            <w:pPr>
              <w:numPr>
                <w:ilvl w:val="1"/>
                <w:numId w:val="37"/>
              </w:numPr>
              <w:spacing w:after="0" w:line="240" w:lineRule="auto"/>
              <w:ind w:left="0" w:firstLine="709"/>
              <w:jc w:val="both"/>
              <w:rPr>
                <w:rFonts w:ascii="Times New Roman" w:hAnsi="Times New Roman" w:cs="Times New Roman"/>
                <w:sz w:val="24"/>
                <w:szCs w:val="24"/>
              </w:rPr>
            </w:pPr>
            <w:r w:rsidRPr="00EC1700">
              <w:rPr>
                <w:rFonts w:ascii="Times New Roman" w:hAnsi="Times New Roman" w:cs="Times New Roman"/>
                <w:sz w:val="24"/>
                <w:szCs w:val="24"/>
              </w:rPr>
              <w:t>В случае выявления критических и/или существенных замечаний к Отчету об оценке рыночной стоимости (расхождение в стоимости объекта на 50 (пятьдесят) % и более, либо нарушение Федеральных стандартов оценки), при рассмотрении Отчета в АО «ТГЭС» или ПАО «</w:t>
            </w:r>
            <w:proofErr w:type="spellStart"/>
            <w:r w:rsidRPr="00EC1700">
              <w:rPr>
                <w:rFonts w:ascii="Times New Roman" w:hAnsi="Times New Roman" w:cs="Times New Roman"/>
                <w:sz w:val="24"/>
                <w:szCs w:val="24"/>
              </w:rPr>
              <w:t>Россети</w:t>
            </w:r>
            <w:proofErr w:type="spellEnd"/>
            <w:r w:rsidRPr="00EC1700">
              <w:rPr>
                <w:rFonts w:ascii="Times New Roman" w:hAnsi="Times New Roman" w:cs="Times New Roman"/>
                <w:sz w:val="24"/>
                <w:szCs w:val="24"/>
              </w:rPr>
              <w:t>», Заказчик имеет право расторгнуть Договор с оценочной организацией, подготовившей такой Отчет без произведения оплаты.</w:t>
            </w:r>
          </w:p>
          <w:p w14:paraId="0146DB62" w14:textId="77777777" w:rsidR="00EC1700" w:rsidRDefault="00EC1700" w:rsidP="00EC1700">
            <w:pPr>
              <w:tabs>
                <w:tab w:val="num" w:pos="0"/>
                <w:tab w:val="num" w:pos="284"/>
                <w:tab w:val="num" w:pos="1140"/>
              </w:tabs>
              <w:spacing w:line="240" w:lineRule="auto"/>
              <w:rPr>
                <w:color w:val="000000"/>
                <w:sz w:val="24"/>
                <w:szCs w:val="24"/>
              </w:rPr>
            </w:pPr>
          </w:p>
          <w:p w14:paraId="3D756801" w14:textId="77777777" w:rsidR="007D7D65" w:rsidRPr="00306FB7" w:rsidRDefault="007D7D65" w:rsidP="007D7D65">
            <w:pPr>
              <w:jc w:val="center"/>
              <w:outlineLvl w:val="0"/>
              <w:rPr>
                <w:rFonts w:ascii="Times New Roman" w:hAnsi="Times New Roman" w:cs="Times New Roman"/>
                <w:sz w:val="20"/>
                <w:szCs w:val="20"/>
              </w:rPr>
            </w:pPr>
          </w:p>
          <w:p w14:paraId="5C23BD90" w14:textId="77777777" w:rsidR="007D7D65" w:rsidRPr="00306FB7" w:rsidRDefault="007D7D65" w:rsidP="007D7D65">
            <w:pPr>
              <w:jc w:val="center"/>
              <w:outlineLvl w:val="0"/>
              <w:rPr>
                <w:rFonts w:ascii="Times New Roman" w:hAnsi="Times New Roman" w:cs="Times New Roman"/>
              </w:rPr>
            </w:pPr>
          </w:p>
          <w:p w14:paraId="622C16ED" w14:textId="77777777" w:rsidR="007D7D65" w:rsidRPr="00306FB7" w:rsidRDefault="007D7D65" w:rsidP="007D7D65">
            <w:pPr>
              <w:jc w:val="center"/>
              <w:outlineLvl w:val="0"/>
              <w:rPr>
                <w:rFonts w:ascii="Times New Roman" w:hAnsi="Times New Roman" w:cs="Times New Roman"/>
              </w:rPr>
            </w:pPr>
          </w:p>
          <w:p w14:paraId="5078653A" w14:textId="77777777" w:rsidR="007D7D65" w:rsidRPr="00306FB7" w:rsidRDefault="007D7D65" w:rsidP="007D7D65">
            <w:pPr>
              <w:jc w:val="center"/>
              <w:outlineLvl w:val="0"/>
              <w:rPr>
                <w:rFonts w:ascii="Times New Roman" w:hAnsi="Times New Roman" w:cs="Times New Roman"/>
              </w:rPr>
            </w:pPr>
          </w:p>
          <w:p w14:paraId="35D047D3" w14:textId="77777777" w:rsidR="007D7D65" w:rsidRPr="00306FB7" w:rsidRDefault="007D7D65" w:rsidP="007D7D65">
            <w:pPr>
              <w:jc w:val="center"/>
              <w:outlineLvl w:val="0"/>
              <w:rPr>
                <w:rFonts w:ascii="Times New Roman" w:hAnsi="Times New Roman" w:cs="Times New Roman"/>
              </w:rPr>
            </w:pPr>
          </w:p>
          <w:p w14:paraId="6B7D3F63" w14:textId="77777777" w:rsidR="007D7D65" w:rsidRPr="00306FB7" w:rsidRDefault="007D7D65" w:rsidP="007D7D65">
            <w:pPr>
              <w:rPr>
                <w:rFonts w:ascii="Times New Roman" w:hAnsi="Times New Roman" w:cs="Times New Roman"/>
                <w:b/>
              </w:rPr>
            </w:pPr>
          </w:p>
          <w:p w14:paraId="3EF5BA97" w14:textId="77777777" w:rsidR="007D7D65" w:rsidRPr="00306FB7" w:rsidRDefault="007D7D65" w:rsidP="007D7D65">
            <w:pPr>
              <w:rPr>
                <w:rFonts w:ascii="Times New Roman" w:hAnsi="Times New Roman" w:cs="Times New Roman"/>
                <w:b/>
              </w:rPr>
            </w:pPr>
          </w:p>
          <w:p w14:paraId="740415FC" w14:textId="77777777" w:rsidR="007D7D65" w:rsidRPr="00306FB7" w:rsidRDefault="007D7D65" w:rsidP="007D7D65">
            <w:pPr>
              <w:rPr>
                <w:rFonts w:ascii="Times New Roman" w:hAnsi="Times New Roman" w:cs="Times New Roman"/>
                <w:b/>
              </w:rPr>
            </w:pPr>
          </w:p>
          <w:p w14:paraId="5BCC4A4C" w14:textId="77777777" w:rsidR="007D7D65" w:rsidRPr="00306FB7" w:rsidRDefault="007D7D65" w:rsidP="007D7D65">
            <w:pPr>
              <w:rPr>
                <w:rFonts w:ascii="Times New Roman" w:hAnsi="Times New Roman" w:cs="Times New Roman"/>
                <w:b/>
              </w:rPr>
            </w:pPr>
          </w:p>
          <w:p w14:paraId="474B3939" w14:textId="77777777" w:rsidR="007D7D65" w:rsidRPr="00306FB7" w:rsidRDefault="007D7D65" w:rsidP="007D7D65">
            <w:pPr>
              <w:rPr>
                <w:rFonts w:ascii="Times New Roman" w:hAnsi="Times New Roman" w:cs="Times New Roman"/>
                <w:b/>
              </w:rPr>
            </w:pPr>
          </w:p>
          <w:p w14:paraId="2BDF23F6" w14:textId="77777777" w:rsidR="007D7D65" w:rsidRPr="00306FB7" w:rsidRDefault="007D7D65" w:rsidP="007D7D65">
            <w:pPr>
              <w:rPr>
                <w:rFonts w:ascii="Times New Roman" w:hAnsi="Times New Roman" w:cs="Times New Roman"/>
                <w:b/>
              </w:rPr>
            </w:pPr>
          </w:p>
          <w:p w14:paraId="2A736F8E" w14:textId="77777777" w:rsidR="007D7D65" w:rsidRPr="007D7D65" w:rsidRDefault="007D7D65" w:rsidP="007D7D65">
            <w:pPr>
              <w:rPr>
                <w:rFonts w:ascii="Times New Roman" w:hAnsi="Times New Roman" w:cs="Times New Roman"/>
                <w:b/>
              </w:rPr>
            </w:pPr>
          </w:p>
          <w:p w14:paraId="298B7699" w14:textId="77777777" w:rsidR="007D7D65" w:rsidRPr="007D7D65" w:rsidRDefault="007D7D65" w:rsidP="007D7D65">
            <w:pPr>
              <w:rPr>
                <w:rFonts w:ascii="Times New Roman" w:hAnsi="Times New Roman" w:cs="Times New Roman"/>
                <w:b/>
              </w:rPr>
            </w:pPr>
          </w:p>
          <w:p w14:paraId="6651A784" w14:textId="77777777" w:rsidR="007D7D65" w:rsidRPr="007D7D65" w:rsidRDefault="007D7D65" w:rsidP="007D7D65">
            <w:pPr>
              <w:rPr>
                <w:rFonts w:ascii="Times New Roman" w:hAnsi="Times New Roman" w:cs="Times New Roman"/>
                <w:b/>
              </w:rPr>
            </w:pPr>
          </w:p>
          <w:p w14:paraId="65946E48" w14:textId="77777777" w:rsidR="007D7D65" w:rsidRPr="007D7D65" w:rsidRDefault="007D7D65" w:rsidP="007D7D65">
            <w:pPr>
              <w:rPr>
                <w:rFonts w:ascii="Times New Roman" w:hAnsi="Times New Roman" w:cs="Times New Roman"/>
                <w:b/>
              </w:rPr>
            </w:pPr>
          </w:p>
          <w:p w14:paraId="0A57BF9D" w14:textId="77777777" w:rsidR="007D7D65" w:rsidRPr="007D7D65" w:rsidRDefault="007D7D65" w:rsidP="007D7D65">
            <w:pPr>
              <w:rPr>
                <w:rFonts w:ascii="Times New Roman" w:hAnsi="Times New Roman" w:cs="Times New Roman"/>
                <w:b/>
              </w:rPr>
            </w:pPr>
          </w:p>
          <w:p w14:paraId="635E9C63" w14:textId="77777777" w:rsidR="007D7D65" w:rsidRPr="007D7D65" w:rsidRDefault="007D7D65" w:rsidP="007D7D65">
            <w:pPr>
              <w:rPr>
                <w:rFonts w:ascii="Times New Roman" w:hAnsi="Times New Roman" w:cs="Times New Roman"/>
                <w:b/>
              </w:rPr>
            </w:pPr>
          </w:p>
          <w:p w14:paraId="3FA25E34" w14:textId="77777777" w:rsidR="007D7D65" w:rsidRPr="007D7D65" w:rsidRDefault="007D7D65" w:rsidP="007D7D65">
            <w:pPr>
              <w:rPr>
                <w:rFonts w:ascii="Times New Roman" w:hAnsi="Times New Roman" w:cs="Times New Roman"/>
                <w:b/>
              </w:rPr>
            </w:pPr>
          </w:p>
          <w:p w14:paraId="5304BB5E" w14:textId="77777777" w:rsidR="007D7D65" w:rsidRPr="007D7D65" w:rsidRDefault="007D7D65" w:rsidP="007D7D65">
            <w:pPr>
              <w:rPr>
                <w:rFonts w:ascii="Times New Roman" w:hAnsi="Times New Roman" w:cs="Times New Roman"/>
                <w:b/>
              </w:rPr>
            </w:pPr>
          </w:p>
          <w:p w14:paraId="7794F41D" w14:textId="77777777" w:rsidR="007D7D65" w:rsidRPr="007D7D65" w:rsidRDefault="007D7D65" w:rsidP="007D7D65">
            <w:pPr>
              <w:rPr>
                <w:rFonts w:ascii="Times New Roman" w:hAnsi="Times New Roman" w:cs="Times New Roman"/>
                <w:b/>
              </w:rPr>
            </w:pPr>
          </w:p>
          <w:p w14:paraId="2865FD1D" w14:textId="77777777" w:rsidR="007D7D65" w:rsidRPr="007D7D65" w:rsidRDefault="007D7D65" w:rsidP="007D7D65">
            <w:pPr>
              <w:rPr>
                <w:rFonts w:ascii="Times New Roman" w:hAnsi="Times New Roman" w:cs="Times New Roman"/>
                <w:b/>
              </w:rPr>
            </w:pPr>
          </w:p>
          <w:p w14:paraId="6BAC0FAF" w14:textId="77777777" w:rsidR="007D7D65" w:rsidRPr="007D7D65" w:rsidRDefault="007D7D65" w:rsidP="007D7D65">
            <w:pPr>
              <w:rPr>
                <w:rFonts w:ascii="Times New Roman" w:hAnsi="Times New Roman" w:cs="Times New Roman"/>
                <w:b/>
              </w:rPr>
            </w:pPr>
          </w:p>
          <w:p w14:paraId="42E297B9" w14:textId="77777777" w:rsidR="007D7D65" w:rsidRPr="007D7D65" w:rsidRDefault="007D7D65" w:rsidP="007D7D65">
            <w:pPr>
              <w:rPr>
                <w:rFonts w:ascii="Times New Roman" w:hAnsi="Times New Roman" w:cs="Times New Roman"/>
                <w:b/>
              </w:rPr>
            </w:pPr>
          </w:p>
          <w:p w14:paraId="09E36475" w14:textId="77777777" w:rsidR="007D7D65" w:rsidRPr="007D7D65" w:rsidRDefault="007D7D65" w:rsidP="007D7D65">
            <w:pPr>
              <w:rPr>
                <w:rFonts w:ascii="Times New Roman" w:hAnsi="Times New Roman" w:cs="Times New Roman"/>
                <w:b/>
              </w:rPr>
            </w:pPr>
          </w:p>
          <w:p w14:paraId="7BC7B2B9" w14:textId="77777777" w:rsidR="00160C63" w:rsidRPr="007D7D65" w:rsidRDefault="00160C63" w:rsidP="00160C63">
            <w:pPr>
              <w:jc w:val="both"/>
              <w:rPr>
                <w:rFonts w:ascii="Times New Roman" w:hAnsi="Times New Roman" w:cs="Times New Roman"/>
                <w:sz w:val="20"/>
                <w:szCs w:val="20"/>
              </w:rPr>
            </w:pPr>
          </w:p>
          <w:p w14:paraId="3720661C" w14:textId="77777777" w:rsidR="00160C63" w:rsidRPr="007D7D65" w:rsidRDefault="00160C63" w:rsidP="00160C63">
            <w:pPr>
              <w:jc w:val="both"/>
              <w:rPr>
                <w:rFonts w:ascii="Times New Roman" w:hAnsi="Times New Roman" w:cs="Times New Roman"/>
                <w:sz w:val="20"/>
                <w:szCs w:val="20"/>
              </w:rPr>
            </w:pPr>
          </w:p>
          <w:p w14:paraId="6E7EF783" w14:textId="7F03DFAC" w:rsidR="00961A4F" w:rsidRPr="007D7D65" w:rsidRDefault="00961A4F" w:rsidP="00CC4572">
            <w:pPr>
              <w:spacing w:after="0" w:line="276" w:lineRule="auto"/>
              <w:rPr>
                <w:rFonts w:ascii="Times New Roman" w:hAnsi="Times New Roman" w:cs="Times New Roman"/>
                <w:b/>
                <w:bCs/>
                <w:sz w:val="20"/>
                <w:szCs w:val="20"/>
              </w:rPr>
            </w:pPr>
          </w:p>
        </w:tc>
      </w:tr>
    </w:tbl>
    <w:p w14:paraId="13031A06" w14:textId="77777777" w:rsidR="00564D79" w:rsidRDefault="00564D79" w:rsidP="00564D79">
      <w:pPr>
        <w:suppressAutoHyphens/>
        <w:spacing w:after="0" w:line="240" w:lineRule="auto"/>
        <w:ind w:left="5664"/>
        <w:rPr>
          <w:rFonts w:ascii="Times New Roman" w:hAnsi="Times New Roman" w:cs="Times New Roman"/>
          <w:snapToGrid w:val="0"/>
          <w:sz w:val="23"/>
          <w:szCs w:val="23"/>
        </w:rPr>
      </w:pPr>
    </w:p>
    <w:p w14:paraId="3F5D7A32" w14:textId="77777777" w:rsidR="009D3B56" w:rsidRPr="009D3B56" w:rsidRDefault="009D3B56" w:rsidP="009D3B56">
      <w:pPr>
        <w:keepNext/>
        <w:snapToGrid w:val="0"/>
        <w:spacing w:line="240" w:lineRule="auto"/>
        <w:ind w:firstLine="709"/>
        <w:jc w:val="right"/>
        <w:rPr>
          <w:rFonts w:ascii="Times New Roman" w:hAnsi="Times New Roman" w:cs="Times New Roman"/>
          <w:b/>
          <w:sz w:val="24"/>
          <w:szCs w:val="24"/>
        </w:rPr>
      </w:pPr>
      <w:r w:rsidRPr="009D3B56">
        <w:rPr>
          <w:rFonts w:ascii="Times New Roman" w:hAnsi="Times New Roman" w:cs="Times New Roman"/>
          <w:b/>
          <w:sz w:val="24"/>
          <w:szCs w:val="24"/>
        </w:rPr>
        <w:t>Приложение 1</w:t>
      </w:r>
    </w:p>
    <w:p w14:paraId="0025957A" w14:textId="77777777" w:rsidR="009D3B56" w:rsidRPr="009D3B56" w:rsidRDefault="009D3B56" w:rsidP="009D3B56">
      <w:pPr>
        <w:keepNext/>
        <w:snapToGrid w:val="0"/>
        <w:spacing w:line="240" w:lineRule="auto"/>
        <w:ind w:firstLine="709"/>
        <w:jc w:val="right"/>
        <w:rPr>
          <w:rFonts w:ascii="Times New Roman" w:hAnsi="Times New Roman" w:cs="Times New Roman"/>
          <w:b/>
          <w:sz w:val="24"/>
          <w:szCs w:val="24"/>
        </w:rPr>
      </w:pPr>
      <w:r w:rsidRPr="009D3B56">
        <w:rPr>
          <w:rFonts w:ascii="Times New Roman" w:hAnsi="Times New Roman" w:cs="Times New Roman"/>
          <w:b/>
          <w:sz w:val="24"/>
          <w:szCs w:val="24"/>
        </w:rPr>
        <w:t>к Заданию на оценку</w:t>
      </w:r>
    </w:p>
    <w:p w14:paraId="3CE41D79" w14:textId="77777777" w:rsidR="009D3B56" w:rsidRPr="009D3B56" w:rsidRDefault="009D3B56" w:rsidP="009D3B56">
      <w:pPr>
        <w:keepNext/>
        <w:snapToGrid w:val="0"/>
        <w:spacing w:line="240" w:lineRule="auto"/>
        <w:ind w:firstLine="709"/>
        <w:jc w:val="right"/>
        <w:rPr>
          <w:rFonts w:ascii="Times New Roman" w:hAnsi="Times New Roman" w:cs="Times New Roman"/>
          <w:b/>
          <w:sz w:val="24"/>
          <w:szCs w:val="24"/>
        </w:rPr>
      </w:pPr>
    </w:p>
    <w:p w14:paraId="66DF8C72" w14:textId="39192C7F" w:rsidR="009D3B56" w:rsidRPr="009D3B56" w:rsidRDefault="009D3B56" w:rsidP="009D3B56">
      <w:pPr>
        <w:keepNext/>
        <w:snapToGrid w:val="0"/>
        <w:spacing w:line="240" w:lineRule="auto"/>
        <w:ind w:firstLine="709"/>
        <w:jc w:val="center"/>
        <w:rPr>
          <w:rFonts w:ascii="Times New Roman" w:hAnsi="Times New Roman" w:cs="Times New Roman"/>
          <w:b/>
          <w:sz w:val="24"/>
          <w:szCs w:val="24"/>
        </w:rPr>
      </w:pPr>
      <w:r w:rsidRPr="009D3B56">
        <w:rPr>
          <w:rFonts w:ascii="Times New Roman" w:hAnsi="Times New Roman" w:cs="Times New Roman"/>
          <w:b/>
          <w:sz w:val="24"/>
          <w:szCs w:val="24"/>
        </w:rPr>
        <w:t>Перечень движимого имущества. Транспортные средства</w:t>
      </w:r>
      <w:bookmarkStart w:id="0" w:name="_GoBack"/>
      <w:bookmarkEnd w:id="0"/>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722"/>
        <w:gridCol w:w="1633"/>
        <w:gridCol w:w="958"/>
        <w:gridCol w:w="1210"/>
        <w:gridCol w:w="1330"/>
        <w:gridCol w:w="1117"/>
        <w:gridCol w:w="1691"/>
        <w:gridCol w:w="1132"/>
        <w:gridCol w:w="1442"/>
        <w:gridCol w:w="1799"/>
        <w:gridCol w:w="1355"/>
      </w:tblGrid>
      <w:tr w:rsidR="009D3B56" w:rsidRPr="009D3B56" w14:paraId="220FE65B" w14:textId="77777777" w:rsidTr="0017583C">
        <w:trPr>
          <w:trHeight w:val="900"/>
        </w:trPr>
        <w:tc>
          <w:tcPr>
            <w:tcW w:w="488" w:type="dxa"/>
            <w:shd w:val="clear" w:color="auto" w:fill="FFFFFF"/>
            <w:vAlign w:val="center"/>
            <w:hideMark/>
          </w:tcPr>
          <w:p w14:paraId="291BE495"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 п/п</w:t>
            </w:r>
          </w:p>
        </w:tc>
        <w:tc>
          <w:tcPr>
            <w:tcW w:w="1705" w:type="dxa"/>
            <w:shd w:val="clear" w:color="auto" w:fill="FFFFFF"/>
            <w:vAlign w:val="center"/>
            <w:hideMark/>
          </w:tcPr>
          <w:p w14:paraId="2E1CE293"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Наименование по ПТС</w:t>
            </w:r>
          </w:p>
        </w:tc>
        <w:tc>
          <w:tcPr>
            <w:tcW w:w="1635" w:type="dxa"/>
            <w:shd w:val="clear" w:color="auto" w:fill="FFFFFF"/>
            <w:vAlign w:val="center"/>
            <w:hideMark/>
          </w:tcPr>
          <w:p w14:paraId="252CEEF5"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Наименование по БУ*</w:t>
            </w:r>
          </w:p>
        </w:tc>
        <w:tc>
          <w:tcPr>
            <w:tcW w:w="959" w:type="dxa"/>
            <w:shd w:val="clear" w:color="auto" w:fill="FFFFFF"/>
            <w:vAlign w:val="center"/>
            <w:hideMark/>
          </w:tcPr>
          <w:p w14:paraId="47D7E068"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 xml:space="preserve">Участок </w:t>
            </w:r>
            <w:proofErr w:type="spellStart"/>
            <w:r w:rsidRPr="009D3B56">
              <w:rPr>
                <w:rFonts w:ascii="Times New Roman" w:hAnsi="Times New Roman" w:cs="Times New Roman"/>
                <w:color w:val="000000"/>
                <w:sz w:val="16"/>
                <w:szCs w:val="16"/>
              </w:rPr>
              <w:t>СМиТ</w:t>
            </w:r>
            <w:proofErr w:type="spellEnd"/>
          </w:p>
        </w:tc>
        <w:tc>
          <w:tcPr>
            <w:tcW w:w="1213" w:type="dxa"/>
            <w:shd w:val="clear" w:color="auto" w:fill="FFFFFF"/>
            <w:vAlign w:val="center"/>
            <w:hideMark/>
          </w:tcPr>
          <w:p w14:paraId="3FC8C07C"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Инв. №*</w:t>
            </w:r>
          </w:p>
        </w:tc>
        <w:tc>
          <w:tcPr>
            <w:tcW w:w="1330" w:type="dxa"/>
            <w:shd w:val="clear" w:color="auto" w:fill="FFFFFF"/>
            <w:vAlign w:val="center"/>
            <w:hideMark/>
          </w:tcPr>
          <w:p w14:paraId="138D328F"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Первоначальная балансовая стоимость, руб.</w:t>
            </w:r>
          </w:p>
        </w:tc>
        <w:tc>
          <w:tcPr>
            <w:tcW w:w="1118" w:type="dxa"/>
            <w:shd w:val="clear" w:color="auto" w:fill="FFFFFF"/>
            <w:vAlign w:val="center"/>
            <w:hideMark/>
          </w:tcPr>
          <w:p w14:paraId="2AD965CD"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Остаточная балансовая стоимость по состоянию на 14.05.2026, руб.</w:t>
            </w:r>
          </w:p>
        </w:tc>
        <w:tc>
          <w:tcPr>
            <w:tcW w:w="1698" w:type="dxa"/>
            <w:shd w:val="clear" w:color="auto" w:fill="FFFFFF"/>
            <w:vAlign w:val="center"/>
            <w:hideMark/>
          </w:tcPr>
          <w:p w14:paraId="712338BE"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Марка, модель по ПТС</w:t>
            </w:r>
          </w:p>
        </w:tc>
        <w:tc>
          <w:tcPr>
            <w:tcW w:w="1132" w:type="dxa"/>
            <w:shd w:val="clear" w:color="auto" w:fill="FFFFFF"/>
            <w:vAlign w:val="center"/>
            <w:hideMark/>
          </w:tcPr>
          <w:p w14:paraId="6F44D7F7"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Год изготовления ТС</w:t>
            </w:r>
          </w:p>
        </w:tc>
        <w:tc>
          <w:tcPr>
            <w:tcW w:w="1442" w:type="dxa"/>
            <w:shd w:val="clear" w:color="auto" w:fill="FFFFFF"/>
            <w:vAlign w:val="center"/>
            <w:hideMark/>
          </w:tcPr>
          <w:p w14:paraId="3F1E242E"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 xml:space="preserve">Пробег/наработка </w:t>
            </w:r>
            <w:proofErr w:type="spellStart"/>
            <w:proofErr w:type="gramStart"/>
            <w:r w:rsidRPr="009D3B56">
              <w:rPr>
                <w:rFonts w:ascii="Times New Roman" w:hAnsi="Times New Roman" w:cs="Times New Roman"/>
                <w:color w:val="000000"/>
                <w:sz w:val="16"/>
                <w:szCs w:val="16"/>
              </w:rPr>
              <w:t>моточасов</w:t>
            </w:r>
            <w:proofErr w:type="spellEnd"/>
            <w:r w:rsidRPr="009D3B56">
              <w:rPr>
                <w:rFonts w:ascii="Times New Roman" w:hAnsi="Times New Roman" w:cs="Times New Roman"/>
                <w:color w:val="000000"/>
                <w:sz w:val="16"/>
                <w:szCs w:val="16"/>
              </w:rPr>
              <w:t xml:space="preserve">  по</w:t>
            </w:r>
            <w:proofErr w:type="gramEnd"/>
            <w:r w:rsidRPr="009D3B56">
              <w:rPr>
                <w:rFonts w:ascii="Times New Roman" w:hAnsi="Times New Roman" w:cs="Times New Roman"/>
                <w:color w:val="000000"/>
                <w:sz w:val="16"/>
                <w:szCs w:val="16"/>
              </w:rPr>
              <w:t xml:space="preserve"> состоянию на 14.05.2026, км</w:t>
            </w:r>
          </w:p>
        </w:tc>
        <w:tc>
          <w:tcPr>
            <w:tcW w:w="1799" w:type="dxa"/>
            <w:shd w:val="clear" w:color="auto" w:fill="FFFFFF"/>
            <w:vAlign w:val="center"/>
            <w:hideMark/>
          </w:tcPr>
          <w:p w14:paraId="025EBF86"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Идентификационный номер (VIN)</w:t>
            </w:r>
          </w:p>
        </w:tc>
        <w:tc>
          <w:tcPr>
            <w:tcW w:w="1358" w:type="dxa"/>
            <w:shd w:val="clear" w:color="auto" w:fill="FFFFFF"/>
            <w:vAlign w:val="center"/>
            <w:hideMark/>
          </w:tcPr>
          <w:p w14:paraId="07E61DBF"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Гос. №</w:t>
            </w:r>
          </w:p>
        </w:tc>
      </w:tr>
      <w:tr w:rsidR="009D3B56" w:rsidRPr="009D3B56" w14:paraId="5A2C8EC2" w14:textId="77777777" w:rsidTr="0017583C">
        <w:trPr>
          <w:trHeight w:val="450"/>
        </w:trPr>
        <w:tc>
          <w:tcPr>
            <w:tcW w:w="488" w:type="dxa"/>
            <w:shd w:val="clear" w:color="auto" w:fill="FFFFFF"/>
            <w:vAlign w:val="center"/>
            <w:hideMark/>
          </w:tcPr>
          <w:p w14:paraId="570503D8"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lastRenderedPageBreak/>
              <w:t>1</w:t>
            </w:r>
          </w:p>
        </w:tc>
        <w:tc>
          <w:tcPr>
            <w:tcW w:w="1705" w:type="dxa"/>
            <w:shd w:val="clear" w:color="auto" w:fill="auto"/>
            <w:vAlign w:val="center"/>
          </w:tcPr>
          <w:p w14:paraId="76715B68"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Грузовой фургон цельнометаллический 7 мест</w:t>
            </w:r>
          </w:p>
        </w:tc>
        <w:tc>
          <w:tcPr>
            <w:tcW w:w="1635" w:type="dxa"/>
            <w:shd w:val="clear" w:color="auto" w:fill="auto"/>
            <w:vAlign w:val="center"/>
          </w:tcPr>
          <w:p w14:paraId="75CC9685"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 xml:space="preserve">К814РУ ГАЗ 2705 </w:t>
            </w:r>
            <w:proofErr w:type="spellStart"/>
            <w:r w:rsidRPr="009D3B56">
              <w:rPr>
                <w:rFonts w:ascii="Times New Roman" w:hAnsi="Times New Roman" w:cs="Times New Roman"/>
                <w:color w:val="000000"/>
                <w:sz w:val="16"/>
                <w:szCs w:val="16"/>
              </w:rPr>
              <w:t>сп</w:t>
            </w:r>
            <w:proofErr w:type="spellEnd"/>
          </w:p>
        </w:tc>
        <w:tc>
          <w:tcPr>
            <w:tcW w:w="959" w:type="dxa"/>
            <w:shd w:val="clear" w:color="auto" w:fill="FFFFFF"/>
            <w:vAlign w:val="center"/>
          </w:tcPr>
          <w:p w14:paraId="44B76254"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ТГЭС</w:t>
            </w:r>
          </w:p>
        </w:tc>
        <w:tc>
          <w:tcPr>
            <w:tcW w:w="1213" w:type="dxa"/>
            <w:shd w:val="clear" w:color="auto" w:fill="FFFFFF"/>
            <w:vAlign w:val="center"/>
          </w:tcPr>
          <w:p w14:paraId="4A440DA7"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2950218</w:t>
            </w:r>
          </w:p>
        </w:tc>
        <w:tc>
          <w:tcPr>
            <w:tcW w:w="1330" w:type="dxa"/>
            <w:shd w:val="clear" w:color="auto" w:fill="FFFFFF"/>
            <w:vAlign w:val="center"/>
          </w:tcPr>
          <w:p w14:paraId="2FCC910B"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377627,12</w:t>
            </w:r>
          </w:p>
        </w:tc>
        <w:tc>
          <w:tcPr>
            <w:tcW w:w="1118" w:type="dxa"/>
            <w:shd w:val="clear" w:color="auto" w:fill="FFFFFF"/>
            <w:vAlign w:val="center"/>
          </w:tcPr>
          <w:p w14:paraId="55E51083"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645,76</w:t>
            </w:r>
          </w:p>
        </w:tc>
        <w:tc>
          <w:tcPr>
            <w:tcW w:w="1698" w:type="dxa"/>
            <w:shd w:val="clear" w:color="auto" w:fill="FFFFFF"/>
            <w:vAlign w:val="center"/>
          </w:tcPr>
          <w:p w14:paraId="4FB7504C"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ГАЗ 2705</w:t>
            </w:r>
          </w:p>
        </w:tc>
        <w:tc>
          <w:tcPr>
            <w:tcW w:w="1132" w:type="dxa"/>
            <w:shd w:val="clear" w:color="auto" w:fill="FFFFFF"/>
            <w:vAlign w:val="center"/>
          </w:tcPr>
          <w:p w14:paraId="4690643A"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2009</w:t>
            </w:r>
          </w:p>
        </w:tc>
        <w:tc>
          <w:tcPr>
            <w:tcW w:w="1442" w:type="dxa"/>
            <w:shd w:val="clear" w:color="auto" w:fill="FFFFFF"/>
            <w:vAlign w:val="center"/>
          </w:tcPr>
          <w:p w14:paraId="2C61DF23"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112241</w:t>
            </w:r>
          </w:p>
        </w:tc>
        <w:tc>
          <w:tcPr>
            <w:tcW w:w="1799" w:type="dxa"/>
            <w:shd w:val="clear" w:color="auto" w:fill="auto"/>
            <w:vAlign w:val="center"/>
          </w:tcPr>
          <w:p w14:paraId="41BA01EE"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Х9627050090649719</w:t>
            </w:r>
          </w:p>
        </w:tc>
        <w:tc>
          <w:tcPr>
            <w:tcW w:w="1358" w:type="dxa"/>
            <w:shd w:val="clear" w:color="auto" w:fill="FFFFFF"/>
            <w:vAlign w:val="center"/>
          </w:tcPr>
          <w:p w14:paraId="17E8D47D"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К814РУ71</w:t>
            </w:r>
          </w:p>
        </w:tc>
      </w:tr>
      <w:tr w:rsidR="009D3B56" w:rsidRPr="009D3B56" w14:paraId="092220F7" w14:textId="77777777" w:rsidTr="0017583C">
        <w:trPr>
          <w:trHeight w:val="450"/>
        </w:trPr>
        <w:tc>
          <w:tcPr>
            <w:tcW w:w="488" w:type="dxa"/>
            <w:shd w:val="clear" w:color="auto" w:fill="FFFFFF"/>
            <w:vAlign w:val="center"/>
          </w:tcPr>
          <w:p w14:paraId="7A6D9006"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2</w:t>
            </w:r>
          </w:p>
        </w:tc>
        <w:tc>
          <w:tcPr>
            <w:tcW w:w="1705" w:type="dxa"/>
            <w:shd w:val="clear" w:color="auto" w:fill="auto"/>
            <w:vAlign w:val="center"/>
          </w:tcPr>
          <w:p w14:paraId="583B376E"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Автоподъемник</w:t>
            </w:r>
          </w:p>
        </w:tc>
        <w:tc>
          <w:tcPr>
            <w:tcW w:w="1635" w:type="dxa"/>
            <w:shd w:val="clear" w:color="auto" w:fill="auto"/>
            <w:vAlign w:val="center"/>
          </w:tcPr>
          <w:p w14:paraId="72CA5D89"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 xml:space="preserve">С833УЕ автоподъемник АП 17А-04 на ГАЗ 3307 </w:t>
            </w:r>
            <w:proofErr w:type="spellStart"/>
            <w:r w:rsidRPr="009D3B56">
              <w:rPr>
                <w:rFonts w:ascii="Times New Roman" w:hAnsi="Times New Roman" w:cs="Times New Roman"/>
                <w:color w:val="000000"/>
                <w:sz w:val="16"/>
                <w:szCs w:val="16"/>
              </w:rPr>
              <w:t>сп</w:t>
            </w:r>
            <w:proofErr w:type="spellEnd"/>
          </w:p>
        </w:tc>
        <w:tc>
          <w:tcPr>
            <w:tcW w:w="959" w:type="dxa"/>
            <w:shd w:val="clear" w:color="auto" w:fill="FFFFFF"/>
            <w:vAlign w:val="center"/>
          </w:tcPr>
          <w:p w14:paraId="58734428"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ТГЭС</w:t>
            </w:r>
          </w:p>
        </w:tc>
        <w:tc>
          <w:tcPr>
            <w:tcW w:w="1213" w:type="dxa"/>
            <w:shd w:val="clear" w:color="auto" w:fill="FFFFFF"/>
            <w:vAlign w:val="center"/>
          </w:tcPr>
          <w:p w14:paraId="590AA83E"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2950102</w:t>
            </w:r>
          </w:p>
        </w:tc>
        <w:tc>
          <w:tcPr>
            <w:tcW w:w="1330" w:type="dxa"/>
            <w:shd w:val="clear" w:color="auto" w:fill="FFFFFF"/>
            <w:vAlign w:val="center"/>
          </w:tcPr>
          <w:p w14:paraId="08E53A14"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666 368,26</w:t>
            </w:r>
          </w:p>
        </w:tc>
        <w:tc>
          <w:tcPr>
            <w:tcW w:w="1118" w:type="dxa"/>
            <w:shd w:val="clear" w:color="auto" w:fill="FFFFFF"/>
            <w:vAlign w:val="center"/>
          </w:tcPr>
          <w:p w14:paraId="5CF1C5CA"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0,00</w:t>
            </w:r>
          </w:p>
        </w:tc>
        <w:tc>
          <w:tcPr>
            <w:tcW w:w="1698" w:type="dxa"/>
            <w:shd w:val="clear" w:color="auto" w:fill="FFFFFF"/>
            <w:vAlign w:val="center"/>
          </w:tcPr>
          <w:p w14:paraId="423DBCE3"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АП-17А-04 на шасси ГАЗ 3307</w:t>
            </w:r>
          </w:p>
        </w:tc>
        <w:tc>
          <w:tcPr>
            <w:tcW w:w="1132" w:type="dxa"/>
            <w:shd w:val="clear" w:color="auto" w:fill="FFFFFF"/>
            <w:vAlign w:val="center"/>
          </w:tcPr>
          <w:p w14:paraId="55841686"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2005</w:t>
            </w:r>
          </w:p>
        </w:tc>
        <w:tc>
          <w:tcPr>
            <w:tcW w:w="1442" w:type="dxa"/>
            <w:shd w:val="clear" w:color="auto" w:fill="FFFFFF"/>
            <w:vAlign w:val="center"/>
          </w:tcPr>
          <w:p w14:paraId="4760E626"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137805/7125</w:t>
            </w:r>
          </w:p>
        </w:tc>
        <w:tc>
          <w:tcPr>
            <w:tcW w:w="1799" w:type="dxa"/>
            <w:shd w:val="clear" w:color="auto" w:fill="auto"/>
            <w:vAlign w:val="center"/>
          </w:tcPr>
          <w:p w14:paraId="6B6A26FB"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lang w:val="en-US"/>
              </w:rPr>
              <w:t>Y69AP</w:t>
            </w:r>
            <w:r w:rsidRPr="009D3B56">
              <w:rPr>
                <w:rFonts w:ascii="Times New Roman" w:hAnsi="Times New Roman" w:cs="Times New Roman"/>
                <w:color w:val="000000"/>
                <w:sz w:val="16"/>
                <w:szCs w:val="16"/>
              </w:rPr>
              <w:t>17А45ОМ11287</w:t>
            </w:r>
          </w:p>
        </w:tc>
        <w:tc>
          <w:tcPr>
            <w:tcW w:w="1358" w:type="dxa"/>
            <w:shd w:val="clear" w:color="auto" w:fill="FFFFFF"/>
            <w:vAlign w:val="center"/>
          </w:tcPr>
          <w:p w14:paraId="62664997" w14:textId="77777777" w:rsidR="009D3B56" w:rsidRPr="009D3B56" w:rsidRDefault="009D3B56" w:rsidP="0017583C">
            <w:pPr>
              <w:spacing w:line="240" w:lineRule="auto"/>
              <w:jc w:val="center"/>
              <w:rPr>
                <w:rFonts w:ascii="Times New Roman" w:hAnsi="Times New Roman" w:cs="Times New Roman"/>
                <w:color w:val="000000"/>
                <w:sz w:val="16"/>
                <w:szCs w:val="16"/>
              </w:rPr>
            </w:pPr>
            <w:r w:rsidRPr="009D3B56">
              <w:rPr>
                <w:rFonts w:ascii="Times New Roman" w:hAnsi="Times New Roman" w:cs="Times New Roman"/>
                <w:color w:val="000000"/>
                <w:sz w:val="16"/>
                <w:szCs w:val="16"/>
              </w:rPr>
              <w:t>С833УЕ71</w:t>
            </w:r>
          </w:p>
        </w:tc>
      </w:tr>
    </w:tbl>
    <w:p w14:paraId="7D5767E9" w14:textId="77777777" w:rsidR="009D3B56" w:rsidRPr="009D3B56" w:rsidRDefault="009D3B56" w:rsidP="009D3B56">
      <w:pPr>
        <w:ind w:left="-567"/>
        <w:rPr>
          <w:rFonts w:ascii="Times New Roman" w:eastAsia="Calibri" w:hAnsi="Times New Roman" w:cs="Times New Roman"/>
          <w:sz w:val="16"/>
          <w:szCs w:val="16"/>
        </w:rPr>
      </w:pPr>
    </w:p>
    <w:p w14:paraId="1D3A6117" w14:textId="77777777" w:rsidR="009D3B56" w:rsidRPr="009D3B56" w:rsidRDefault="009D3B56" w:rsidP="009D3B56">
      <w:pPr>
        <w:spacing w:line="240" w:lineRule="auto"/>
        <w:ind w:left="284"/>
        <w:rPr>
          <w:rFonts w:ascii="Times New Roman" w:hAnsi="Times New Roman" w:cs="Times New Roman"/>
          <w:b/>
          <w:color w:val="000000"/>
          <w:sz w:val="24"/>
          <w:szCs w:val="24"/>
        </w:rPr>
      </w:pPr>
    </w:p>
    <w:p w14:paraId="63AB642E" w14:textId="77777777" w:rsidR="009D3B56" w:rsidRPr="00BE188C" w:rsidRDefault="009D3B56" w:rsidP="009D3B56">
      <w:pPr>
        <w:spacing w:line="240" w:lineRule="auto"/>
        <w:ind w:left="567"/>
        <w:rPr>
          <w:sz w:val="24"/>
          <w:szCs w:val="24"/>
        </w:rPr>
      </w:pPr>
    </w:p>
    <w:p w14:paraId="790A15C5" w14:textId="77777777" w:rsidR="00564D79" w:rsidRDefault="00564D79" w:rsidP="00564D79">
      <w:pPr>
        <w:suppressAutoHyphens/>
        <w:spacing w:after="0" w:line="240" w:lineRule="auto"/>
        <w:ind w:left="5664"/>
        <w:rPr>
          <w:rFonts w:ascii="Times New Roman" w:hAnsi="Times New Roman" w:cs="Times New Roman"/>
          <w:snapToGrid w:val="0"/>
          <w:sz w:val="23"/>
          <w:szCs w:val="23"/>
        </w:rPr>
      </w:pPr>
    </w:p>
    <w:p w14:paraId="12F20C3F" w14:textId="77777777" w:rsidR="00564D79" w:rsidRDefault="00564D79" w:rsidP="00564D79">
      <w:pPr>
        <w:pStyle w:val="af2"/>
        <w:tabs>
          <w:tab w:val="clear" w:pos="1134"/>
        </w:tabs>
        <w:spacing w:before="120" w:line="276" w:lineRule="auto"/>
        <w:ind w:left="567" w:firstLine="0"/>
        <w:jc w:val="center"/>
        <w:rPr>
          <w:b/>
          <w:sz w:val="24"/>
          <w:szCs w:val="24"/>
        </w:rPr>
        <w:sectPr w:rsidR="00564D79" w:rsidSect="00C058F5">
          <w:pgSz w:w="16838" w:h="11906" w:orient="landscape"/>
          <w:pgMar w:top="709" w:right="680" w:bottom="851" w:left="1134" w:header="227" w:footer="227" w:gutter="0"/>
          <w:cols w:space="708"/>
          <w:docGrid w:linePitch="360"/>
        </w:sectPr>
      </w:pPr>
    </w:p>
    <w:p w14:paraId="1AB3BAEF" w14:textId="0F27E319" w:rsidR="005625E7" w:rsidRDefault="005625E7" w:rsidP="00564D79">
      <w:pPr>
        <w:spacing w:after="0" w:line="240" w:lineRule="auto"/>
        <w:contextualSpacing/>
      </w:pPr>
    </w:p>
    <w:p w14:paraId="2131A66F" w14:textId="6AB97F69" w:rsidR="005625E7" w:rsidRPr="001918BB" w:rsidRDefault="005625E7" w:rsidP="00564D79">
      <w:pPr>
        <w:spacing w:after="0" w:line="240" w:lineRule="auto"/>
        <w:contextualSpacing/>
      </w:pPr>
    </w:p>
    <w:sectPr w:rsidR="005625E7" w:rsidRPr="001918BB" w:rsidSect="00564D79">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219A0" w14:textId="77777777" w:rsidR="00A63B5A" w:rsidRDefault="00A63B5A" w:rsidP="00961A4F">
      <w:pPr>
        <w:spacing w:after="0" w:line="240" w:lineRule="auto"/>
      </w:pPr>
      <w:r>
        <w:separator/>
      </w:r>
    </w:p>
  </w:endnote>
  <w:endnote w:type="continuationSeparator" w:id="0">
    <w:p w14:paraId="5F5CB3C2" w14:textId="77777777" w:rsidR="00A63B5A" w:rsidRDefault="00A63B5A"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98257" w14:textId="77777777" w:rsidR="00A63B5A" w:rsidRDefault="00A63B5A" w:rsidP="00961A4F">
      <w:pPr>
        <w:spacing w:after="0" w:line="240" w:lineRule="auto"/>
      </w:pPr>
      <w:r>
        <w:separator/>
      </w:r>
    </w:p>
  </w:footnote>
  <w:footnote w:type="continuationSeparator" w:id="0">
    <w:p w14:paraId="56071C0E" w14:textId="77777777" w:rsidR="00A63B5A" w:rsidRDefault="00A63B5A" w:rsidP="00961A4F">
      <w:pPr>
        <w:spacing w:after="0" w:line="240" w:lineRule="auto"/>
      </w:pPr>
      <w:r>
        <w:continuationSeparator/>
      </w:r>
    </w:p>
  </w:footnote>
  <w:footnote w:id="1">
    <w:p w14:paraId="165AF9DF" w14:textId="365A43B1" w:rsidR="00EC1700" w:rsidRPr="00EC1700" w:rsidRDefault="00EC1700" w:rsidP="00EC1700">
      <w:pPr>
        <w:pStyle w:val="a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6"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8"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D90D96"/>
    <w:multiLevelType w:val="multilevel"/>
    <w:tmpl w:val="9614113A"/>
    <w:lvl w:ilvl="0">
      <w:start w:val="1"/>
      <w:numFmt w:val="decimal"/>
      <w:lvlText w:val="%1."/>
      <w:lvlJc w:val="left"/>
      <w:pPr>
        <w:ind w:left="1069"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430"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4BED7E0E"/>
    <w:multiLevelType w:val="hybridMultilevel"/>
    <w:tmpl w:val="45A6859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0"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1"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5"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6"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0"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2"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1"/>
  </w:num>
  <w:num w:numId="4">
    <w:abstractNumId w:val="12"/>
  </w:num>
  <w:num w:numId="5">
    <w:abstractNumId w:val="2"/>
  </w:num>
  <w:num w:numId="6">
    <w:abstractNumId w:val="8"/>
  </w:num>
  <w:num w:numId="7">
    <w:abstractNumId w:val="6"/>
  </w:num>
  <w:num w:numId="8">
    <w:abstractNumId w:val="30"/>
  </w:num>
  <w:num w:numId="9">
    <w:abstractNumId w:val="23"/>
  </w:num>
  <w:num w:numId="10">
    <w:abstractNumId w:val="22"/>
  </w:num>
  <w:num w:numId="11">
    <w:abstractNumId w:val="26"/>
  </w:num>
  <w:num w:numId="12">
    <w:abstractNumId w:val="9"/>
  </w:num>
  <w:num w:numId="13">
    <w:abstractNumId w:val="20"/>
  </w:num>
  <w:num w:numId="14">
    <w:abstractNumId w:val="0"/>
  </w:num>
  <w:num w:numId="15">
    <w:abstractNumId w:val="28"/>
  </w:num>
  <w:num w:numId="16">
    <w:abstractNumId w:val="4"/>
  </w:num>
  <w:num w:numId="17">
    <w:abstractNumId w:val="16"/>
  </w:num>
  <w:num w:numId="18">
    <w:abstractNumId w:val="13"/>
  </w:num>
  <w:num w:numId="19">
    <w:abstractNumId w:val="1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7"/>
  </w:num>
  <w:num w:numId="22">
    <w:abstractNumId w:val="11"/>
  </w:num>
  <w:num w:numId="23">
    <w:abstractNumId w:val="3"/>
  </w:num>
  <w:num w:numId="24">
    <w:abstractNumId w:val="27"/>
  </w:num>
  <w:num w:numId="2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2"/>
  </w:num>
  <w:num w:numId="28">
    <w:abstractNumId w:val="21"/>
  </w:num>
  <w:num w:numId="29">
    <w:abstractNumId w:val="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31"/>
  </w:num>
  <w:num w:numId="34">
    <w:abstractNumId w:val="29"/>
  </w:num>
  <w:num w:numId="35">
    <w:abstractNumId w:val="14"/>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41CD9"/>
    <w:rsid w:val="000665F4"/>
    <w:rsid w:val="00074F60"/>
    <w:rsid w:val="00084F89"/>
    <w:rsid w:val="000A2803"/>
    <w:rsid w:val="000B2019"/>
    <w:rsid w:val="000B6FC5"/>
    <w:rsid w:val="000C1AB0"/>
    <w:rsid w:val="000D50C6"/>
    <w:rsid w:val="00106232"/>
    <w:rsid w:val="0011077B"/>
    <w:rsid w:val="00111ECF"/>
    <w:rsid w:val="00126131"/>
    <w:rsid w:val="001303CB"/>
    <w:rsid w:val="001444B1"/>
    <w:rsid w:val="00146361"/>
    <w:rsid w:val="00153D8F"/>
    <w:rsid w:val="00160078"/>
    <w:rsid w:val="00160C63"/>
    <w:rsid w:val="00176822"/>
    <w:rsid w:val="00185ED8"/>
    <w:rsid w:val="00190170"/>
    <w:rsid w:val="001901AD"/>
    <w:rsid w:val="001918BB"/>
    <w:rsid w:val="001A3CA9"/>
    <w:rsid w:val="001A5481"/>
    <w:rsid w:val="001B118F"/>
    <w:rsid w:val="001B2C37"/>
    <w:rsid w:val="001C4625"/>
    <w:rsid w:val="001C4C96"/>
    <w:rsid w:val="001C7218"/>
    <w:rsid w:val="001E35FF"/>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91C31"/>
    <w:rsid w:val="00292651"/>
    <w:rsid w:val="002A56BC"/>
    <w:rsid w:val="002B0703"/>
    <w:rsid w:val="002B4017"/>
    <w:rsid w:val="002B72AF"/>
    <w:rsid w:val="00300775"/>
    <w:rsid w:val="00306FB7"/>
    <w:rsid w:val="00314D4F"/>
    <w:rsid w:val="00317601"/>
    <w:rsid w:val="0032036D"/>
    <w:rsid w:val="0032361A"/>
    <w:rsid w:val="00347682"/>
    <w:rsid w:val="00396D91"/>
    <w:rsid w:val="003B1EB6"/>
    <w:rsid w:val="003C26E3"/>
    <w:rsid w:val="003E5354"/>
    <w:rsid w:val="003F297A"/>
    <w:rsid w:val="003F33EA"/>
    <w:rsid w:val="00403D5D"/>
    <w:rsid w:val="00403EB6"/>
    <w:rsid w:val="00421A54"/>
    <w:rsid w:val="00422016"/>
    <w:rsid w:val="00424D1C"/>
    <w:rsid w:val="004253A8"/>
    <w:rsid w:val="00425F89"/>
    <w:rsid w:val="00432ECA"/>
    <w:rsid w:val="00434660"/>
    <w:rsid w:val="00440307"/>
    <w:rsid w:val="00466393"/>
    <w:rsid w:val="00466AEC"/>
    <w:rsid w:val="00470E31"/>
    <w:rsid w:val="0047751E"/>
    <w:rsid w:val="00481BA5"/>
    <w:rsid w:val="00485A3E"/>
    <w:rsid w:val="00486D6E"/>
    <w:rsid w:val="00496232"/>
    <w:rsid w:val="004A02EE"/>
    <w:rsid w:val="004D7A4E"/>
    <w:rsid w:val="004E235A"/>
    <w:rsid w:val="004E57C8"/>
    <w:rsid w:val="004E74F2"/>
    <w:rsid w:val="004F2B55"/>
    <w:rsid w:val="004F3396"/>
    <w:rsid w:val="005156FD"/>
    <w:rsid w:val="00517D5C"/>
    <w:rsid w:val="00533016"/>
    <w:rsid w:val="00534127"/>
    <w:rsid w:val="0054278B"/>
    <w:rsid w:val="00543B37"/>
    <w:rsid w:val="00552678"/>
    <w:rsid w:val="005533D2"/>
    <w:rsid w:val="005625E7"/>
    <w:rsid w:val="00564D79"/>
    <w:rsid w:val="005720FD"/>
    <w:rsid w:val="005D0D34"/>
    <w:rsid w:val="005E2444"/>
    <w:rsid w:val="005F6955"/>
    <w:rsid w:val="00610E30"/>
    <w:rsid w:val="006111ED"/>
    <w:rsid w:val="00613C1F"/>
    <w:rsid w:val="0063727E"/>
    <w:rsid w:val="00654B2B"/>
    <w:rsid w:val="0066353E"/>
    <w:rsid w:val="0067079E"/>
    <w:rsid w:val="00693D29"/>
    <w:rsid w:val="006A3BBF"/>
    <w:rsid w:val="006B7CDA"/>
    <w:rsid w:val="006D51A7"/>
    <w:rsid w:val="006E05CA"/>
    <w:rsid w:val="006E2044"/>
    <w:rsid w:val="006E4598"/>
    <w:rsid w:val="006F1EA2"/>
    <w:rsid w:val="007054D7"/>
    <w:rsid w:val="00706E59"/>
    <w:rsid w:val="00714B6D"/>
    <w:rsid w:val="00717CA0"/>
    <w:rsid w:val="00720AD9"/>
    <w:rsid w:val="00737C0E"/>
    <w:rsid w:val="00751063"/>
    <w:rsid w:val="00765E8C"/>
    <w:rsid w:val="007662B8"/>
    <w:rsid w:val="007801E5"/>
    <w:rsid w:val="00790670"/>
    <w:rsid w:val="007C4AF4"/>
    <w:rsid w:val="007C5118"/>
    <w:rsid w:val="007D2ABD"/>
    <w:rsid w:val="007D7D65"/>
    <w:rsid w:val="007F3DAB"/>
    <w:rsid w:val="007F739F"/>
    <w:rsid w:val="00820642"/>
    <w:rsid w:val="008206BF"/>
    <w:rsid w:val="00826675"/>
    <w:rsid w:val="00833249"/>
    <w:rsid w:val="00833C3E"/>
    <w:rsid w:val="00863471"/>
    <w:rsid w:val="008741B7"/>
    <w:rsid w:val="00895558"/>
    <w:rsid w:val="008A1965"/>
    <w:rsid w:val="008A19E1"/>
    <w:rsid w:val="008B039E"/>
    <w:rsid w:val="008B0B59"/>
    <w:rsid w:val="008C2CA6"/>
    <w:rsid w:val="008F0543"/>
    <w:rsid w:val="008F7BAE"/>
    <w:rsid w:val="009009F0"/>
    <w:rsid w:val="0090552E"/>
    <w:rsid w:val="00906433"/>
    <w:rsid w:val="00913177"/>
    <w:rsid w:val="009214DE"/>
    <w:rsid w:val="00937213"/>
    <w:rsid w:val="009426AD"/>
    <w:rsid w:val="009568B2"/>
    <w:rsid w:val="009569D8"/>
    <w:rsid w:val="00961A4F"/>
    <w:rsid w:val="009665D7"/>
    <w:rsid w:val="0097147B"/>
    <w:rsid w:val="009715B1"/>
    <w:rsid w:val="00982E08"/>
    <w:rsid w:val="0099358E"/>
    <w:rsid w:val="00997C6C"/>
    <w:rsid w:val="009A04DF"/>
    <w:rsid w:val="009A7797"/>
    <w:rsid w:val="009C3BD6"/>
    <w:rsid w:val="009D1C4B"/>
    <w:rsid w:val="009D3B56"/>
    <w:rsid w:val="009F24D3"/>
    <w:rsid w:val="00A31F77"/>
    <w:rsid w:val="00A329BD"/>
    <w:rsid w:val="00A34511"/>
    <w:rsid w:val="00A379A9"/>
    <w:rsid w:val="00A41168"/>
    <w:rsid w:val="00A42D6F"/>
    <w:rsid w:val="00A56B3C"/>
    <w:rsid w:val="00A63B5A"/>
    <w:rsid w:val="00A652E6"/>
    <w:rsid w:val="00A70241"/>
    <w:rsid w:val="00A70E6B"/>
    <w:rsid w:val="00A778D1"/>
    <w:rsid w:val="00A87E68"/>
    <w:rsid w:val="00AA049A"/>
    <w:rsid w:val="00AA135B"/>
    <w:rsid w:val="00AA7DB5"/>
    <w:rsid w:val="00AB0A6C"/>
    <w:rsid w:val="00AB39D8"/>
    <w:rsid w:val="00AB60CA"/>
    <w:rsid w:val="00AC14D1"/>
    <w:rsid w:val="00AC233C"/>
    <w:rsid w:val="00AD6804"/>
    <w:rsid w:val="00AE300A"/>
    <w:rsid w:val="00AF496E"/>
    <w:rsid w:val="00AF717B"/>
    <w:rsid w:val="00B0410C"/>
    <w:rsid w:val="00B13256"/>
    <w:rsid w:val="00B24F54"/>
    <w:rsid w:val="00B30D57"/>
    <w:rsid w:val="00B33F2C"/>
    <w:rsid w:val="00B502C3"/>
    <w:rsid w:val="00B60855"/>
    <w:rsid w:val="00B620EF"/>
    <w:rsid w:val="00B62398"/>
    <w:rsid w:val="00B62824"/>
    <w:rsid w:val="00B74010"/>
    <w:rsid w:val="00B76249"/>
    <w:rsid w:val="00BA23FD"/>
    <w:rsid w:val="00BA4273"/>
    <w:rsid w:val="00BB7EB9"/>
    <w:rsid w:val="00BE1F33"/>
    <w:rsid w:val="00BE2FE8"/>
    <w:rsid w:val="00BF1AF2"/>
    <w:rsid w:val="00BF575C"/>
    <w:rsid w:val="00C0207F"/>
    <w:rsid w:val="00C028F6"/>
    <w:rsid w:val="00C0399B"/>
    <w:rsid w:val="00C03ACF"/>
    <w:rsid w:val="00C058F5"/>
    <w:rsid w:val="00C15558"/>
    <w:rsid w:val="00C2192F"/>
    <w:rsid w:val="00C37171"/>
    <w:rsid w:val="00C41921"/>
    <w:rsid w:val="00C466DA"/>
    <w:rsid w:val="00C47862"/>
    <w:rsid w:val="00C673AE"/>
    <w:rsid w:val="00C71D95"/>
    <w:rsid w:val="00C82039"/>
    <w:rsid w:val="00CC4572"/>
    <w:rsid w:val="00CC7E51"/>
    <w:rsid w:val="00CD478F"/>
    <w:rsid w:val="00CE7301"/>
    <w:rsid w:val="00CF2BAC"/>
    <w:rsid w:val="00D11D76"/>
    <w:rsid w:val="00D13C33"/>
    <w:rsid w:val="00D15327"/>
    <w:rsid w:val="00D4717E"/>
    <w:rsid w:val="00D56763"/>
    <w:rsid w:val="00D71FF9"/>
    <w:rsid w:val="00D76795"/>
    <w:rsid w:val="00D76C80"/>
    <w:rsid w:val="00D8263A"/>
    <w:rsid w:val="00D96BBF"/>
    <w:rsid w:val="00DA41B8"/>
    <w:rsid w:val="00DA4E06"/>
    <w:rsid w:val="00DA77FB"/>
    <w:rsid w:val="00DC1F5C"/>
    <w:rsid w:val="00DC3091"/>
    <w:rsid w:val="00DC49BC"/>
    <w:rsid w:val="00DD1F0A"/>
    <w:rsid w:val="00DE68B7"/>
    <w:rsid w:val="00DF0295"/>
    <w:rsid w:val="00E04551"/>
    <w:rsid w:val="00E145A9"/>
    <w:rsid w:val="00E24066"/>
    <w:rsid w:val="00E25F97"/>
    <w:rsid w:val="00E30F02"/>
    <w:rsid w:val="00E329E9"/>
    <w:rsid w:val="00E43ADA"/>
    <w:rsid w:val="00E46B70"/>
    <w:rsid w:val="00E56A87"/>
    <w:rsid w:val="00E678B6"/>
    <w:rsid w:val="00E83C35"/>
    <w:rsid w:val="00EB3D02"/>
    <w:rsid w:val="00EC1700"/>
    <w:rsid w:val="00ED4544"/>
    <w:rsid w:val="00ED646A"/>
    <w:rsid w:val="00EF0584"/>
    <w:rsid w:val="00EF7D26"/>
    <w:rsid w:val="00F02AFF"/>
    <w:rsid w:val="00F07D4B"/>
    <w:rsid w:val="00F13DDD"/>
    <w:rsid w:val="00F16B16"/>
    <w:rsid w:val="00F16E03"/>
    <w:rsid w:val="00F370A2"/>
    <w:rsid w:val="00F41C1D"/>
    <w:rsid w:val="00F61853"/>
    <w:rsid w:val="00F65B49"/>
    <w:rsid w:val="00F67D53"/>
    <w:rsid w:val="00F90299"/>
    <w:rsid w:val="00F90C2D"/>
    <w:rsid w:val="00F92478"/>
    <w:rsid w:val="00FA1323"/>
    <w:rsid w:val="00FA51DB"/>
    <w:rsid w:val="00FB2955"/>
    <w:rsid w:val="00FC26F4"/>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Название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rsid w:val="00961A4F"/>
    <w:rPr>
      <w:rFonts w:ascii="Times New Roman" w:eastAsia="Times New Roman" w:hAnsi="Times New Roman" w:cs="Times New Roman"/>
      <w:sz w:val="20"/>
      <w:szCs w:val="20"/>
      <w:lang w:val="x-none" w:eastAsia="x-none"/>
    </w:rPr>
  </w:style>
  <w:style w:type="character" w:styleId="aff">
    <w:name w:val="footnote reference"/>
    <w:rsid w:val="00961A4F"/>
    <w:rPr>
      <w:vertAlign w:val="superscript"/>
    </w:rPr>
  </w:style>
  <w:style w:type="paragraph" w:customStyle="1" w:styleId="aff0">
    <w:name w:val="Перечисление"/>
    <w:basedOn w:val="a"/>
    <w:rsid w:val="00160C63"/>
    <w:pPr>
      <w:tabs>
        <w:tab w:val="num" w:pos="360"/>
      </w:tabs>
      <w:spacing w:after="0" w:line="240" w:lineRule="auto"/>
      <w:ind w:left="360" w:hanging="360"/>
      <w:jc w:val="both"/>
    </w:pPr>
    <w:rPr>
      <w:rFonts w:ascii="Times New Roman" w:eastAsia="Times New Roman" w:hAnsi="Times New Roman" w:cs="Times New Roman"/>
      <w:sz w:val="28"/>
      <w:szCs w:val="20"/>
      <w:lang w:eastAsia="ru-RU"/>
    </w:rPr>
  </w:style>
  <w:style w:type="character" w:styleId="aff1">
    <w:name w:val="Emphasis"/>
    <w:basedOn w:val="a0"/>
    <w:qFormat/>
    <w:rsid w:val="00160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2045">
      <w:bodyDiv w:val="1"/>
      <w:marLeft w:val="0"/>
      <w:marRight w:val="0"/>
      <w:marTop w:val="0"/>
      <w:marBottom w:val="0"/>
      <w:divBdr>
        <w:top w:val="none" w:sz="0" w:space="0" w:color="auto"/>
        <w:left w:val="none" w:sz="0" w:space="0" w:color="auto"/>
        <w:bottom w:val="none" w:sz="0" w:space="0" w:color="auto"/>
        <w:right w:val="none" w:sz="0" w:space="0" w:color="auto"/>
      </w:divBdr>
    </w:div>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02823046">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1037657998">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80342403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C10CF-9072-4E39-814D-3B6314E1D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Жемерикин Владимир Васильевич</cp:lastModifiedBy>
  <cp:revision>29</cp:revision>
  <cp:lastPrinted>2024-03-21T06:22:00Z</cp:lastPrinted>
  <dcterms:created xsi:type="dcterms:W3CDTF">2025-02-06T08:33:00Z</dcterms:created>
  <dcterms:modified xsi:type="dcterms:W3CDTF">2026-07-27T13:09:00Z</dcterms:modified>
</cp:coreProperties>
</file>