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  <w:color w:val="332E2D"/>
          <w:spacing w:val="2"/>
        </w:rPr>
      </w:pPr>
      <w:r>
        <w:rPr>
          <w:rFonts w:ascii="Times New Roman" w:hAnsi="Times New Roman"/>
          <w:color w:val="332E2D"/>
          <w:spacing w:val="2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  <w:color w:val="332E2D"/>
          <w:spacing w:val="2"/>
        </w:rPr>
      </w:pPr>
      <w:r>
        <w:rPr>
          <w:rFonts w:ascii="Times New Roman" w:hAnsi="Times New Roman"/>
          <w:color w:val="332E2D"/>
          <w:spacing w:val="2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  <w:color w:val="332E2D"/>
          <w:spacing w:val="2"/>
        </w:rPr>
      </w:pPr>
      <w:r>
        <w:rPr>
          <w:rFonts w:ascii="Times New Roman" w:hAnsi="Times New Roman"/>
          <w:color w:val="332E2D"/>
          <w:spacing w:val="2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ТЕХНИЧЕСКИЕ ТРЕБОВАНИЯ </w:t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highlight w:val="none"/>
          <w:shd w:fill="FFFF00" w:val="clear"/>
        </w:rPr>
      </w:pPr>
      <w:r>
        <w:rPr>
          <w:rFonts w:ascii="Times New Roman" w:hAnsi="Times New Roman"/>
          <w:shd w:fill="FFFFFF" w:val="clear"/>
        </w:rPr>
        <w:t xml:space="preserve">ОКПД </w:t>
      </w:r>
      <w:r>
        <w:rPr>
          <w:rStyle w:val="Strong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</w:rPr>
        <w:t>25.99.2</w:t>
      </w:r>
      <w:r>
        <w:rPr>
          <w:rFonts w:ascii="Times New Roman" w:hAnsi="Times New Roman"/>
          <w:shd w:fill="FFFFFF" w:val="clear"/>
        </w:rPr>
        <w:t xml:space="preserve"> </w:t>
      </w:r>
      <w:r>
        <w:rPr>
          <w:rFonts w:ascii="Times New Roman" w:hAnsi="Times New Roman"/>
          <w:shd w:fill="auto" w:val="clear"/>
        </w:rPr>
        <w:t>Поставка полуавтоматического замка контейнерного (Твистлок)</w:t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highlight w:val="none"/>
          <w:shd w:fill="FFFF00" w:val="clear"/>
        </w:rPr>
      </w:pPr>
      <w:r>
        <w:rPr>
          <w:rFonts w:ascii="Times New Roman" w:hAnsi="Times New Roman"/>
          <w:shd w:fill="auto" w:val="clear"/>
        </w:rPr>
        <w:t>для нужд Волжского филиала АО «Гидроремонт-ВКК»</w:t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highlight w:val="none"/>
          <w:shd w:fill="FFFF00" w:val="clear"/>
        </w:rPr>
      </w:pPr>
      <w:r>
        <w:rPr>
          <w:rFonts w:ascii="Times New Roman" w:hAnsi="Times New Roman"/>
          <w:shd w:fill="FFFF00" w:val="clear"/>
        </w:rPr>
        <w:t xml:space="preserve">Лот № </w:t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2"/>
        <w:shd w:val="clear" w:color="auto" w:fill="auto"/>
        <w:spacing w:lineRule="auto" w:line="264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1.1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ab/>
        <w:t>Наименование закупаемой продукции</w:t>
      </w:r>
    </w:p>
    <w:p>
      <w:pPr>
        <w:pStyle w:val="12"/>
        <w:shd w:val="clear" w:fill="FFFFFF"/>
        <w:spacing w:lineRule="auto" w:line="264"/>
        <w:jc w:val="both"/>
        <w:rPr/>
      </w:pPr>
      <w:r>
        <w:rPr>
          <w:rFonts w:ascii="Times New Roman" w:hAnsi="Times New Roman"/>
          <w:color w:val="000000"/>
          <w:sz w:val="24"/>
          <w:szCs w:val="24"/>
          <w:shd w:fill="FFFFFF" w:val="clear"/>
        </w:rPr>
        <w:t>ОКПД</w:t>
      </w:r>
      <w:r>
        <w:rPr>
          <w:rFonts w:ascii="Times New Roman" w:hAnsi="Times New Roman"/>
          <w:color w:val="000000"/>
          <w:sz w:val="28"/>
          <w:szCs w:val="28"/>
          <w:shd w:fill="FFFFFF" w:val="clear"/>
        </w:rPr>
        <w:t xml:space="preserve"> </w:t>
      </w:r>
      <w:r>
        <w:rPr>
          <w:rStyle w:val="Strong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</w:rPr>
        <w:t>25.99.2</w:t>
      </w:r>
      <w:r>
        <w:rPr>
          <w:rFonts w:ascii="Times New Roman" w:hAnsi="Times New Roman"/>
          <w:color w:val="000000"/>
          <w:sz w:val="28"/>
          <w:szCs w:val="28"/>
          <w:shd w:fill="FFFFFF" w:val="clear"/>
        </w:rPr>
        <w:t xml:space="preserve"> </w:t>
      </w:r>
      <w:r>
        <w:rPr>
          <w:rFonts w:ascii="Times New Roman" w:hAnsi="Times New Roman"/>
          <w:sz w:val="24"/>
          <w:szCs w:val="24"/>
        </w:rPr>
        <w:t>Поставка полуавтоматического замка контейнерного (Твистлок) для нужд Волжского филиала АО «Гидроремонт-ВКК» далее - Продукция.</w:t>
      </w:r>
    </w:p>
    <w:p>
      <w:pPr>
        <w:pStyle w:val="12"/>
        <w:spacing w:lineRule="auto" w:line="264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1.2</w:t>
      </w:r>
      <w:bookmarkStart w:id="0" w:name="_Toc75446569"/>
      <w:bookmarkStart w:id="1" w:name="_Toc46743507"/>
      <w:r>
        <w:rPr>
          <w:rFonts w:ascii="Times New Roman" w:hAnsi="Times New Roman"/>
          <w:b/>
          <w:bCs/>
          <w:i/>
          <w:iCs/>
          <w:sz w:val="24"/>
          <w:szCs w:val="24"/>
          <w:lang w:val="x-none" w:eastAsia="x-none"/>
        </w:rPr>
        <w:t xml:space="preserve"> </w:t>
        <w:tab/>
      </w:r>
      <w:r>
        <w:rPr>
          <w:rFonts w:ascii="Times New Roman" w:hAnsi="Times New Roman"/>
          <w:b/>
          <w:bCs/>
          <w:sz w:val="24"/>
          <w:szCs w:val="24"/>
          <w:lang w:val="x-none"/>
        </w:rPr>
        <w:t xml:space="preserve">Цель </w:t>
      </w:r>
      <w:bookmarkEnd w:id="1"/>
      <w:r>
        <w:rPr>
          <w:rFonts w:ascii="Times New Roman" w:hAnsi="Times New Roman"/>
          <w:b/>
          <w:bCs/>
          <w:sz w:val="24"/>
          <w:szCs w:val="24"/>
        </w:rPr>
        <w:t xml:space="preserve">использования закупаемой продукции </w:t>
      </w:r>
      <w:bookmarkEnd w:id="0"/>
      <w:r>
        <w:rPr>
          <w:rFonts w:ascii="Times New Roman" w:hAnsi="Times New Roman"/>
          <w:b/>
          <w:bCs/>
          <w:sz w:val="24"/>
          <w:szCs w:val="24"/>
          <w:lang w:val="x-none"/>
        </w:rPr>
        <w:t xml:space="preserve"> </w:t>
      </w:r>
    </w:p>
    <w:p>
      <w:pPr>
        <w:pStyle w:val="12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Закупаемая продукция предназначена для выполнения работ</w:t>
      </w:r>
      <w:r>
        <w:rPr>
          <w:rStyle w:val="Style17"/>
          <w:rFonts w:ascii="Times New Roman" w:hAnsi="Times New Roman"/>
          <w:b/>
          <w:bCs w:val="false"/>
          <w:i w:val="false"/>
          <w:color w:val="000000"/>
          <w:sz w:val="24"/>
          <w:szCs w:val="24"/>
          <w:shd w:fill="auto" w:val="clear"/>
          <w:lang w:val="ru-RU"/>
        </w:rPr>
        <w:t xml:space="preserve"> Волжским  филиалом АО «Гидроремонт-ВКК»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120" w:after="60"/>
        <w:ind w:left="357" w:hanging="357"/>
        <w:jc w:val="center"/>
        <w:outlineLvl w:val="0"/>
        <w:rPr>
          <w:sz w:val="24"/>
          <w:szCs w:val="24"/>
        </w:rPr>
      </w:pPr>
      <w:bookmarkStart w:id="2" w:name="_Toc75446573"/>
      <w:bookmarkStart w:id="3" w:name="_Toc51339693"/>
      <w:r>
        <w:rPr>
          <w:rFonts w:ascii="Times New Roman" w:hAnsi="Times New Roman"/>
          <w:b/>
          <w:iCs/>
          <w:sz w:val="24"/>
          <w:szCs w:val="24"/>
          <w:lang w:val="x-none" w:eastAsia="x-none"/>
        </w:rPr>
        <w:t>Требования к продукции</w:t>
      </w:r>
      <w:bookmarkEnd w:id="2"/>
      <w:bookmarkEnd w:id="3"/>
    </w:p>
    <w:p>
      <w:pPr>
        <w:pStyle w:val="Normal"/>
        <w:keepNext w:val="true"/>
        <w:numPr>
          <w:ilvl w:val="0"/>
          <w:numId w:val="0"/>
        </w:numPr>
        <w:spacing w:lineRule="auto" w:line="240" w:before="120" w:after="60"/>
        <w:ind w:left="432" w:hanging="432"/>
        <w:outlineLvl w:val="3"/>
        <w:rPr>
          <w:sz w:val="24"/>
          <w:szCs w:val="24"/>
        </w:rPr>
      </w:pPr>
      <w:bookmarkStart w:id="4" w:name="_Toc75446574"/>
      <w:r>
        <w:rPr>
          <w:rFonts w:ascii="Times New Roman" w:hAnsi="Times New Roman"/>
          <w:b/>
          <w:sz w:val="24"/>
          <w:szCs w:val="24"/>
          <w:lang w:eastAsia="ru-RU"/>
        </w:rPr>
        <w:t>2.1 Требования к объемам и срокам поставки</w:t>
      </w:r>
      <w:bookmarkEnd w:id="4"/>
    </w:p>
    <w:p>
      <w:pPr>
        <w:pStyle w:val="Normal"/>
        <w:keepNext w:val="true"/>
        <w:numPr>
          <w:ilvl w:val="0"/>
          <w:numId w:val="0"/>
        </w:numPr>
        <w:spacing w:lineRule="auto" w:line="240" w:before="120" w:after="60"/>
        <w:ind w:left="1224" w:hanging="504"/>
        <w:outlineLvl w:val="2"/>
        <w:rPr>
          <w:sz w:val="24"/>
          <w:szCs w:val="24"/>
        </w:rPr>
      </w:pPr>
      <w:bookmarkStart w:id="5" w:name="_Toc75446575"/>
      <w:r>
        <w:rPr>
          <w:rFonts w:ascii="Times New Roman" w:hAnsi="Times New Roman"/>
          <w:b/>
          <w:sz w:val="24"/>
          <w:szCs w:val="24"/>
          <w:lang w:eastAsia="ru-RU"/>
        </w:rPr>
        <w:t>2.1.1.</w:t>
      </w:r>
      <w:r>
        <w:rPr>
          <w:rFonts w:ascii="Times New Roman" w:hAnsi="Times New Roman"/>
          <w:b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>Перечень и объем закупаемой продукции</w:t>
      </w:r>
      <w:bookmarkEnd w:id="5"/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240" w:after="60"/>
        <w:ind w:left="0" w:hanging="0"/>
        <w:outlineLvl w:val="0"/>
        <w:rPr>
          <w:sz w:val="24"/>
          <w:szCs w:val="24"/>
        </w:rPr>
      </w:pPr>
      <w:bookmarkStart w:id="6" w:name="_Toc75446576"/>
      <w:bookmarkStart w:id="7" w:name="_Toc51339695"/>
      <w:r>
        <w:rPr>
          <w:rFonts w:ascii="Times New Roman" w:hAnsi="Times New Roman"/>
          <w:b/>
          <w:sz w:val="24"/>
          <w:szCs w:val="24"/>
          <w:lang w:eastAsia="ru-RU"/>
        </w:rPr>
        <w:t xml:space="preserve">Таблица 1.1 Перечень </w:t>
      </w:r>
      <w:bookmarkEnd w:id="7"/>
      <w:r>
        <w:rPr>
          <w:rFonts w:ascii="Times New Roman" w:hAnsi="Times New Roman"/>
          <w:b/>
          <w:sz w:val="24"/>
          <w:szCs w:val="24"/>
          <w:lang w:eastAsia="ru-RU"/>
        </w:rPr>
        <w:t>и объем закупаемой продукции</w:t>
      </w:r>
      <w:bookmarkEnd w:id="6"/>
    </w:p>
    <w:p>
      <w:pPr>
        <w:pStyle w:val="Normal"/>
        <w:numPr>
          <w:ilvl w:val="0"/>
          <w:numId w:val="0"/>
        </w:numPr>
        <w:spacing w:lineRule="auto" w:line="240" w:before="240" w:after="60"/>
        <w:ind w:left="0" w:hanging="0"/>
        <w:outlineLvl w:val="0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921" w:type="dxa"/>
        <w:jc w:val="left"/>
        <w:tblInd w:w="-5" w:type="dxa"/>
        <w:tblLayout w:type="fixed"/>
        <w:tblCellMar>
          <w:top w:w="28" w:type="dxa"/>
          <w:left w:w="108" w:type="dxa"/>
          <w:bottom w:w="28" w:type="dxa"/>
          <w:right w:w="108" w:type="dxa"/>
        </w:tblCellMar>
      </w:tblPr>
      <w:tblGrid>
        <w:gridCol w:w="670"/>
        <w:gridCol w:w="6828"/>
        <w:gridCol w:w="1233"/>
        <w:gridCol w:w="1189"/>
      </w:tblGrid>
      <w:tr>
        <w:trPr/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spacing w:lineRule="auto" w:line="271" w:before="0" w:after="20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п.п.</w:t>
            </w: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3"/>
              <w:widowControl w:val="false"/>
              <w:spacing w:lineRule="auto" w:line="271" w:before="0" w:after="20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2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Style23"/>
              <w:widowControl w:val="false"/>
              <w:spacing w:lineRule="auto" w:line="271" w:before="0" w:after="20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Ед.изм.</w:t>
            </w:r>
          </w:p>
        </w:tc>
        <w:tc>
          <w:tcPr>
            <w:tcW w:w="11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Style23"/>
              <w:widowControl w:val="false"/>
              <w:spacing w:lineRule="auto" w:line="271" w:before="0" w:after="20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Кол-во</w:t>
            </w:r>
          </w:p>
        </w:tc>
      </w:tr>
      <w:tr>
        <w:trPr/>
        <w:tc>
          <w:tcPr>
            <w:tcW w:w="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  <w:vAlign w:val="center"/>
          </w:tcPr>
          <w:p>
            <w:pPr>
              <w:pStyle w:val="Style23"/>
              <w:widowControl w:val="false"/>
              <w:spacing w:lineRule="auto" w:line="271"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top w:w="0" w:type="dxa"/>
            </w:tcMar>
            <w:vAlign w:val="center"/>
          </w:tcPr>
          <w:p>
            <w:pPr>
              <w:pStyle w:val="Style23"/>
              <w:widowControl w:val="false"/>
              <w:spacing w:before="0" w:after="200"/>
              <w:jc w:val="left"/>
              <w:rPr>
                <w:highlight w:val="none"/>
                <w:shd w:fill="FFFF00" w:val="clear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Полуавтоматический замок контейнера (Твистлок)</w:t>
            </w:r>
          </w:p>
        </w:tc>
        <w:tc>
          <w:tcPr>
            <w:tcW w:w="123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tcMar>
              <w:top w:w="0" w:type="dxa"/>
              <w:left w:w="0" w:type="dxa"/>
            </w:tcMar>
            <w:vAlign w:val="center"/>
          </w:tcPr>
          <w:p>
            <w:pPr>
              <w:pStyle w:val="Style23"/>
              <w:widowControl w:val="false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8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tcMar>
              <w:top w:w="0" w:type="dxa"/>
              <w:left w:w="0" w:type="dxa"/>
            </w:tcMar>
            <w:vAlign w:val="center"/>
          </w:tcPr>
          <w:p>
            <w:pPr>
              <w:pStyle w:val="Style23"/>
              <w:widowControl w:val="false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240" w:before="240" w:after="60"/>
        <w:ind w:left="0" w:hanging="0"/>
        <w:outlineLvl w:val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240" w:after="60"/>
        <w:ind w:left="0" w:hanging="0"/>
        <w:outlineLvl w:val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240" w:after="60"/>
        <w:ind w:left="0" w:hanging="0"/>
        <w:outlineLvl w:val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240" w:after="60"/>
        <w:ind w:left="0" w:hanging="0"/>
        <w:outlineLvl w:val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240" w:after="60"/>
        <w:ind w:left="0" w:hanging="0"/>
        <w:outlineLvl w:val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240" w:after="60"/>
        <w:ind w:left="0" w:hanging="0"/>
        <w:outlineLvl w:val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240" w:after="60"/>
        <w:ind w:left="0" w:hanging="0"/>
        <w:outlineLvl w:val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240" w:after="60"/>
        <w:ind w:left="0" w:hanging="0"/>
        <w:outlineLvl w:val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240" w:after="60"/>
        <w:ind w:left="0" w:hanging="0"/>
        <w:outlineLvl w:val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240" w:after="60"/>
        <w:ind w:left="0" w:hanging="0"/>
        <w:outlineLvl w:val="0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2.1.2.</w:t>
        <w:tab/>
        <w:t>Требования к срокам поставки продукции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240" w:after="60"/>
        <w:ind w:left="0" w:hanging="0"/>
        <w:outlineLvl w:val="0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Таблица 2.1 Требования по срокам поставки продукции </w:t>
      </w:r>
    </w:p>
    <w:p>
      <w:pPr>
        <w:pStyle w:val="Normal"/>
        <w:numPr>
          <w:ilvl w:val="0"/>
          <w:numId w:val="0"/>
        </w:numPr>
        <w:spacing w:lineRule="auto" w:line="240" w:before="240" w:after="60"/>
        <w:ind w:left="0" w:hanging="0"/>
        <w:outlineLvl w:val="0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69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01"/>
        <w:gridCol w:w="4245"/>
        <w:gridCol w:w="2449"/>
        <w:gridCol w:w="2094"/>
      </w:tblGrid>
      <w:tr>
        <w:trPr/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Наименование продукции / партии продукции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40" w:after="40"/>
              <w:ind w:left="57" w:right="57" w:hanging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40" w:after="40"/>
              <w:ind w:left="57" w:right="57" w:hanging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>
        <w:trPr/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shd w:fill="FFFFFF" w:val="clear"/>
                <w:lang w:eastAsia="ru-RU"/>
              </w:rPr>
              <w:t xml:space="preserve">ОКПД </w:t>
            </w:r>
            <w:r>
              <w:rPr>
                <w:rStyle w:val="Strong"/>
                <w:rFonts w:eastAsia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  <w:lang w:eastAsia="ru-RU"/>
              </w:rPr>
              <w:t>25.99.2</w:t>
            </w: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shd w:fill="FFFFFF" w:val="clear"/>
                <w:lang w:eastAsia="ru-RU"/>
              </w:rPr>
              <w:t xml:space="preserve"> П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оставка полуавтоматического замка контейнерного (Твистлок) для нужд Волжского филиала АО «Гидроремонт-ВКК»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40" w:after="40"/>
              <w:ind w:left="57" w:right="57" w:hanging="0"/>
              <w:jc w:val="center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С даты заключения договора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40" w:after="40"/>
              <w:ind w:left="57" w:right="57" w:hanging="0"/>
              <w:jc w:val="center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В течении 15 календарных дней с даты подписания договора</w:t>
            </w:r>
          </w:p>
        </w:tc>
      </w:tr>
    </w:tbl>
    <w:p>
      <w:pPr>
        <w:pStyle w:val="Normal"/>
        <w:keepNext w:val="true"/>
        <w:keepLines/>
        <w:numPr>
          <w:ilvl w:val="0"/>
          <w:numId w:val="0"/>
        </w:numPr>
        <w:spacing w:lineRule="auto" w:line="240" w:before="240" w:after="60"/>
        <w:ind w:left="0" w:hanging="0"/>
        <w:outlineLvl w:val="0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x-none" w:eastAsia="x-none"/>
        </w:rPr>
        <w:t>2.2. Требования к качеству продукции</w:t>
      </w:r>
    </w:p>
    <w:p>
      <w:pPr>
        <w:pStyle w:val="Normal"/>
        <w:numPr>
          <w:ilvl w:val="0"/>
          <w:numId w:val="0"/>
        </w:numPr>
        <w:spacing w:lineRule="auto" w:line="240" w:before="240" w:after="60"/>
        <w:ind w:left="0" w:hanging="0"/>
        <w:outlineLvl w:val="0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x-none" w:eastAsia="x-none"/>
        </w:rPr>
        <w:t xml:space="preserve">Таблица 3. Требования к продукции </w:t>
      </w:r>
    </w:p>
    <w:p>
      <w:pPr>
        <w:pStyle w:val="Normal"/>
        <w:numPr>
          <w:ilvl w:val="0"/>
          <w:numId w:val="0"/>
        </w:numPr>
        <w:spacing w:lineRule="auto" w:line="240" w:before="240" w:after="60"/>
        <w:ind w:left="0" w:hanging="0"/>
        <w:outlineLvl w:val="0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x-none" w:eastAsia="x-none"/>
        </w:rPr>
        <w:t>Наименование продукц</w:t>
      </w:r>
      <w:r>
        <w:rPr>
          <w:rFonts w:ascii="Times New Roman" w:hAnsi="Times New Roman"/>
          <w:color w:val="000000"/>
          <w:sz w:val="24"/>
          <w:szCs w:val="24"/>
          <w:shd w:fill="FFFFFF" w:val="clear"/>
          <w:lang w:val="x-none" w:eastAsia="x-none"/>
        </w:rPr>
        <w:t>ии: ОКПД</w:t>
      </w:r>
      <w:r>
        <w:rPr>
          <w:rStyle w:val="Strong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  <w:lang w:val="x-none" w:eastAsia="x-none"/>
        </w:rPr>
        <w:t>25.99.2</w:t>
      </w:r>
      <w:r>
        <w:rPr>
          <w:rFonts w:ascii="Times New Roman" w:hAnsi="Times New Roman"/>
          <w:color w:val="000000"/>
          <w:sz w:val="24"/>
          <w:szCs w:val="24"/>
          <w:shd w:fill="FFFFFF" w:val="clear"/>
          <w:lang w:val="x-none" w:eastAsia="x-none"/>
        </w:rPr>
        <w:t xml:space="preserve"> </w:t>
      </w:r>
      <w:r>
        <w:rPr>
          <w:rFonts w:ascii="Times New Roman" w:hAnsi="Times New Roman"/>
          <w:sz w:val="24"/>
          <w:szCs w:val="24"/>
          <w:lang w:val="x-none" w:eastAsia="x-none"/>
        </w:rPr>
        <w:t>Поставка полуавтоматического замка контейнерного (Твистлок) для нужд Волжского филиала АО «Гидроремонт-ВКК»</w:t>
      </w:r>
    </w:p>
    <w:tbl>
      <w:tblPr>
        <w:tblStyle w:val="aff9"/>
        <w:tblW w:w="9974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86"/>
        <w:gridCol w:w="2774"/>
        <w:gridCol w:w="2743"/>
        <w:gridCol w:w="1950"/>
        <w:gridCol w:w="23"/>
        <w:gridCol w:w="1598"/>
      </w:tblGrid>
      <w:tr>
        <w:trPr>
          <w:trHeight w:val="609" w:hRule="atLeast"/>
        </w:trPr>
        <w:tc>
          <w:tcPr>
            <w:tcW w:w="88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п/п</w:t>
            </w:r>
          </w:p>
        </w:tc>
        <w:tc>
          <w:tcPr>
            <w:tcW w:w="277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Наименование параметра</w:t>
            </w:r>
          </w:p>
        </w:tc>
        <w:tc>
          <w:tcPr>
            <w:tcW w:w="274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Требование заказчика</w:t>
            </w:r>
          </w:p>
        </w:tc>
        <w:tc>
          <w:tcPr>
            <w:tcW w:w="3571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1316" w:hRule="atLeast"/>
        </w:trPr>
        <w:tc>
          <w:tcPr>
            <w:tcW w:w="88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77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74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9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Согласие с требованием/ указание характеристик</w:t>
            </w:r>
          </w:p>
        </w:tc>
        <w:tc>
          <w:tcPr>
            <w:tcW w:w="162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88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27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27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19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162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5</w:t>
            </w:r>
          </w:p>
        </w:tc>
      </w:tr>
      <w:tr>
        <w:trPr>
          <w:trHeight w:val="571" w:hRule="atLeast"/>
        </w:trPr>
        <w:tc>
          <w:tcPr>
            <w:tcW w:w="886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lineRule="auto" w:line="240" w:before="60" w:after="60"/>
              <w:ind w:left="737" w:hanging="79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5517" w:type="dxa"/>
            <w:gridSpan w:val="2"/>
            <w:tcBorders/>
            <w:vAlign w:val="center"/>
          </w:tcPr>
          <w:p>
            <w:pPr>
              <w:pStyle w:val="Style23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Полуавтоматический замок контейнера (Твистлок)</w:t>
            </w:r>
          </w:p>
        </w:tc>
        <w:tc>
          <w:tcPr>
            <w:tcW w:w="1950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kern w:val="0"/>
                <w:lang w:val="ru-RU" w:bidi="ar-SA"/>
              </w:rPr>
            </w:r>
          </w:p>
        </w:tc>
        <w:tc>
          <w:tcPr>
            <w:tcW w:w="1621" w:type="dxa"/>
            <w:gridSpan w:val="2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886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-117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2.1</w:t>
            </w:r>
          </w:p>
        </w:tc>
        <w:tc>
          <w:tcPr>
            <w:tcW w:w="277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Допустимая нагрузка, кН</w:t>
            </w:r>
          </w:p>
        </w:tc>
        <w:tc>
          <w:tcPr>
            <w:tcW w:w="274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250</w:t>
            </w:r>
          </w:p>
        </w:tc>
        <w:tc>
          <w:tcPr>
            <w:tcW w:w="195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21" w:type="dxa"/>
            <w:gridSpan w:val="2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86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-117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2.2</w:t>
            </w:r>
          </w:p>
        </w:tc>
        <w:tc>
          <w:tcPr>
            <w:tcW w:w="277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Разрывная нагрузка, кН</w:t>
            </w:r>
          </w:p>
        </w:tc>
        <w:tc>
          <w:tcPr>
            <w:tcW w:w="274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500</w:t>
            </w:r>
          </w:p>
        </w:tc>
        <w:tc>
          <w:tcPr>
            <w:tcW w:w="195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21" w:type="dxa"/>
            <w:gridSpan w:val="2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8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2.3</w:t>
            </w:r>
          </w:p>
        </w:tc>
        <w:tc>
          <w:tcPr>
            <w:tcW w:w="277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Высота, мм</w:t>
            </w:r>
          </w:p>
        </w:tc>
        <w:tc>
          <w:tcPr>
            <w:tcW w:w="274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2896</w:t>
            </w:r>
          </w:p>
        </w:tc>
        <w:tc>
          <w:tcPr>
            <w:tcW w:w="195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21" w:type="dxa"/>
            <w:gridSpan w:val="2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8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2.4</w:t>
            </w:r>
          </w:p>
        </w:tc>
        <w:tc>
          <w:tcPr>
            <w:tcW w:w="277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Трос </w:t>
            </w:r>
          </w:p>
        </w:tc>
        <w:tc>
          <w:tcPr>
            <w:tcW w:w="274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оцинкованная сталь длина 169-170 мм,</w:t>
            </w:r>
          </w:p>
        </w:tc>
        <w:tc>
          <w:tcPr>
            <w:tcW w:w="195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21" w:type="dxa"/>
            <w:gridSpan w:val="2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8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2.5</w:t>
            </w:r>
          </w:p>
        </w:tc>
        <w:tc>
          <w:tcPr>
            <w:tcW w:w="277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Масса , кг</w:t>
            </w:r>
          </w:p>
        </w:tc>
        <w:tc>
          <w:tcPr>
            <w:tcW w:w="274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195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21" w:type="dxa"/>
            <w:gridSpan w:val="2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8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2.6</w:t>
            </w:r>
          </w:p>
        </w:tc>
        <w:tc>
          <w:tcPr>
            <w:tcW w:w="277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274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Стальной/желтая поворотная головка</w:t>
            </w:r>
          </w:p>
        </w:tc>
        <w:tc>
          <w:tcPr>
            <w:tcW w:w="195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21" w:type="dxa"/>
            <w:gridSpan w:val="2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8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2.7</w:t>
            </w:r>
          </w:p>
        </w:tc>
        <w:tc>
          <w:tcPr>
            <w:tcW w:w="277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 стали/материала</w:t>
            </w:r>
          </w:p>
        </w:tc>
        <w:tc>
          <w:tcPr>
            <w:tcW w:w="274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Нержавеющая сталь конус 42CrMo, горячее цинкование корпус ZG 270-500</w:t>
            </w:r>
          </w:p>
        </w:tc>
        <w:tc>
          <w:tcPr>
            <w:tcW w:w="195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21" w:type="dxa"/>
            <w:gridSpan w:val="2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8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2.8</w:t>
            </w:r>
          </w:p>
        </w:tc>
        <w:tc>
          <w:tcPr>
            <w:tcW w:w="277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Общий вид</w:t>
            </w:r>
          </w:p>
        </w:tc>
        <w:tc>
          <w:tcPr>
            <w:tcW w:w="274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приложение №1 к ТТ </w:t>
            </w:r>
          </w:p>
        </w:tc>
        <w:tc>
          <w:tcPr>
            <w:tcW w:w="195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21" w:type="dxa"/>
            <w:gridSpan w:val="2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8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2.9</w:t>
            </w:r>
          </w:p>
        </w:tc>
        <w:tc>
          <w:tcPr>
            <w:tcW w:w="277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4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5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21" w:type="dxa"/>
            <w:gridSpan w:val="2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8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2.10</w:t>
            </w:r>
          </w:p>
        </w:tc>
        <w:tc>
          <w:tcPr>
            <w:tcW w:w="277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4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5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21" w:type="dxa"/>
            <w:gridSpan w:val="2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8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2.11</w:t>
            </w:r>
          </w:p>
        </w:tc>
        <w:tc>
          <w:tcPr>
            <w:tcW w:w="277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4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5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21" w:type="dxa"/>
            <w:gridSpan w:val="2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8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2.12</w:t>
            </w:r>
          </w:p>
        </w:tc>
        <w:tc>
          <w:tcPr>
            <w:tcW w:w="277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4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5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21" w:type="dxa"/>
            <w:gridSpan w:val="2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86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737" w:hanging="79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2.</w:t>
            </w:r>
          </w:p>
        </w:tc>
        <w:tc>
          <w:tcPr>
            <w:tcW w:w="551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973" w:type="dxa"/>
            <w:gridSpan w:val="2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kern w:val="0"/>
                <w:lang w:val="ru-RU" w:bidi="ar-SA"/>
              </w:rPr>
            </w:r>
          </w:p>
        </w:tc>
        <w:tc>
          <w:tcPr>
            <w:tcW w:w="159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1448" w:hRule="atLeast"/>
        </w:trPr>
        <w:tc>
          <w:tcPr>
            <w:tcW w:w="886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-117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2.1</w:t>
            </w:r>
          </w:p>
        </w:tc>
        <w:tc>
          <w:tcPr>
            <w:tcW w:w="5517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36 (Тридцать шесть) месяцев, исчисляемый с даты подписания Сторонами товарной накладной по форме ТОРГ-12 или Универсального передаточного документа (УПД)</w:t>
            </w:r>
          </w:p>
        </w:tc>
        <w:tc>
          <w:tcPr>
            <w:tcW w:w="1973" w:type="dxa"/>
            <w:gridSpan w:val="2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98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86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737" w:hanging="85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3.</w:t>
            </w:r>
          </w:p>
        </w:tc>
        <w:tc>
          <w:tcPr>
            <w:tcW w:w="551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973" w:type="dxa"/>
            <w:gridSpan w:val="2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kern w:val="0"/>
                <w:lang w:val="ru-RU" w:bidi="ar-SA"/>
              </w:rPr>
            </w:r>
          </w:p>
        </w:tc>
        <w:tc>
          <w:tcPr>
            <w:tcW w:w="159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886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-117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3.1</w:t>
            </w:r>
          </w:p>
        </w:tc>
        <w:tc>
          <w:tcPr>
            <w:tcW w:w="5517" w:type="dxa"/>
            <w:gridSpan w:val="2"/>
            <w:tcBorders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lineRule="auto" w:line="240" w:before="62" w:after="62"/>
              <w:ind w:left="0" w:hanging="0"/>
              <w:outlineLvl w:val="3"/>
              <w:rPr/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Поставщик должен предоставить копии документов, подтверждающих соответствие предлагаемой продукции обязательным требованиям нормативных документов, действующих в РФ, (сертификаты соответствия, документы о качестве и другие), если обязательность такого подтверждения соответствия установлена нормативными документами РФ.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Calibri" w:cs="Times New Roman"/>
                <w:kern w:val="0"/>
                <w:lang w:val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Товарную накладную унифицированной формы ТОРГ-12(УПД) в 2 экз.</w:t>
            </w:r>
          </w:p>
        </w:tc>
        <w:tc>
          <w:tcPr>
            <w:tcW w:w="1973" w:type="dxa"/>
            <w:gridSpan w:val="2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9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8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-117" w:hanging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5517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973" w:type="dxa"/>
            <w:gridSpan w:val="2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9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8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-117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4.1</w:t>
            </w:r>
          </w:p>
        </w:tc>
        <w:tc>
          <w:tcPr>
            <w:tcW w:w="5517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Место поставки: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404130, Волгоградская обл., г.Волжский, пр-т Ленина 1А .</w:t>
            </w:r>
          </w:p>
        </w:tc>
        <w:tc>
          <w:tcPr>
            <w:tcW w:w="1973" w:type="dxa"/>
            <w:gridSpan w:val="2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9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8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-117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4.2</w:t>
            </w:r>
          </w:p>
        </w:tc>
        <w:tc>
          <w:tcPr>
            <w:tcW w:w="5517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Приемка продукции: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Только в рабочие дни с 9-00 до 11-00 и с 13-00 до 16-00</w:t>
            </w:r>
          </w:p>
        </w:tc>
        <w:tc>
          <w:tcPr>
            <w:tcW w:w="1973" w:type="dxa"/>
            <w:gridSpan w:val="2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9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8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-117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4.3</w:t>
            </w:r>
          </w:p>
        </w:tc>
        <w:tc>
          <w:tcPr>
            <w:tcW w:w="5517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</w:p>
        </w:tc>
        <w:tc>
          <w:tcPr>
            <w:tcW w:w="1973" w:type="dxa"/>
            <w:gridSpan w:val="2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9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8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-117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5517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Приемка товара по количеству и качеству производится Заказчиком в соответствии с Инструкциями о порядке приемки продукции производственно-технического назначения и товаров народного потребления по количеству и качеству, утвержденными постановлениями Госарбитража СССР от 15.06.1965г. № П-6 и от 25.04.1966г. № П-7.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 Передача Товара Заказчика оформляется следующим комплектом документов: товарная (товарно-транспортная) накладная (унифицированная форма № ТОРГ-12), оформленная в 2-х экземплярах с печатью Поставщика, счет (счет-фактура), акт приема-передачи и прочие документы, необходимые при использовании его по назначению.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 Во всех случаях при приемке товара должен присутствовать представитель Поставщика, с доверенностью с правом передачи товара и правом подписи актов приемки-передачи товара. Заказчик вправе потребовать от представителя Поставщика подписать акт приемки-передачи товара.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 Приемка товара по качеству, количеству и ассортименту производится в точном соответствии с характеристиками товара указанных в спецификации контракта, а также по сопроводительным документам, удостоверяющим качество и ассортимент  поставляемого товара.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 При обнаружении несоответствия товара с описанием в спецификации к контракту, качества, количества, ассортимента, маркировки поступившего товара, требованиям стандартов, технических условий, контракту либо данным, указанным в маркировке и сопроводительных документах, удостоверяющих качество товара, Заказчик составляет акт с участием представителя Поставщика и не принимает данный товар.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 Отсутствие сопроводительных документов или некоторых из них дает право Заказчику не принимать товар. В этом случае составляется акт о качестве, количестве и комплектности поступившего товара и в акте указывается, какие документы отсутствуют.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Если при приемке не присутствует представитель Поставщика с правом (доверенностью) передачи товара и подписи актов приемки-передачи товара Заказчик вправе вернуть товар с оформлением товарной накладной и акта-приемки передачи товара с отметкой о возврате.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 В случае если у Заказчика возникают претензии по качеству поставляемого товара (обнаружение недостатков, дефектов), ему предоставляется право заявить о них в течение гарантийного срока на товар (при наличии).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 Поставка считается осуществленной, а обязательства Поставщика по поставке Товара исполненными, с даты подписания акта приема-передачи Товара.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 Право собственности на товар переходит от Поставщика к Заказчику с момента передачи товара и подписания акта приемки-передачи товара при наличии документов, предусмотренных для передачи при поставке товара. С этого момента на заказчика переходят все риски случайного повреждения и случайной гибели товара.</w:t>
            </w:r>
          </w:p>
        </w:tc>
        <w:tc>
          <w:tcPr>
            <w:tcW w:w="1973" w:type="dxa"/>
            <w:gridSpan w:val="2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98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8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5.</w:t>
            </w:r>
          </w:p>
        </w:tc>
        <w:tc>
          <w:tcPr>
            <w:tcW w:w="5517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Прочие (дополнительные) требования к продукции</w:t>
            </w:r>
          </w:p>
        </w:tc>
        <w:tc>
          <w:tcPr>
            <w:tcW w:w="1973" w:type="dxa"/>
            <w:gridSpan w:val="2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9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8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-117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5.1</w:t>
            </w:r>
          </w:p>
        </w:tc>
        <w:tc>
          <w:tcPr>
            <w:tcW w:w="5517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Продукция должна соответствовать требованиям: Технического регламента Таможенного союза «О безопасности машин и оборудования» ТР ТС 010/2011.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bidi="ar-SA"/>
              </w:rPr>
              <w:t>Продукция должна быть новой.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Условия выполнения гарантийных обязательств поставщика или производителя не должны включать требование привлечения, специально аккредитованных производителем организаций или специалистов. Продукция должна поставляться в пригодной для транспортировки упаковке, которая может защитить его от воздействия внешних условий, таких как вода, пыль и т.п. Упаковка должна обеспечивать полную сохранность продукции на весь срок его транспортировки с учетом перегрузок и длительного хранения.</w:t>
            </w:r>
          </w:p>
        </w:tc>
        <w:tc>
          <w:tcPr>
            <w:tcW w:w="1973" w:type="dxa"/>
            <w:gridSpan w:val="2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9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8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-117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5517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Общий вид продукции согласно приложению №1 к ТТ </w:t>
            </w:r>
          </w:p>
        </w:tc>
        <w:tc>
          <w:tcPr>
            <w:tcW w:w="1973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9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Heading1"/>
        <w:widowControl w:val="false"/>
        <w:ind w:left="0" w:hanging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</w:t>
      </w:r>
      <w:bookmarkStart w:id="8" w:name="_Toc75446583"/>
      <w:bookmarkStart w:id="9" w:name="_Toc53393312"/>
      <w:r>
        <w:rPr>
          <w:rFonts w:ascii="Times New Roman" w:hAnsi="Times New Roman"/>
          <w:color w:val="000000"/>
          <w:sz w:val="24"/>
          <w:szCs w:val="24"/>
        </w:rPr>
        <w:t>Требования к документации по ценообразованию</w:t>
      </w:r>
      <w:bookmarkEnd w:id="9"/>
      <w:r>
        <w:rPr>
          <w:rFonts w:ascii="Times New Roman" w:hAnsi="Times New Roman"/>
          <w:color w:val="000000"/>
          <w:sz w:val="24"/>
          <w:szCs w:val="24"/>
        </w:rPr>
        <w:t xml:space="preserve"> на этапе закупки</w:t>
      </w:r>
      <w:bookmarkEnd w:id="8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rStyle w:val="Style17"/>
          <w:rFonts w:ascii="Times New Roman" w:hAnsi="Times New Roman"/>
          <w:b w:val="false"/>
          <w:bCs/>
          <w:i w:val="false"/>
          <w:i w:val="false"/>
          <w:sz w:val="24"/>
          <w:szCs w:val="24"/>
          <w:shd w:fill="auto" w:val="clear"/>
        </w:rPr>
      </w:pPr>
      <w:r>
        <w:rPr>
          <w:rStyle w:val="Style17"/>
          <w:rFonts w:ascii="Times New Roman" w:hAnsi="Times New Roman"/>
          <w:b w:val="false"/>
          <w:bCs/>
          <w:i w:val="false"/>
          <w:sz w:val="24"/>
          <w:szCs w:val="24"/>
          <w:shd w:fill="auto" w:val="clear"/>
        </w:rPr>
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/>
      </w:pPr>
      <w:r>
        <w:rPr>
          <w:rStyle w:val="Style17"/>
          <w:rFonts w:ascii="Times New Roman" w:hAnsi="Times New Roman"/>
          <w:b w:val="false"/>
          <w:bCs/>
          <w:i w:val="false"/>
          <w:sz w:val="24"/>
          <w:szCs w:val="24"/>
          <w:shd w:fill="auto" w:val="clear"/>
        </w:rPr>
        <w:t>3</w:t>
      </w:r>
      <w:r>
        <w:rPr>
          <w:rStyle w:val="Style17"/>
          <w:rFonts w:ascii="Times New Roman" w:hAnsi="Times New Roman"/>
          <w:b w:val="false"/>
          <w:bCs/>
          <w:i w:val="false"/>
          <w:sz w:val="24"/>
          <w:szCs w:val="24"/>
          <w:shd w:fill="auto" w:val="clear"/>
          <w:lang w:eastAsia="ru-RU"/>
        </w:rPr>
        <w:t>.2. Дополнительные документы по ценообразованию в состав заявки не включаются.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rStyle w:val="Style17"/>
          <w:rFonts w:ascii="Times New Roman" w:hAnsi="Times New Roman"/>
          <w:b w:val="false"/>
          <w:bCs/>
          <w:i w:val="false"/>
          <w:i w:val="false"/>
          <w:sz w:val="24"/>
          <w:szCs w:val="24"/>
          <w:shd w:fill="auto" w:val="clear"/>
          <w:lang w:eastAsia="ru-RU"/>
        </w:rPr>
      </w:pPr>
      <w:r>
        <w:rPr>
          <w:rFonts w:ascii="Times New Roman" w:hAnsi="Times New Roman"/>
          <w:b w:val="false"/>
          <w:bCs/>
          <w:i w:val="false"/>
          <w:sz w:val="24"/>
          <w:szCs w:val="24"/>
          <w:shd w:fill="auto" w:val="clear"/>
          <w:lang w:eastAsia="ru-RU"/>
        </w:rPr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1 к ТТ</w:t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posOffset>262890</wp:posOffset>
            </wp:positionH>
            <wp:positionV relativeFrom="paragraph">
              <wp:posOffset>-40005</wp:posOffset>
            </wp:positionV>
            <wp:extent cx="5715000" cy="582930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posOffset>2176780</wp:posOffset>
            </wp:positionH>
            <wp:positionV relativeFrom="paragraph">
              <wp:posOffset>160020</wp:posOffset>
            </wp:positionV>
            <wp:extent cx="2857500" cy="2857500"/>
            <wp:effectExtent l="0" t="0" r="0" b="0"/>
            <wp:wrapSquare wrapText="largest"/>
            <wp:docPr id="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BodyText"/>
        <w:widowControl/>
        <w:suppressAutoHyphens w:val="true"/>
        <w:bidi w:val="0"/>
        <w:spacing w:lineRule="auto" w:line="276" w:before="0" w:after="200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BodyText"/>
        <w:spacing w:before="0" w:after="120"/>
        <w:jc w:val="center"/>
        <w:rPr>
          <w:rFonts w:ascii="Times New Roman" w:hAnsi="Times New Roman"/>
          <w:sz w:val="24"/>
          <w:szCs w:val="24"/>
        </w:rPr>
      </w:pPr>
      <w:r>
        <w:rPr/>
      </w:r>
    </w:p>
    <w:sectPr>
      <w:headerReference w:type="even" r:id="rId4"/>
      <w:headerReference w:type="default" r:id="rId5"/>
      <w:headerReference w:type="first" r:id="rId6"/>
      <w:type w:val="nextPage"/>
      <w:pgSz w:w="11906" w:h="16838"/>
      <w:pgMar w:left="1134" w:right="851" w:gutter="0" w:header="680" w:top="1134" w:footer="0" w:bottom="426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98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03291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BodyText"/>
    <w:link w:val="1"/>
    <w:qFormat/>
    <w:rsid w:val="008f748e"/>
    <w:pPr>
      <w:keepNext w:val="true"/>
      <w:keepLines/>
      <w:spacing w:lineRule="atLeast" w:line="100" w:before="480" w:after="0"/>
      <w:ind w:left="1068" w:hanging="360"/>
      <w:outlineLvl w:val="0"/>
    </w:pPr>
    <w:rPr>
      <w:rFonts w:ascii="Cambria" w:hAnsi="Cambria" w:eastAsia="Times New Roman" w:cs="Cambria"/>
      <w:b/>
      <w:bCs/>
      <w:color w:val="365F91"/>
      <w:sz w:val="28"/>
      <w:szCs w:val="28"/>
      <w:lang w:eastAsia="ar-SA"/>
    </w:rPr>
  </w:style>
  <w:style w:type="paragraph" w:styleId="Heading2">
    <w:name w:val="Heading 2"/>
    <w:basedOn w:val="Normal"/>
    <w:next w:val="BodyText"/>
    <w:link w:val="2"/>
    <w:qFormat/>
    <w:rsid w:val="008f748e"/>
    <w:pPr>
      <w:widowControl w:val="false"/>
      <w:spacing w:before="200" w:after="0"/>
      <w:ind w:left="1788" w:hanging="720"/>
      <w:outlineLvl w:val="1"/>
    </w:pPr>
    <w:rPr>
      <w:rFonts w:ascii="Cambria" w:hAnsi="Cambria" w:eastAsia="Times New Roman" w:cs="Cambria"/>
      <w:b/>
      <w:bCs/>
      <w:color w:val="4F81BD"/>
      <w:sz w:val="28"/>
      <w:szCs w:val="26"/>
      <w:lang w:eastAsia="ar-SA"/>
    </w:rPr>
  </w:style>
  <w:style w:type="paragraph" w:styleId="Heading3">
    <w:name w:val="Heading 3"/>
    <w:basedOn w:val="Normal"/>
    <w:next w:val="BodyText"/>
    <w:link w:val="3"/>
    <w:qFormat/>
    <w:rsid w:val="008f748e"/>
    <w:pPr>
      <w:widowControl w:val="false"/>
      <w:spacing w:lineRule="atLeast" w:line="100" w:before="200" w:after="0"/>
      <w:ind w:left="2148" w:hanging="720"/>
      <w:outlineLvl w:val="2"/>
    </w:pPr>
    <w:rPr>
      <w:rFonts w:ascii="Times New Roman" w:hAnsi="Times New Roman" w:eastAsia="Times New Roman"/>
      <w:b/>
      <w:bCs/>
      <w:color w:val="3366FF"/>
      <w:sz w:val="28"/>
      <w:szCs w:val="20"/>
      <w:lang w:eastAsia="ar-SA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7e0e60"/>
    <w:pPr>
      <w:keepNext w:val="true"/>
      <w:keepLines/>
      <w:spacing w:before="40" w:after="0"/>
      <w:outlineLvl w:val="3"/>
    </w:pPr>
    <w:rPr>
      <w:rFonts w:ascii="Calibri Light" w:hAnsi="Calibri Light" w:eastAsia="" w:cs="" w:asciiTheme="majorHAnsi" w:cstheme="majorBidi" w:eastAsiaTheme="majorEastAsia" w:hAnsiTheme="majorHAnsi"/>
      <w:i/>
      <w:iCs/>
      <w:color w:val="2E74B5" w:themeColor="accent1" w:themeShade="b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Текст выноски Знак"/>
    <w:link w:val="BalloonText"/>
    <w:uiPriority w:val="99"/>
    <w:semiHidden/>
    <w:qFormat/>
    <w:rsid w:val="0053223e"/>
    <w:rPr>
      <w:rFonts w:ascii="Tahoma" w:hAnsi="Tahoma" w:cs="Tahoma"/>
      <w:sz w:val="16"/>
      <w:szCs w:val="16"/>
    </w:rPr>
  </w:style>
  <w:style w:type="character" w:styleId="Style6" w:customStyle="1">
    <w:name w:val="Верхний колонтитул Знак"/>
    <w:qFormat/>
    <w:rsid w:val="005c0949"/>
    <w:rPr>
      <w:rFonts w:ascii="Times New Roman" w:hAnsi="Times New Roman" w:eastAsia="Times New Roman"/>
      <w:sz w:val="24"/>
      <w:szCs w:val="24"/>
    </w:rPr>
  </w:style>
  <w:style w:type="character" w:styleId="Style7" w:customStyle="1">
    <w:name w:val="Текст сноски Знак"/>
    <w:semiHidden/>
    <w:qFormat/>
    <w:rsid w:val="005c0949"/>
    <w:rPr>
      <w:rFonts w:ascii="Times New Roman" w:hAnsi="Times New Roman" w:eastAsia="Times New Roman"/>
    </w:rPr>
  </w:style>
  <w:style w:type="character" w:styleId="Style8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semiHidden/>
    <w:qFormat/>
    <w:rsid w:val="005c0949"/>
    <w:rPr>
      <w:vertAlign w:val="superscript"/>
    </w:rPr>
  </w:style>
  <w:style w:type="character" w:styleId="Style9" w:customStyle="1">
    <w:name w:val="Основной текст с отступом Знак"/>
    <w:qFormat/>
    <w:rsid w:val="005c0949"/>
    <w:rPr>
      <w:rFonts w:ascii="Times New Roman" w:hAnsi="Times New Roman" w:eastAsia="Times New Roman"/>
      <w:sz w:val="24"/>
      <w:szCs w:val="24"/>
    </w:rPr>
  </w:style>
  <w:style w:type="character" w:styleId="Hyperlink">
    <w:name w:val="Hyperlink"/>
    <w:uiPriority w:val="99"/>
    <w:unhideWhenUsed/>
    <w:rsid w:val="00ef5da3"/>
    <w:rPr>
      <w:color w:val="0000FF"/>
      <w:u w:val="single"/>
    </w:rPr>
  </w:style>
  <w:style w:type="character" w:styleId="Bold1" w:customStyle="1">
    <w:name w:val="bold1"/>
    <w:qFormat/>
    <w:rsid w:val="001971ed"/>
    <w:rPr>
      <w:b/>
      <w:bCs/>
    </w:rPr>
  </w:style>
  <w:style w:type="character" w:styleId="1" w:customStyle="1">
    <w:name w:val="Заголовок 1 Знак"/>
    <w:qFormat/>
    <w:rsid w:val="008f748e"/>
    <w:rPr>
      <w:rFonts w:ascii="Cambria" w:hAnsi="Cambria" w:eastAsia="Times New Roman" w:cs="Cambria"/>
      <w:b/>
      <w:bCs/>
      <w:color w:val="365F91"/>
      <w:sz w:val="28"/>
      <w:szCs w:val="28"/>
      <w:lang w:eastAsia="ar-SA"/>
    </w:rPr>
  </w:style>
  <w:style w:type="character" w:styleId="2" w:customStyle="1">
    <w:name w:val="Заголовок 2 Знак"/>
    <w:qFormat/>
    <w:rsid w:val="008f748e"/>
    <w:rPr>
      <w:rFonts w:ascii="Cambria" w:hAnsi="Cambria" w:eastAsia="Times New Roman" w:cs="Cambria"/>
      <w:b/>
      <w:bCs/>
      <w:color w:val="4F81BD"/>
      <w:sz w:val="28"/>
      <w:szCs w:val="26"/>
      <w:lang w:eastAsia="ar-SA"/>
    </w:rPr>
  </w:style>
  <w:style w:type="character" w:styleId="3" w:customStyle="1">
    <w:name w:val="Заголовок 3 Знак"/>
    <w:qFormat/>
    <w:rsid w:val="008f748e"/>
    <w:rPr>
      <w:rFonts w:ascii="Times New Roman" w:hAnsi="Times New Roman" w:eastAsia="Times New Roman"/>
      <w:b/>
      <w:bCs/>
      <w:color w:val="3366FF"/>
      <w:sz w:val="28"/>
      <w:lang w:eastAsia="ar-SA"/>
    </w:rPr>
  </w:style>
  <w:style w:type="character" w:styleId="Style10" w:customStyle="1">
    <w:name w:val="Основной текст Знак"/>
    <w:qFormat/>
    <w:rsid w:val="008f748e"/>
    <w:rPr>
      <w:sz w:val="22"/>
      <w:szCs w:val="22"/>
      <w:lang w:eastAsia="ar-SA"/>
    </w:rPr>
  </w:style>
  <w:style w:type="character" w:styleId="Style11" w:customStyle="1">
    <w:name w:val="Нижний колонтитул Знак"/>
    <w:uiPriority w:val="99"/>
    <w:qFormat/>
    <w:rsid w:val="00412015"/>
    <w:rPr>
      <w:sz w:val="22"/>
      <w:szCs w:val="22"/>
      <w:lang w:eastAsia="en-US"/>
    </w:rPr>
  </w:style>
  <w:style w:type="character" w:styleId="Style12" w:customStyle="1">
    <w:name w:val="Основной текст_"/>
    <w:link w:val="12"/>
    <w:uiPriority w:val="99"/>
    <w:qFormat/>
    <w:locked/>
    <w:rsid w:val="00412015"/>
    <w:rPr>
      <w:sz w:val="28"/>
      <w:szCs w:val="28"/>
      <w:shd w:fill="FFFFFF" w:val="clear"/>
    </w:rPr>
  </w:style>
  <w:style w:type="character" w:styleId="Style13" w:customStyle="1">
    <w:name w:val="Основной текст + Малые прописные"/>
    <w:uiPriority w:val="99"/>
    <w:qFormat/>
    <w:rsid w:val="00412015"/>
    <w:rPr>
      <w:rFonts w:ascii="Times New Roman" w:hAnsi="Times New Roman" w:cs="Times New Roman"/>
      <w:smallCaps/>
      <w:color w:val="000000"/>
      <w:spacing w:val="0"/>
      <w:w w:val="100"/>
      <w:sz w:val="28"/>
      <w:szCs w:val="28"/>
      <w:u w:val="none"/>
      <w:lang w:val="ru-RU" w:bidi="ar-SA"/>
    </w:rPr>
  </w:style>
  <w:style w:type="character" w:styleId="Annotationreference">
    <w:name w:val="annotation reference"/>
    <w:uiPriority w:val="99"/>
    <w:semiHidden/>
    <w:unhideWhenUsed/>
    <w:qFormat/>
    <w:rsid w:val="00e7294f"/>
    <w:rPr>
      <w:sz w:val="16"/>
      <w:szCs w:val="16"/>
    </w:rPr>
  </w:style>
  <w:style w:type="character" w:styleId="Style14" w:customStyle="1">
    <w:name w:val="Текст примечания Знак"/>
    <w:link w:val="Annotationtext"/>
    <w:uiPriority w:val="99"/>
    <w:semiHidden/>
    <w:qFormat/>
    <w:rsid w:val="00e7294f"/>
    <w:rPr>
      <w:lang w:eastAsia="en-US"/>
    </w:rPr>
  </w:style>
  <w:style w:type="character" w:styleId="Style15" w:customStyle="1">
    <w:name w:val="Тема примечания Знак"/>
    <w:link w:val="Annotationsubject"/>
    <w:uiPriority w:val="99"/>
    <w:semiHidden/>
    <w:qFormat/>
    <w:rsid w:val="00e7294f"/>
    <w:rPr>
      <w:b/>
      <w:bCs/>
      <w:lang w:eastAsia="en-US"/>
    </w:rPr>
  </w:style>
  <w:style w:type="character" w:styleId="Strong1">
    <w:name w:val="Strong1"/>
    <w:uiPriority w:val="22"/>
    <w:qFormat/>
    <w:rsid w:val="001d024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3d6332"/>
    <w:rPr>
      <w:color w:val="954F72" w:themeColor="followedHyperlink"/>
      <w:u w:val="single"/>
    </w:rPr>
  </w:style>
  <w:style w:type="character" w:styleId="4" w:customStyle="1">
    <w:name w:val="Заголовок 4 Знак"/>
    <w:basedOn w:val="DefaultParagraphFont"/>
    <w:uiPriority w:val="9"/>
    <w:semiHidden/>
    <w:qFormat/>
    <w:rsid w:val="007e0e60"/>
    <w:rPr>
      <w:rFonts w:ascii="Calibri Light" w:hAnsi="Calibri Light" w:eastAsia="" w:cs="" w:asciiTheme="majorHAnsi" w:cstheme="majorBidi" w:eastAsiaTheme="majorEastAsia" w:hAnsiTheme="majorHAnsi"/>
      <w:i/>
      <w:iCs/>
      <w:color w:val="2E74B5" w:themeColor="accent1" w:themeShade="bf"/>
      <w:sz w:val="22"/>
      <w:szCs w:val="22"/>
      <w:lang w:eastAsia="en-US"/>
    </w:rPr>
  </w:style>
  <w:style w:type="character" w:styleId="Pagenumber">
    <w:name w:val="page number"/>
    <w:basedOn w:val="DefaultParagraphFont"/>
    <w:qFormat/>
    <w:rsid w:val="00396317"/>
    <w:rPr/>
  </w:style>
  <w:style w:type="character" w:styleId="Style16" w:customStyle="1">
    <w:name w:val="Абзац списка Знак"/>
    <w:link w:val="ListParagraph"/>
    <w:uiPriority w:val="34"/>
    <w:qFormat/>
    <w:locked/>
    <w:rsid w:val="006429e3"/>
    <w:rPr>
      <w:sz w:val="22"/>
      <w:szCs w:val="22"/>
      <w:lang w:eastAsia="en-US"/>
    </w:rPr>
  </w:style>
  <w:style w:type="character" w:styleId="Style17" w:customStyle="1">
    <w:name w:val="комментарий"/>
    <w:qFormat/>
    <w:rsid w:val="006429e3"/>
    <w:rPr>
      <w:b/>
      <w:i/>
      <w:shd w:fill="FFFF99" w:val="clear"/>
    </w:rPr>
  </w:style>
  <w:style w:type="character" w:styleId="Linenumber1">
    <w:name w:val="line number1"/>
    <w:qFormat/>
    <w:rPr/>
  </w:style>
  <w:style w:type="character" w:styleId="LineNumber">
    <w:name w:val="Line Number"/>
    <w:rPr/>
  </w:style>
  <w:style w:type="character" w:styleId="Style18">
    <w:name w:val="Символ нумерации"/>
    <w:qFormat/>
    <w:rPr/>
  </w:style>
  <w:style w:type="character" w:styleId="Strong">
    <w:name w:val="Strong"/>
    <w:qFormat/>
    <w:rPr>
      <w:b/>
      <w:bCs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10"/>
    <w:rsid w:val="008f748e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BalloonText">
    <w:name w:val="Balloon Text"/>
    <w:basedOn w:val="Normal"/>
    <w:link w:val="Style5"/>
    <w:uiPriority w:val="99"/>
    <w:semiHidden/>
    <w:unhideWhenUsed/>
    <w:qFormat/>
    <w:rsid w:val="0053223e"/>
    <w:pPr>
      <w:spacing w:lineRule="auto" w:line="240" w:before="0" w:after="0"/>
    </w:pPr>
    <w:rPr>
      <w:rFonts w:ascii="Tahoma" w:hAnsi="Tahoma"/>
      <w:sz w:val="16"/>
      <w:szCs w:val="16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6"/>
    <w:rsid w:val="005c094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/>
      <w:sz w:val="24"/>
      <w:szCs w:val="24"/>
    </w:rPr>
  </w:style>
  <w:style w:type="paragraph" w:styleId="FootnoteText">
    <w:name w:val="Footnote Text"/>
    <w:basedOn w:val="Normal"/>
    <w:link w:val="Style7"/>
    <w:semiHidden/>
    <w:rsid w:val="005c0949"/>
    <w:pPr>
      <w:spacing w:lineRule="auto" w:line="240" w:before="0" w:after="0"/>
    </w:pPr>
    <w:rPr>
      <w:rFonts w:ascii="Times New Roman" w:hAnsi="Times New Roman" w:eastAsia="Times New Roman"/>
      <w:sz w:val="20"/>
      <w:szCs w:val="20"/>
    </w:rPr>
  </w:style>
  <w:style w:type="paragraph" w:styleId="BodyTextIndent">
    <w:name w:val="Body Text Indent"/>
    <w:basedOn w:val="Normal"/>
    <w:link w:val="Style9"/>
    <w:rsid w:val="005c0949"/>
    <w:pPr>
      <w:spacing w:lineRule="auto" w:line="240" w:before="0" w:after="0"/>
      <w:ind w:left="360" w:hanging="0"/>
    </w:pPr>
    <w:rPr>
      <w:rFonts w:ascii="Times New Roman" w:hAnsi="Times New Roman" w:eastAsia="Times New Roman"/>
      <w:sz w:val="24"/>
      <w:szCs w:val="24"/>
    </w:rPr>
  </w:style>
  <w:style w:type="paragraph" w:styleId="ListParagraph">
    <w:name w:val="List Paragraph"/>
    <w:basedOn w:val="Normal"/>
    <w:link w:val="Style16"/>
    <w:uiPriority w:val="34"/>
    <w:qFormat/>
    <w:rsid w:val="00a647d0"/>
    <w:pPr>
      <w:spacing w:before="0" w:after="200"/>
      <w:ind w:left="720" w:hanging="0"/>
      <w:contextualSpacing/>
    </w:pPr>
    <w:rPr/>
  </w:style>
  <w:style w:type="paragraph" w:styleId="11" w:customStyle="1">
    <w:name w:val="Абзац списка1"/>
    <w:basedOn w:val="Normal"/>
    <w:qFormat/>
    <w:rsid w:val="008f748e"/>
    <w:pPr>
      <w:widowControl w:val="false"/>
      <w:ind w:left="720" w:firstLine="709"/>
    </w:pPr>
    <w:rPr>
      <w:lang w:eastAsia="ar-SA"/>
    </w:rPr>
  </w:style>
  <w:style w:type="paragraph" w:styleId="Footer">
    <w:name w:val="Footer"/>
    <w:basedOn w:val="Normal"/>
    <w:link w:val="Style11"/>
    <w:uiPriority w:val="99"/>
    <w:rsid w:val="0041201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qFormat/>
    <w:rsid w:val="00412015"/>
    <w:pPr>
      <w:spacing w:lineRule="auto" w:line="240" w:before="30" w:after="30"/>
    </w:pPr>
    <w:rPr>
      <w:rFonts w:ascii="Arial" w:hAnsi="Arial" w:cs="Arial"/>
      <w:color w:val="332E2D"/>
      <w:spacing w:val="2"/>
      <w:sz w:val="24"/>
      <w:szCs w:val="24"/>
      <w:lang w:eastAsia="ru-RU"/>
    </w:rPr>
  </w:style>
  <w:style w:type="paragraph" w:styleId="12" w:customStyle="1">
    <w:name w:val="Основной текст1"/>
    <w:basedOn w:val="Normal"/>
    <w:link w:val="Style12"/>
    <w:uiPriority w:val="99"/>
    <w:qFormat/>
    <w:rsid w:val="00412015"/>
    <w:pPr>
      <w:widowControl w:val="false"/>
      <w:shd w:val="clear" w:color="auto" w:fill="FFFFFF"/>
      <w:spacing w:lineRule="exact" w:line="302" w:before="0" w:after="0"/>
    </w:pPr>
    <w:rPr>
      <w:sz w:val="28"/>
      <w:szCs w:val="28"/>
      <w:lang w:eastAsia="ru-RU"/>
    </w:rPr>
  </w:style>
  <w:style w:type="paragraph" w:styleId="Annotationtext">
    <w:name w:val="annotation text"/>
    <w:basedOn w:val="Normal"/>
    <w:link w:val="Style14"/>
    <w:uiPriority w:val="99"/>
    <w:semiHidden/>
    <w:unhideWhenUsed/>
    <w:qFormat/>
    <w:rsid w:val="00e7294f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5"/>
    <w:uiPriority w:val="99"/>
    <w:semiHidden/>
    <w:unhideWhenUsed/>
    <w:qFormat/>
    <w:rsid w:val="00e7294f"/>
    <w:pPr/>
    <w:rPr>
      <w:b/>
      <w:bCs/>
    </w:rPr>
  </w:style>
  <w:style w:type="paragraph" w:styleId="Default" w:customStyle="1">
    <w:name w:val="Default"/>
    <w:qFormat/>
    <w:rsid w:val="0051576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ru-RU" w:bidi="ar-SA"/>
    </w:rPr>
  </w:style>
  <w:style w:type="paragraph" w:styleId="Style22" w:customStyle="1">
    <w:name w:val="Содержимое врезки"/>
    <w:basedOn w:val="Normal"/>
    <w:qFormat/>
    <w:pPr/>
    <w:rPr/>
  </w:style>
  <w:style w:type="paragraph" w:styleId="Style23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4" w:customStyle="1">
    <w:name w:val="Заголовок таблицы"/>
    <w:basedOn w:val="Style23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3" w:customStyle="1">
    <w:name w:val="Нет списка1"/>
    <w:uiPriority w:val="99"/>
    <w:semiHidden/>
    <w:unhideWhenUsed/>
    <w:qFormat/>
    <w:rsid w:val="003d6332"/>
  </w:style>
  <w:style w:type="numbering" w:styleId="28009843531">
    <w:name w:val="28009843531"/>
    <w:qFormat/>
  </w:style>
  <w:style w:type="numbering" w:styleId="34154788941">
    <w:name w:val="34154788941"/>
    <w:qFormat/>
  </w:style>
  <w:style w:type="numbering" w:styleId="18077266491">
    <w:name w:val="18077266491"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9">
    <w:name w:val="Table Grid"/>
    <w:basedOn w:val="a2"/>
    <w:uiPriority w:val="39"/>
    <w:rsid w:val="00644ff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4">
    <w:name w:val="Сетка таблицы1"/>
    <w:basedOn w:val="a2"/>
    <w:uiPriority w:val="59"/>
    <w:rsid w:val="003d633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">
    <w:name w:val="Сетка таблицы2"/>
    <w:basedOn w:val="a2"/>
    <w:uiPriority w:val="39"/>
    <w:rsid w:val="0039631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0B3B5-645F-4FC4-B408-A1545C37D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Application>AlterOffice/3.4.0.9$Linux_X86_64 LibreOffice_project/b8daf9e823b1a5463a2f48435ddc2e8696e7d4fc</Application>
  <AppVersion>15.0000</AppVersion>
  <Pages>7</Pages>
  <Words>883</Words>
  <Characters>6100</Characters>
  <CharactersWithSpaces>6879</CharactersWithSpaces>
  <Paragraphs>120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2025-06-27T09:00:00Z</dcterms:created>
  <dc:creator>Admin</dc:creator>
  <dc:description/>
  <dc:language>ru-RU</dc:language>
  <cp:lastModifiedBy>filatovasm@corp.gidroogk.com</cp:lastModifiedBy>
  <cp:lastPrinted>2025-10-22T08:05:44Z</cp:lastPrinted>
  <dcterms:modified xsi:type="dcterms:W3CDTF">2026-08-03T11:41:19Z</dcterms:modified>
  <cp:revision>59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