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jc w:val="right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jc w:val="right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jc w:val="right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jc w:val="right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«ОКПД2: 56.29.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Организация питания участников совещаний»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52594650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1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2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3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4">
            <w:r>
              <w:rPr>
                <w:webHidden/>
                <w:rStyle w:val="Style14"/>
                <w:rFonts w:eastAsia="Calibri"/>
                <w:vanish w:val="false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jc w:val="both"/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55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объектов заказчика, подлежащих подтверждению эксплуатационного состояния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6">
            <w:r>
              <w:rPr>
                <w:webHidden/>
                <w:rStyle w:val="Style14"/>
                <w:rFonts w:eastAsia="Calibri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57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8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59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60">
            <w:r>
              <w:rPr>
                <w:webHidden/>
                <w:rStyle w:val="Style14"/>
                <w:rFonts w:eastAsia="Calibri"/>
                <w:vanish w:val="false"/>
              </w:rPr>
              <w:t xml:space="preserve">Таблица 2. Перечень и </w:t>
            </w:r>
            <w:r>
              <w:rPr>
                <w:rStyle w:val="Style14"/>
                <w:rFonts w:eastAsia="Calibri"/>
                <w:iCs/>
              </w:rPr>
              <w:t>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61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62">
            <w:r>
              <w:rPr>
                <w:webHidden/>
                <w:rStyle w:val="Style14"/>
                <w:rFonts w:eastAsia="Calibri"/>
                <w:vanish w:val="false"/>
              </w:rPr>
              <w:t xml:space="preserve">Таблица 3. Требования по срокам </w:t>
            </w:r>
            <w:r>
              <w:rPr>
                <w:rStyle w:val="Style14"/>
                <w:rFonts w:eastAsia="Calibri"/>
                <w:vanish w:val="false"/>
                <w:lang w:val="en-US"/>
              </w:rPr>
              <w:t>оказани</w:t>
            </w:r>
            <w:r>
              <w:rPr>
                <w:rStyle w:val="Style14"/>
                <w:rFonts w:eastAsia="Calibri"/>
                <w:vanish w:val="false"/>
              </w:rPr>
              <w:t xml:space="preserve">я </w:t>
            </w:r>
            <w:r>
              <w:rPr>
                <w:rStyle w:val="Style14"/>
                <w:rFonts w:eastAsia="Calibri"/>
                <w:vanish w:val="false"/>
                <w:lang w:val="en-US"/>
              </w:rPr>
              <w:t>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52594663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64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65">
            <w:r>
              <w:rPr>
                <w:webHidden/>
                <w:rStyle w:val="Style14"/>
                <w:rFonts w:eastAsia="Calibri"/>
                <w:vanish w:val="false"/>
              </w:rPr>
              <w:t>Таблица </w:t>
            </w:r>
            <w:r>
              <w:rPr>
                <w:rStyle w:val="Style14"/>
                <w:rFonts w:eastAsia="Calibri"/>
                <w:lang w:val="en-US"/>
              </w:rPr>
              <w:t>5</w:t>
            </w:r>
            <w:r>
              <w:rPr>
                <w:rStyle w:val="Style14"/>
                <w:rFonts w:eastAsia="Calibri"/>
              </w:rPr>
              <w:t xml:space="preserve">. </w:t>
            </w:r>
            <w:r>
              <w:rPr>
                <w:rStyle w:val="Style14"/>
                <w:rFonts w:eastAsia="Calibri"/>
                <w:lang w:val="en-US"/>
              </w:rPr>
              <w:t xml:space="preserve">График </w:t>
            </w:r>
            <w:r>
              <w:rPr>
                <w:rStyle w:val="Style14"/>
                <w:rFonts w:eastAsia="Calibri"/>
                <w:vanish w:val="false"/>
                <w:lang w:val="en-US"/>
              </w:rPr>
              <w:t>оказания услуг</w:t>
            </w:r>
            <w:r>
              <w:rPr>
                <w:rStyle w:val="Style14"/>
                <w:vanish w:val="false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2594667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_Toc152594667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54646395"/>
      <w:bookmarkStart w:id="2" w:name="_Toc152594650"/>
      <w:r>
        <w:rPr>
          <w:lang w:val="ru-RU"/>
        </w:rPr>
        <w:t>Общие сведения</w:t>
      </w:r>
      <w:bookmarkEnd w:id="0"/>
      <w:bookmarkEnd w:id="1"/>
      <w:bookmarkEnd w:id="2"/>
    </w:p>
    <w:p>
      <w:pPr>
        <w:pStyle w:val="Heading4"/>
        <w:numPr>
          <w:ilvl w:val="1"/>
          <w:numId w:val="3"/>
        </w:numPr>
        <w:rPr/>
      </w:pPr>
      <w:bookmarkStart w:id="3" w:name="_Toc46743505"/>
      <w:bookmarkStart w:id="4" w:name="_Toc54646396"/>
      <w:bookmarkStart w:id="5" w:name="_Toc152594651"/>
      <w:r>
        <w:rPr/>
        <w:t>Обозначения и сокращения</w:t>
      </w:r>
      <w:bookmarkEnd w:id="3"/>
      <w:bookmarkEnd w:id="4"/>
      <w:bookmarkEnd w:id="5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25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63"/>
        <w:gridCol w:w="7961"/>
      </w:tblGrid>
      <w:tr>
        <w:trPr>
          <w:trHeight w:val="338" w:hRule="atLeast"/>
          <w:cantSplit w:val="true"/>
        </w:trPr>
        <w:tc>
          <w:tcPr>
            <w:tcW w:w="1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6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6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7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6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НПА</w:t>
            </w:r>
          </w:p>
        </w:tc>
        <w:tc>
          <w:tcPr>
            <w:tcW w:w="7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Нормативно-правовые акты</w:t>
            </w:r>
          </w:p>
        </w:tc>
      </w:tr>
      <w:tr>
        <w:trPr>
          <w:cantSplit w:val="true"/>
        </w:trPr>
        <w:tc>
          <w:tcPr>
            <w:tcW w:w="176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ОМТО</w:t>
            </w:r>
          </w:p>
        </w:tc>
        <w:tc>
          <w:tcPr>
            <w:tcW w:w="7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Отдел материально-технического обеспечения</w:t>
            </w:r>
          </w:p>
        </w:tc>
      </w:tr>
      <w:tr>
        <w:trPr>
          <w:cantSplit w:val="true"/>
        </w:trPr>
        <w:tc>
          <w:tcPr>
            <w:tcW w:w="1763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СБ </w:t>
            </w:r>
          </w:p>
        </w:tc>
        <w:tc>
          <w:tcPr>
            <w:tcW w:w="7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Служба безопасности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54646397"/>
      <w:bookmarkStart w:id="7" w:name="_Toc46743506"/>
      <w:bookmarkStart w:id="8" w:name="_Toc152594652"/>
      <w:r>
        <w:rPr/>
        <w:t>Наименование закупаемой продукции</w:t>
      </w:r>
      <w:bookmarkEnd w:id="6"/>
      <w:bookmarkEnd w:id="7"/>
      <w:bookmarkEnd w:id="8"/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«Организация питания участников совещаний Филиала ПАО «РусГидро»-«Жигулевская ГЭС»»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9" w:name="_Toc152594653"/>
      <w:bookmarkStart w:id="10" w:name="_Toc46743507"/>
      <w:bookmarkStart w:id="11" w:name="_Toc54646398"/>
      <w:r>
        <w:rPr/>
        <w:t xml:space="preserve">Цель </w:t>
      </w:r>
      <w:bookmarkEnd w:id="10"/>
      <w:bookmarkEnd w:id="11"/>
      <w:r>
        <w:rPr/>
        <w:t>оказания услуг</w:t>
      </w:r>
      <w:bookmarkEnd w:id="9"/>
    </w:p>
    <w:p>
      <w:pPr>
        <w:pStyle w:val="Normal"/>
        <w:spacing w:before="12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Оказание услуг организации питания участников совещаний, буфетное обслуживание, официальный прием или обслуживание представителей других организаций, участвующих в деловых переговорах в целях установления и поддержания взаимного сотрудничества, а также участников, прибывших на совещание руководящего органа ПАО «РусГидро», организация банкетов (приемов, встреч) согласно заявкам Заказчика, на обеспечение мероприятия. </w:t>
      </w:r>
    </w:p>
    <w:p>
      <w:pPr>
        <w:pStyle w:val="Heading4"/>
        <w:tabs>
          <w:tab w:val="clear" w:pos="0"/>
        </w:tabs>
        <w:ind w:left="0" w:hanging="0"/>
        <w:rPr/>
      </w:pPr>
      <w:bookmarkStart w:id="12" w:name="_Toc152594654"/>
      <w:bookmarkStart w:id="13" w:name="_Toc46743508"/>
      <w:bookmarkStart w:id="14" w:name="_Toc54646399"/>
      <w:r>
        <w:rPr/>
        <w:t>1.4. Существующее положение</w:t>
      </w:r>
      <w:bookmarkEnd w:id="12"/>
      <w:bookmarkEnd w:id="13"/>
      <w:bookmarkEnd w:id="14"/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Филиале организовывают проведение протокольных мероприятий, совещаний, переговоров, встреч в переговорной и актовом зале, а также организовывают банкетное обслуживание в банкетном зале и в помещении столовой, на основании Заявки Заказчика с указанием даты и времени проведения, количества человек, ассортиментного перечня блюд и напитков, а также программы проведения мероприятия. Заявка должна быть направлена: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на проведение банкетов, совещаний и крупных мероприятий, требующих согласования отдельного меню, не позднее 3 (трех) календарных дней до проведения мероприятия.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обеспечение питанием делегаций - не позднее 2 (двух) календарных дней до проведения мероприятия. 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не позднее 6 часов до времени начала мероприятия заявку передается Исполнителю.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одного рабочего дня после получения Заявки Исполнитель предоставляет Заказчику на утверждение меню. 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Доставку заказанной продукции или обслуживание мероприятия со всеми сопутствующими работами и услугами организовывает Исполнитель. 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санитарно-гигиенических, технологических и экологических требований СанПиН № 42-123-5777-91 и СанПиН 2.3.2.1324-03 при оказании услуг ложится на Исполнителя. 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Исполнитель самостоятельно осуществляет хранение и утилизацию пищевых отходов.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 профессиональный подход – оформление и обслуживание протокольных мероприятий на высоком уровне;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 поддержание цен на уровне, не превышающем цены на аналогичные услуги и товары, сложившиеся в регионе;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 регулярное обновление ассортимента, творческий подход;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 своевременность проведения мероприятий и предоставления отчетности.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 транспорт, мебель, столовая посуда (полуфарфоровая, фаянсовая) и столовые приборы из нержавеющей стали, другие вспомогательные и сопутствующие материалы для выездных мероприятий</w:t>
      </w:r>
      <w:bookmarkStart w:id="15" w:name="_GoBack"/>
      <w:bookmarkEnd w:id="15"/>
      <w:r>
        <w:rPr>
          <w:sz w:val="24"/>
          <w:szCs w:val="24"/>
        </w:rPr>
        <w:t xml:space="preserve"> предоставляются Исполнителем;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обслуживание мероприятий осуществляет квалифицированный персонал в форменной одежде Исполнителя. 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 оформляется актом сдачи-приемки услуг.   </w:t>
      </w:r>
    </w:p>
    <w:p>
      <w:pPr>
        <w:pStyle w:val="Normal"/>
        <w:tabs>
          <w:tab w:val="clear" w:pos="708"/>
          <w:tab w:val="left" w:pos="1789" w:leader="none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jc w:val="both"/>
        <w:rPr>
          <w:bCs/>
          <w:sz w:val="24"/>
          <w:szCs w:val="24"/>
        </w:rPr>
      </w:pPr>
      <w:bookmarkStart w:id="16" w:name="_Toc152594656"/>
      <w:bookmarkStart w:id="17" w:name="_Toc54646400"/>
      <w:bookmarkEnd w:id="17"/>
      <w:r>
        <w:rPr>
          <w:bCs/>
          <w:sz w:val="24"/>
          <w:szCs w:val="24"/>
        </w:rPr>
        <w:t>1.5.</w:t>
      </w:r>
      <w:r>
        <w:rPr/>
        <w:t xml:space="preserve"> </w:t>
      </w:r>
      <w:bookmarkStart w:id="18" w:name="_Toc54646401"/>
      <w:bookmarkStart w:id="19" w:name="_Toc46743509"/>
      <w:bookmarkStart w:id="20" w:name="_Hlk49857604"/>
      <w:r>
        <w:rPr>
          <w:bCs/>
          <w:sz w:val="24"/>
          <w:szCs w:val="24"/>
        </w:rPr>
        <w:t xml:space="preserve">Информация в отношении исполнения договора, </w:t>
      </w:r>
      <w:bookmarkStart w:id="21" w:name="_Hlk46492347"/>
      <w:r>
        <w:rPr>
          <w:bCs/>
          <w:sz w:val="24"/>
          <w:szCs w:val="24"/>
        </w:rPr>
        <w:t xml:space="preserve">которая должна быть учтена при подготовке заявки </w:t>
      </w:r>
      <w:bookmarkEnd w:id="21"/>
      <w:r>
        <w:rPr>
          <w:bCs/>
          <w:sz w:val="24"/>
          <w:szCs w:val="24"/>
        </w:rPr>
        <w:t>(в том числе перечень ресурсов, услуг и документов, предоставляемых заказчиком на этапе исполнения договора)</w:t>
      </w:r>
      <w:bookmarkEnd w:id="16"/>
      <w:bookmarkEnd w:id="19"/>
      <w:bookmarkEnd w:id="20"/>
      <w:r>
        <w:rPr>
          <w:bCs/>
          <w:sz w:val="24"/>
          <w:szCs w:val="24"/>
        </w:rPr>
        <w:t xml:space="preserve"> </w:t>
      </w:r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20"/>
        <w:jc w:val="both"/>
        <w:rPr>
          <w:rFonts w:eastAsia="Calibri"/>
          <w:sz w:val="24"/>
          <w:lang w:eastAsia="x-none"/>
        </w:rPr>
      </w:pPr>
      <w:bookmarkStart w:id="22" w:name="_Hlk48209761"/>
      <w:bookmarkEnd w:id="22"/>
      <w:r>
        <w:rPr>
          <w:rFonts w:eastAsia="Calibri"/>
          <w:sz w:val="24"/>
          <w:lang w:eastAsia="x-none"/>
        </w:rPr>
        <w:t>На объекте действует пропускной режим: проход лиц, проезд транспортных средств на территорию Филиала и обратно, вноса (выноса), ввоза (вывоза) материальных ценностей осуществляется по письмам и пропускам установленного образца согласно положения по пропускному и внутриобъектовому режимам Заказчика (Приложение № 2 к ТТ).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20"/>
        <w:jc w:val="both"/>
        <w:rPr>
          <w:rFonts w:eastAsia="Calibri"/>
          <w:sz w:val="24"/>
          <w:lang w:eastAsia="x-none"/>
        </w:rPr>
      </w:pPr>
      <w:r>
        <w:rPr>
          <w:rFonts w:eastAsia="Calibri"/>
          <w:sz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3" w:name="_Toc51339693"/>
      <w:bookmarkStart w:id="24" w:name="_Toc54646403"/>
      <w:bookmarkStart w:id="25" w:name="_Toc152594657"/>
      <w:bookmarkStart w:id="26" w:name="_Toc46743510"/>
      <w:bookmarkStart w:id="27" w:name="_Toc50125126"/>
      <w:bookmarkStart w:id="28" w:name="_Hlk482097611"/>
      <w:bookmarkEnd w:id="26"/>
      <w:bookmarkEnd w:id="27"/>
      <w:bookmarkEnd w:id="28"/>
      <w:r>
        <w:rPr>
          <w:iCs/>
        </w:rPr>
        <w:t>Требования к продукции</w:t>
      </w:r>
      <w:bookmarkEnd w:id="23"/>
      <w:bookmarkEnd w:id="24"/>
      <w:bookmarkEnd w:id="25"/>
    </w:p>
    <w:p>
      <w:pPr>
        <w:pStyle w:val="Heading4"/>
        <w:numPr>
          <w:ilvl w:val="1"/>
          <w:numId w:val="3"/>
        </w:numPr>
        <w:rPr/>
      </w:pPr>
      <w:bookmarkStart w:id="29" w:name="_Toc152594658"/>
      <w:bookmarkStart w:id="30" w:name="_Toc54646404"/>
      <w:r>
        <w:rPr/>
        <w:t xml:space="preserve">Требования к объемам и срокам </w:t>
      </w:r>
      <w:bookmarkEnd w:id="30"/>
      <w:r>
        <w:rPr/>
        <w:t>оказания услуг</w:t>
      </w:r>
      <w:bookmarkEnd w:id="29"/>
    </w:p>
    <w:p>
      <w:pPr>
        <w:pStyle w:val="Heading3"/>
        <w:numPr>
          <w:ilvl w:val="2"/>
          <w:numId w:val="3"/>
        </w:numPr>
        <w:rPr/>
      </w:pPr>
      <w:bookmarkStart w:id="31" w:name="_Toc152594659"/>
      <w:bookmarkStart w:id="32" w:name="_Toc54646405"/>
      <w:r>
        <w:rPr>
          <w:lang w:val="ru-RU"/>
        </w:rPr>
        <w:t xml:space="preserve">Требования к </w:t>
      </w:r>
      <w:bookmarkEnd w:id="32"/>
      <w:r>
        <w:rPr>
          <w:lang w:val="ru-RU"/>
        </w:rPr>
        <w:t>перечню</w:t>
      </w:r>
      <w:r>
        <w:rPr/>
        <w:t xml:space="preserve"> и объем</w:t>
      </w:r>
      <w:r>
        <w:rPr>
          <w:lang w:val="ru-RU"/>
        </w:rPr>
        <w:t>у</w:t>
      </w:r>
      <w:r>
        <w:rPr/>
        <w:t xml:space="preserve"> </w:t>
      </w:r>
      <w:r>
        <w:rPr>
          <w:lang w:val="ru-RU"/>
        </w:rPr>
        <w:t>услуг</w:t>
      </w:r>
      <w:bookmarkEnd w:id="3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3" w:name="_Toc152594660"/>
      <w:bookmarkStart w:id="34" w:name="_Toc54646406"/>
      <w:bookmarkStart w:id="3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5"/>
      <w:r>
        <w:rPr>
          <w:sz w:val="24"/>
          <w:szCs w:val="24"/>
          <w:lang w:val="ru-RU"/>
        </w:rPr>
        <w:t xml:space="preserve">и </w:t>
      </w:r>
      <w:bookmarkEnd w:id="34"/>
      <w:r>
        <w:rPr>
          <w:iCs/>
          <w:sz w:val="24"/>
          <w:szCs w:val="24"/>
        </w:rPr>
        <w:t>объем оказываемых услуг</w:t>
      </w:r>
      <w:bookmarkEnd w:id="33"/>
    </w:p>
    <w:tbl>
      <w:tblPr>
        <w:tblW w:w="972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3"/>
        <w:gridCol w:w="5330"/>
        <w:gridCol w:w="2100"/>
        <w:gridCol w:w="1534"/>
      </w:tblGrid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  <w:lang w:val="en-US"/>
              </w:rPr>
              <w:t>услуг</w:t>
            </w:r>
            <w:r>
              <w:rPr>
                <w:sz w:val="20"/>
                <w:szCs w:val="20"/>
              </w:rPr>
              <w:t xml:space="preserve"> / этапа </w:t>
            </w:r>
            <w:r>
              <w:rPr>
                <w:sz w:val="20"/>
                <w:szCs w:val="20"/>
                <w:lang w:val="en-US"/>
              </w:rPr>
              <w:t>услуг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Организация питания участников совещаний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 организация питания участников совещаний на территории предприятия Заказчика;</w:t>
            </w:r>
          </w:p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организация кофе-пауз для участников совещаний в указанном помещении на территории предприятия Заказчика;</w:t>
            </w:r>
          </w:p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 выездное питание для делегаций;</w:t>
            </w:r>
          </w:p>
          <w:p>
            <w:pPr>
              <w:pStyle w:val="Normal"/>
              <w:widowControl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 банкеты по заявке Заказчика;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Cs/>
                <w:sz w:val="24"/>
                <w:szCs w:val="24"/>
              </w:rPr>
              <w:t>-  приобретение и доставка продуктов питания по заявке Заказчика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0"/>
          <w:szCs w:val="20"/>
          <w:shd w:fill="FFFF99" w:val="clear"/>
        </w:rPr>
      </w:pPr>
      <w:r>
        <w:rPr>
          <w:bCs/>
          <w:i/>
          <w:sz w:val="20"/>
          <w:szCs w:val="20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6" w:name="_Toc152594661"/>
      <w:bookmarkStart w:id="37" w:name="_Toc54646407"/>
      <w:bookmarkStart w:id="38" w:name="_Toc51339696"/>
      <w:r>
        <w:rPr>
          <w:lang w:val="ru-RU"/>
        </w:rPr>
        <w:t xml:space="preserve">Требования </w:t>
      </w:r>
      <w:bookmarkEnd w:id="38"/>
      <w:r>
        <w:rPr>
          <w:lang w:val="ru-RU"/>
        </w:rPr>
        <w:t xml:space="preserve">к срокам </w:t>
      </w:r>
      <w:bookmarkEnd w:id="37"/>
      <w:r>
        <w:rPr>
          <w:lang w:val="ru-RU"/>
        </w:rPr>
        <w:t>оказания услуг</w:t>
      </w:r>
      <w:bookmarkEnd w:id="3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9" w:name="_Toc54646408"/>
      <w:bookmarkStart w:id="40" w:name="_Toc152594662"/>
      <w:bookmarkStart w:id="41" w:name="_Toc51339697"/>
      <w:bookmarkStart w:id="42" w:name="_Toc50125127"/>
      <w:bookmarkStart w:id="43" w:name="_Toc501251261"/>
      <w:bookmarkEnd w:id="4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44" w:name="_Hlk50465284"/>
      <w:r>
        <w:rPr>
          <w:sz w:val="24"/>
          <w:szCs w:val="24"/>
        </w:rPr>
        <w:t xml:space="preserve">Требования по срокам </w:t>
      </w:r>
      <w:bookmarkEnd w:id="39"/>
      <w:bookmarkEnd w:id="40"/>
      <w:bookmarkEnd w:id="41"/>
      <w:bookmarkEnd w:id="42"/>
      <w:bookmarkEnd w:id="44"/>
      <w:r>
        <w:rPr>
          <w:vanish/>
          <w:sz w:val="24"/>
          <w:szCs w:val="24"/>
          <w:lang w:val="ru-RU"/>
        </w:rPr>
        <w:t>оказания услуг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5"/>
        <w:gridCol w:w="2026"/>
        <w:gridCol w:w="2212"/>
        <w:gridCol w:w="2431"/>
        <w:gridCol w:w="2427"/>
      </w:tblGrid>
      <w:tr>
        <w:trPr/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  <w:lang w:val="en-US"/>
              </w:rPr>
              <w:t>услуг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началу срока </w:t>
            </w:r>
            <w:r>
              <w:rPr>
                <w:vanish/>
                <w:sz w:val="20"/>
                <w:szCs w:val="20"/>
              </w:rPr>
              <w:t>оказания услуг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окончанию срока </w:t>
            </w:r>
            <w:r>
              <w:rPr>
                <w:vanish/>
                <w:sz w:val="20"/>
                <w:szCs w:val="20"/>
              </w:rPr>
              <w:t>оказания услуг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Прим</w:t>
            </w:r>
            <w:r>
              <w:rPr>
                <w:sz w:val="20"/>
                <w:szCs w:val="20"/>
                <w:lang w:val="en-US"/>
              </w:rPr>
              <w:t>ечание</w:t>
            </w:r>
          </w:p>
        </w:tc>
      </w:tr>
      <w:tr>
        <w:trPr/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Организация питания участников совещаний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С даты заключения договора</w:t>
            </w:r>
          </w:p>
        </w:tc>
        <w:tc>
          <w:tcPr>
            <w:tcW w:w="2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 31.12.2027</w:t>
            </w:r>
          </w:p>
        </w:tc>
        <w:tc>
          <w:tcPr>
            <w:tcW w:w="2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0"/>
                <w:szCs w:val="20"/>
                <w:lang w:val="en-US"/>
              </w:rPr>
              <w:t>По заявкам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45" w:name="_Toc54646410"/>
      <w:bookmarkStart w:id="46" w:name="_Toc51339698"/>
      <w:bookmarkStart w:id="47" w:name="_Toc152594663"/>
      <w:r>
        <w:rPr/>
        <w:t xml:space="preserve">Требования к </w:t>
      </w:r>
      <w:r>
        <w:rPr>
          <w:lang w:val="ru-RU"/>
        </w:rPr>
        <w:t>качеству услуг</w:t>
      </w:r>
      <w:bookmarkEnd w:id="4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8" w:name="_Toc15259466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46"/>
      <w:r>
        <w:rPr>
          <w:sz w:val="24"/>
          <w:szCs w:val="24"/>
          <w:lang w:val="ru-RU"/>
        </w:rPr>
        <w:t xml:space="preserve">качеству </w:t>
      </w:r>
      <w:bookmarkEnd w:id="45"/>
      <w:r>
        <w:rPr>
          <w:sz w:val="24"/>
          <w:szCs w:val="24"/>
          <w:lang w:val="ru-RU"/>
        </w:rPr>
        <w:t>услуг</w:t>
      </w:r>
      <w:bookmarkEnd w:id="48"/>
    </w:p>
    <w:p>
      <w:pPr>
        <w:pStyle w:val="Normal"/>
        <w:rPr>
          <w:rStyle w:val="Style8"/>
          <w:b w:val="false"/>
          <w:highlight w:val="cyan"/>
        </w:rPr>
      </w:pPr>
      <w:r>
        <w:rPr>
          <w:b w:val="false"/>
          <w:highlight w:val="cyan"/>
        </w:rPr>
      </w:r>
    </w:p>
    <w:p>
      <w:pPr>
        <w:pStyle w:val="Normal"/>
        <w:snapToGrid w:val="false"/>
        <w:spacing w:before="0" w:after="120"/>
        <w:rPr/>
      </w:pPr>
      <w:r>
        <w:rPr>
          <w:b/>
          <w:bCs/>
          <w:sz w:val="24"/>
          <w:szCs w:val="24"/>
        </w:rPr>
        <w:t xml:space="preserve">Наименование услуг/этапа услуг (позиция №1-3 Таблицы 3): </w:t>
      </w:r>
      <w:r>
        <w:rPr>
          <w:rStyle w:val="Style8"/>
          <w:rFonts w:eastAsia="Calibri"/>
          <w:b w:val="false"/>
          <w:bCs/>
          <w:i w:val="false"/>
          <w:sz w:val="24"/>
          <w:szCs w:val="24"/>
          <w:shd w:fill="auto" w:val="clear"/>
        </w:rPr>
        <w:t xml:space="preserve">Подготовка Акта по результатам оказания услуги </w:t>
      </w:r>
    </w:p>
    <w:tbl>
      <w:tblPr>
        <w:tblStyle w:val="affff4"/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4"/>
        <w:gridCol w:w="2688"/>
        <w:gridCol w:w="6519"/>
        <w:gridCol w:w="1702"/>
        <w:gridCol w:w="1700"/>
        <w:gridCol w:w="1814"/>
      </w:tblGrid>
      <w:tr>
        <w:trPr/>
        <w:tc>
          <w:tcPr>
            <w:tcW w:w="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6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5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34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5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sz w:val="20"/>
                <w:szCs w:val="20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6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5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Соблюдение при оказании услуг норм и правил </w:t>
            </w:r>
          </w:p>
        </w:tc>
        <w:tc>
          <w:tcPr>
            <w:tcW w:w="65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 оказании услуг исполнитель должен руководствоваться следующими НПА: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Приказ ПАО «РусГидро» от 28.04.2023 № 300 «Об утверждении Регламента процесса «Допуск персонала подрядных организаций на объекты ПАО «РусГидро»;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Приказ Филиала ПАО «РусГидро»-«Жигулевская ГЭС» Об упорядоточении пропускного и внутриобъектового режимов ЖГЭС/82-146 от 13.04.2023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0" w:hanging="363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- Правила внутреннего трудового распорядка предприятия Заказчика, и иные нормативные документы, устанавливающие требования в области охраны труда, промышленной и пожарной безопасности, промышленной санитарии и охраны окружающей среды, действующие на момент оказания услуг.</w:t>
            </w:r>
          </w:p>
        </w:tc>
        <w:tc>
          <w:tcPr>
            <w:tcW w:w="17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составу, коммерческого предложения на оказание  услуг</w:t>
            </w:r>
          </w:p>
        </w:tc>
        <w:tc>
          <w:tcPr>
            <w:tcW w:w="65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 xml:space="preserve">Коммерческое предложение участника должно содержать данные о стоимости основных банкетных  блюд в  полном соответствии с Приложением № 1 к ТТ. </w:t>
            </w:r>
          </w:p>
        </w:tc>
        <w:tc>
          <w:tcPr>
            <w:tcW w:w="17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57" w:leader="none"/>
              </w:tabs>
              <w:suppressAutoHyphens w:val="false"/>
              <w:spacing w:before="0" w:after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При оказании услуг на территории филиала ПАО «РусГидро» - «Жигулевская ГЭС» необходимо соблюдать: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7" w:leader="none"/>
              </w:tabs>
              <w:suppressAutoHyphens w:val="false"/>
              <w:spacing w:before="0" w:after="0"/>
              <w:ind w:firstLine="318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-Правила внутреннего трудового распорядка и требования пропускного и внутриобъектового режимов предприятия Заказчика.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57" w:leader="none"/>
              </w:tabs>
              <w:suppressAutoHyphens w:val="false"/>
              <w:spacing w:before="0" w:after="0"/>
              <w:ind w:firstLine="318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-Требования нормативных документов по охране труда, промышленной и пожарной безопасности.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false"/>
              <w:spacing w:before="60" w:after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  <w:t>Утилизация отходов</w:t>
            </w:r>
          </w:p>
        </w:tc>
        <w:tc>
          <w:tcPr>
            <w:tcW w:w="651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самостоятельно осуществляет хранение и утилизацию пищевых отходов.</w:t>
            </w:r>
          </w:p>
        </w:tc>
        <w:tc>
          <w:tcPr>
            <w:tcW w:w="17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0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Наличие квалифицированного персонала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</w:r>
          </w:p>
        </w:tc>
        <w:tc>
          <w:tcPr>
            <w:tcW w:w="6519" w:type="dxa"/>
            <w:tcBorders/>
          </w:tcPr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 xml:space="preserve">наличие персонала имеющего квалификацию для выполнения указанных услуг; 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профессиональный подход в оформлении и обслуживании протокольных мероприятий на высоком уровне;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поддержание цен на уровне, не превышающем цены на аналогичные услуги и товары, сложившиеся в регионе;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регулярное обновление ассортимента, творческий подход;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своевременность проведения мероприятий и предоставления отчетности;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транспорт, мебель, столовая посуда (полуфарфоровая, фаянсовая) и столовые приборы из нержавеющей стали, другие вспомогательные и сопутствующие материалы для выездных мероприятий предоставляются Исполнителем;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Исполнитель должен обладать гражданской правоспособностью в полном объеме для заключения и исполнения Договора, а также должен быть зарегистрирован в установленном порядке;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eastAsia="Calibri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Исполнитель не должен являться неплатежеспособным или банкротом, находится в процессе ликвидации, на имущество Исполнителя в части, существенной для исполнения договора, не должен быть наложен арест, экономическая деятельность Исполнителя не должна быть приостановлена;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lang w:val="ru-RU" w:eastAsia="ru-RU" w:bidi="ar-SA"/>
              </w:rPr>
              <w:t>Наличие материально-технических ресурсов и производственного оборудования, необходимого для выполнения договора;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 имущество исполнителя в части, существенной для исполнения договора, не должен быть наложен арест, его экономическая деятельность не должна быть приостановлена;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должен обладать гражданской правоспособностью для заключения договора;</w:t>
            </w:r>
          </w:p>
          <w:p>
            <w:pPr>
              <w:pStyle w:val="Style17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746" w:hanging="36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не должен находиться в процессе ликвидации, являться неплатежеспособным, банкротом.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оказания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результату оказания услуг</w:t>
            </w:r>
          </w:p>
        </w:tc>
        <w:tc>
          <w:tcPr>
            <w:tcW w:w="65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1.  Акт приемки-сдачи оказанных услуг.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65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целях неразглашения и обеспечения защиты от несанкционированного доступа третьих лиц к конфиденциальной информации и документам Стороны заключают соглашение о конфиденциальности;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 пересылке файлов не допускается использование открытых файлообменных сервисов.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 период оказания услуги Исполнитель обязуется: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не разглашать, не обсуждать содержание, не предоставлять копий, не публиковать и не раскрывать в какой-либо иной форме третьим лицам конфиденциальную информацию, а именно: сведения о дате, месте и составе предполагаемого мероприятия.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-обеспечить защиту и сохранение конфиденциальности информации, доступ к которой был получен в процессе исполнения Договора, в течение срока действия Договора и в течение 3 (трех) лет после прекращения его действия.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-использовать Информацию исключительно для целей, для которых она была предоставлена.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не вести фото-, видео- и аудиозапись на мероприятиях и на территории предприятия Заказчика.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приемке результата оказания услуг</w:t>
            </w:r>
          </w:p>
        </w:tc>
        <w:tc>
          <w:tcPr>
            <w:tcW w:w="651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Услуги, выполняемые в рамках настоящих ТТ, считаются выполненными после подписания Акт приемки-сдачи оказанных услуг.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92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651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5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Акт приемки-сдачи оказанных услуг в двух экземплярах.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700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b/>
                <w:sz w:val="20"/>
                <w:szCs w:val="20"/>
                <w:lang w:eastAsia="x-none"/>
              </w:rPr>
            </w:r>
          </w:p>
        </w:tc>
        <w:tc>
          <w:tcPr>
            <w:tcW w:w="268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Требования к виду представления отчетной документации</w:t>
            </w:r>
          </w:p>
        </w:tc>
        <w:tc>
          <w:tcPr>
            <w:tcW w:w="65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Документы, указанные в п.2.4.1, представить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на бумажном носителе 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74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sz w:val="20"/>
                <w:szCs w:val="20"/>
                <w:lang w:eastAsia="x-none"/>
              </w:rPr>
            </w:pPr>
            <w:r>
              <w:rPr>
                <w:rFonts w:cs="Times New Roman"/>
                <w:b/>
                <w:kern w:val="0"/>
                <w:sz w:val="20"/>
                <w:szCs w:val="20"/>
                <w:lang w:val="ru-RU" w:eastAsia="x-none" w:bidi="ar-SA"/>
              </w:rPr>
              <w:t>3.</w:t>
            </w:r>
          </w:p>
        </w:tc>
        <w:tc>
          <w:tcPr>
            <w:tcW w:w="26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20"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65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7" w:hanging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4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val="ru-RU" w:eastAsia="x-none" w:bidi="ar-SA"/>
              </w:rPr>
              <w:t>3.1.</w:t>
            </w:r>
          </w:p>
        </w:tc>
        <w:tc>
          <w:tcPr>
            <w:tcW w:w="26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Срок и условия гарантии на результат услуг</w:t>
            </w:r>
          </w:p>
        </w:tc>
        <w:tc>
          <w:tcPr>
            <w:tcW w:w="65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соответствии с условиями договора</w:t>
            </w:r>
          </w:p>
        </w:tc>
        <w:tc>
          <w:tcPr>
            <w:tcW w:w="17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foot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en-US"/>
        </w:rPr>
      </w:pPr>
      <w:bookmarkStart w:id="49" w:name="_Toc152594665"/>
      <w:r>
        <w:rPr>
          <w:sz w:val="24"/>
          <w:szCs w:val="24"/>
        </w:rPr>
        <w:t>Таблица 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График оказания услуг</w:t>
      </w:r>
      <w:bookmarkEnd w:id="49"/>
    </w:p>
    <w:p>
      <w:pPr>
        <w:pStyle w:val="Normal"/>
        <w:jc w:val="center"/>
        <w:rPr>
          <w:highlight w:val="white"/>
          <w:lang w:val="en-US" w:eastAsia="x-none"/>
        </w:rPr>
      </w:pPr>
      <w:r>
        <w:rPr>
          <w:highlight w:val="white"/>
          <w:lang w:val="en-US" w:eastAsia="x-no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7"/>
        <w:gridCol w:w="2555"/>
        <w:gridCol w:w="2978"/>
        <w:gridCol w:w="3260"/>
      </w:tblGrid>
      <w:tr>
        <w:trPr/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  <w:lang w:val="en-US"/>
              </w:rPr>
              <w:t>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Начало </w:t>
            </w:r>
            <w:r>
              <w:rPr>
                <w:sz w:val="20"/>
                <w:szCs w:val="20"/>
                <w:lang w:val="en-US"/>
              </w:rPr>
              <w:t>оказания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Окончание </w:t>
            </w:r>
            <w:r>
              <w:rPr>
                <w:sz w:val="20"/>
                <w:szCs w:val="20"/>
                <w:lang w:val="en-US"/>
              </w:rPr>
              <w:t>оказания услуг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2026 – 2027 г.г.</w:t>
            </w:r>
          </w:p>
        </w:tc>
      </w:tr>
      <w:tr>
        <w:trPr/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Организация питания участников совещаний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 w:val="20"/>
                <w:szCs w:val="20"/>
              </w:rPr>
              <w:t>Не позднее 31.12.</w:t>
            </w:r>
            <w:r>
              <w:rPr>
                <w:rFonts w:eastAsia="Calibri"/>
                <w:sz w:val="20"/>
                <w:szCs w:val="20"/>
                <w:lang w:val="en-US"/>
              </w:rPr>
              <w:t>2027</w:t>
            </w:r>
          </w:p>
        </w:tc>
      </w:tr>
    </w:tbl>
    <w:p>
      <w:pPr>
        <w:pStyle w:val="Normal"/>
        <w:rPr>
          <w:sz w:val="16"/>
          <w:szCs w:val="16"/>
          <w:highlight w:val="white"/>
          <w:lang w:eastAsia="x-none"/>
        </w:rPr>
      </w:pPr>
      <w:r>
        <w:rPr>
          <w:sz w:val="16"/>
          <w:szCs w:val="16"/>
          <w:highlight w:val="white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50" w:name="_Toc54646413"/>
      <w:bookmarkStart w:id="51" w:name="_Toc46743519"/>
      <w:bookmarkStart w:id="52" w:name="_Toc51339699"/>
      <w:bookmarkStart w:id="53" w:name="_Toc152594667"/>
      <w:bookmarkStart w:id="54" w:name="_Toc122080354"/>
      <w:bookmarkEnd w:id="54"/>
      <w:r>
        <w:rPr>
          <w:iCs/>
        </w:rPr>
        <w:t>Приложения</w:t>
      </w:r>
      <w:bookmarkEnd w:id="50"/>
      <w:bookmarkEnd w:id="51"/>
      <w:bookmarkEnd w:id="52"/>
      <w:bookmarkEnd w:id="5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Приложение № 1. Стоимость основных банкетных блюд для составления коммерческого предложения.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Приложение № 2. Положение по пропускному и внутриобъектовому режимам Филиала ПАО «РусГидро» - «Жигулёвская ГЭС».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suppressAutoHyphens w:val="false"/>
        <w:spacing w:lineRule="auto" w:line="276"/>
        <w:rPr>
          <w:b/>
        </w:rPr>
      </w:pPr>
      <w:r>
        <w:rPr/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  <w:t>6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en-US"/>
      </w:rPr>
    </w:pPr>
    <w:r>
      <w:rPr>
        <w:lang w:val="en-US"/>
      </w:rPr>
      <w:t>9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9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basedOn w:val="DefaultParagraphFont"/>
    <w:uiPriority w:val="99"/>
    <w:unhideWhenUsed/>
    <w:rsid w:val="008b351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Blk1" w:customStyle="1">
    <w:name w:val="blk1"/>
    <w:qFormat/>
    <w:rsid w:val="008d7cca"/>
    <w:rPr>
      <w:vanish w:val="fals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745583"/>
    <w:pPr>
      <w:widowControl w:val="false"/>
      <w:numPr>
        <w:ilvl w:val="0"/>
        <w:numId w:val="9"/>
      </w:numPr>
      <w:ind w:left="746" w:hanging="0"/>
      <w:jc w:val="both"/>
    </w:pPr>
    <w:rPr>
      <w:sz w:val="20"/>
      <w:szCs w:val="20"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110" w:customStyle="1">
    <w:name w:val="Текст1"/>
    <w:basedOn w:val="Normal"/>
    <w:qFormat/>
    <w:pPr/>
    <w:rPr>
      <w:rFonts w:ascii="Calibri" w:hAnsi="Calibri" w:eastAsia="Calibri" w:cs="Calibri"/>
      <w:sz w:val="22"/>
      <w:szCs w:val="21"/>
    </w:rPr>
  </w:style>
  <w:style w:type="paragraph" w:styleId="Style34" w:customStyle="1">
    <w:name w:val="Содержимое таблицы"/>
    <w:basedOn w:val="Normal"/>
    <w:uiPriority w:val="99"/>
    <w:qFormat/>
    <w:rsid w:val="00ee7548"/>
    <w:pPr>
      <w:widowControl w:val="false"/>
      <w:suppressLineNumbers/>
      <w:textAlignment w:val="baseline"/>
    </w:pPr>
    <w:rPr>
      <w:rFonts w:eastAsia="Calibri" w:cs="Tahoma"/>
      <w:kern w:val="2"/>
      <w:sz w:val="24"/>
      <w:szCs w:val="24"/>
      <w:lang w:val="de-DE" w:eastAsia="ja-JP" w:bidi="fa-IR"/>
    </w:rPr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6FB7-1A91-4F3C-875F-50AEE5FC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AlterOffice/2025.3.1.0$Linux_X86_64 LibreOffice_project/6648c49ab2ca125dff246c75ec00a85a64baa8dd</Application>
  <AppVersion>15.0000</AppVersion>
  <Pages>10</Pages>
  <Words>1451</Words>
  <Characters>9885</Characters>
  <CharactersWithSpaces>11021</CharactersWithSpaces>
  <Paragraphs>243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2023-12-20T12:58:00Z</dcterms:created>
  <dc:creator>Быстров Олег Геннадьевич</dc:creator>
  <dc:description/>
  <dc:language>ru-RU</dc:language>
  <cp:lastModifiedBy>samsonovaaa@corp.gidroogk.com</cp:lastModifiedBy>
  <cp:lastPrinted>2023-12-18T12:12:00Z</cp:lastPrinted>
  <dcterms:modified xsi:type="dcterms:W3CDTF">2026-08-03T16:19:25Z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