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custom.xml" ContentType="application/vnd.openxmlformats-officedocument.custom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5.xml" ContentType="application/vnd.openxmlformats-officedocument.wordprocessingml.header+xml"/>
  <Override PartName="/word/header1.xml" ContentType="application/vnd.openxmlformats-officedocument.wordprocessingml.header+xml"/>
  <Override PartName="/word/_rels/document.xml.rels" ContentType="application/vnd.openxmlformats-package.relationships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customXml/_rels/item1.xml.rels" ContentType="application/vnd.openxmlformats-package.relationships+xml"/>
  <Override PartName="/customXml/item1.xml" ContentType="application/xml"/>
  <Override PartName="/customXml/itemProps1.xml" ContentType="application/vnd.openxmlformats-officedocument.customXml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keepNext w:val="true"/>
        <w:keepLines/>
        <w:jc w:val="right"/>
        <w:rPr>
          <w:bCs/>
          <w:sz w:val="24"/>
          <w:szCs w:val="24"/>
        </w:rPr>
      </w:pPr>
      <w:r>
        <w:rPr>
          <w:bCs/>
          <w:sz w:val="24"/>
          <w:szCs w:val="24"/>
        </w:rPr>
        <w:t>«УТВЕРЖДАЮ»</w:t>
      </w:r>
    </w:p>
    <w:p>
      <w:pPr>
        <w:pStyle w:val="Normal"/>
        <w:jc w:val="right"/>
        <w:rPr>
          <w:bCs/>
          <w:sz w:val="24"/>
          <w:szCs w:val="24"/>
        </w:rPr>
      </w:pPr>
      <w:r>
        <w:rPr>
          <w:bCs/>
          <w:sz w:val="24"/>
          <w:szCs w:val="24"/>
        </w:rPr>
        <w:t>Главный инженер Якутской ГРЭС</w:t>
      </w:r>
    </w:p>
    <w:p>
      <w:pPr>
        <w:pStyle w:val="Normal"/>
        <w:keepNext w:val="true"/>
        <w:keepLines/>
        <w:jc w:val="right"/>
        <w:rPr>
          <w:bCs/>
          <w:sz w:val="24"/>
          <w:szCs w:val="24"/>
        </w:rPr>
      </w:pPr>
      <w:r>
        <w:rPr>
          <w:bCs/>
          <w:sz w:val="24"/>
          <w:szCs w:val="24"/>
        </w:rPr>
        <w:t>ПАО "Якутскэнерго"</w:t>
      </w:r>
    </w:p>
    <w:p>
      <w:pPr>
        <w:pStyle w:val="Normal"/>
        <w:keepNext w:val="true"/>
        <w:keepLines/>
        <w:jc w:val="right"/>
        <w:rPr>
          <w:bCs/>
          <w:sz w:val="24"/>
          <w:szCs w:val="24"/>
        </w:rPr>
      </w:pPr>
      <w:r>
        <w:rPr>
          <w:bCs/>
          <w:sz w:val="24"/>
          <w:szCs w:val="24"/>
        </w:rPr>
        <w:t>________________ Н.Н. Аммосов</w:t>
      </w:r>
    </w:p>
    <w:p>
      <w:pPr>
        <w:pStyle w:val="Normal"/>
        <w:keepNext w:val="true"/>
        <w:keepLines/>
        <w:jc w:val="right"/>
        <w:rPr>
          <w:bCs/>
          <w:sz w:val="24"/>
          <w:szCs w:val="24"/>
        </w:rPr>
      </w:pPr>
      <w:r>
        <w:rPr>
          <w:bCs/>
          <w:sz w:val="24"/>
          <w:szCs w:val="24"/>
        </w:rPr>
        <w:t>«____»_______________ 2026 г.</w:t>
      </w:r>
    </w:p>
    <w:p>
      <w:pPr>
        <w:pStyle w:val="Normal"/>
        <w:keepNext w:val="true"/>
        <w:keepLines/>
        <w:jc w:val="right"/>
        <w:rPr>
          <w:bCs/>
          <w:sz w:val="24"/>
          <w:szCs w:val="24"/>
        </w:rPr>
      </w:pPr>
      <w:r>
        <w:rPr>
          <w:bCs/>
          <w:sz w:val="24"/>
          <w:szCs w:val="24"/>
        </w:rPr>
      </w:r>
    </w:p>
    <w:p>
      <w:pPr>
        <w:pStyle w:val="Normal"/>
        <w:keepNext w:val="true"/>
        <w:keepLines/>
        <w:jc w:val="center"/>
        <w:rPr>
          <w:rFonts w:eastAsia="Calibri"/>
          <w:b/>
          <w:sz w:val="26"/>
          <w:szCs w:val="26"/>
        </w:rPr>
      </w:pPr>
      <w:r>
        <w:rPr>
          <w:rFonts w:eastAsia="Calibri"/>
          <w:b/>
          <w:sz w:val="26"/>
          <w:szCs w:val="26"/>
        </w:rPr>
      </w:r>
    </w:p>
    <w:p>
      <w:pPr>
        <w:pStyle w:val="Normal"/>
        <w:keepNext w:val="true"/>
        <w:keepLines/>
        <w:jc w:val="center"/>
        <w:rPr>
          <w:rFonts w:eastAsia="Calibri"/>
          <w:b/>
          <w:sz w:val="26"/>
          <w:szCs w:val="26"/>
        </w:rPr>
      </w:pPr>
      <w:r>
        <w:rPr>
          <w:rFonts w:eastAsia="Calibri"/>
          <w:b/>
          <w:sz w:val="26"/>
          <w:szCs w:val="26"/>
        </w:rPr>
      </w:r>
    </w:p>
    <w:p>
      <w:pPr>
        <w:pStyle w:val="Normal"/>
        <w:keepNext w:val="true"/>
        <w:keepLines/>
        <w:jc w:val="center"/>
        <w:rPr>
          <w:rFonts w:eastAsia="Calibri"/>
          <w:b/>
          <w:sz w:val="26"/>
          <w:szCs w:val="26"/>
        </w:rPr>
      </w:pPr>
      <w:r>
        <w:rPr>
          <w:rFonts w:eastAsia="Calibri"/>
          <w:b/>
          <w:sz w:val="26"/>
          <w:szCs w:val="26"/>
        </w:rPr>
      </w:r>
    </w:p>
    <w:p>
      <w:pPr>
        <w:pStyle w:val="Normal"/>
        <w:keepNext w:val="true"/>
        <w:keepLines/>
        <w:jc w:val="center"/>
        <w:rPr>
          <w:rFonts w:eastAsia="Calibri"/>
          <w:b/>
          <w:sz w:val="26"/>
          <w:szCs w:val="26"/>
        </w:rPr>
      </w:pPr>
      <w:r>
        <w:rPr>
          <w:rFonts w:eastAsia="Calibri"/>
          <w:b/>
          <w:sz w:val="26"/>
          <w:szCs w:val="26"/>
        </w:rPr>
      </w:r>
    </w:p>
    <w:p>
      <w:pPr>
        <w:pStyle w:val="Normal"/>
        <w:keepNext w:val="true"/>
        <w:keepLines/>
        <w:jc w:val="center"/>
        <w:rPr>
          <w:rFonts w:eastAsia="Calibri"/>
          <w:b/>
          <w:sz w:val="26"/>
          <w:szCs w:val="26"/>
        </w:rPr>
      </w:pPr>
      <w:r>
        <w:rPr>
          <w:rFonts w:eastAsia="Calibri"/>
          <w:b/>
          <w:sz w:val="26"/>
          <w:szCs w:val="26"/>
        </w:rPr>
      </w:r>
    </w:p>
    <w:p>
      <w:pPr>
        <w:pStyle w:val="Normal"/>
        <w:keepNext w:val="true"/>
        <w:keepLines/>
        <w:jc w:val="center"/>
        <w:rPr>
          <w:rFonts w:eastAsia="Calibri"/>
          <w:b/>
          <w:sz w:val="26"/>
          <w:szCs w:val="26"/>
        </w:rPr>
      </w:pPr>
      <w:r>
        <w:rPr>
          <w:rFonts w:eastAsia="Calibri"/>
          <w:b/>
          <w:sz w:val="26"/>
          <w:szCs w:val="26"/>
        </w:rPr>
      </w:r>
    </w:p>
    <w:p>
      <w:pPr>
        <w:pStyle w:val="Normal"/>
        <w:keepNext w:val="true"/>
        <w:keepLines/>
        <w:jc w:val="center"/>
        <w:rPr>
          <w:rFonts w:eastAsia="Calibri"/>
          <w:b/>
          <w:sz w:val="26"/>
          <w:szCs w:val="26"/>
        </w:rPr>
      </w:pPr>
      <w:r>
        <w:rPr>
          <w:rFonts w:eastAsia="Calibri"/>
          <w:b/>
          <w:sz w:val="26"/>
          <w:szCs w:val="26"/>
        </w:rPr>
      </w:r>
    </w:p>
    <w:p>
      <w:pPr>
        <w:pStyle w:val="Normal"/>
        <w:keepNext w:val="true"/>
        <w:keepLines/>
        <w:jc w:val="center"/>
        <w:rPr>
          <w:rFonts w:eastAsia="Calibri"/>
          <w:b/>
          <w:sz w:val="26"/>
          <w:szCs w:val="26"/>
        </w:rPr>
      </w:pPr>
      <w:r>
        <w:rPr>
          <w:rFonts w:eastAsia="Calibri"/>
          <w:b/>
          <w:sz w:val="26"/>
          <w:szCs w:val="26"/>
        </w:rPr>
      </w:r>
      <w:bookmarkStart w:id="0" w:name="_Toc137554584"/>
      <w:bookmarkStart w:id="1" w:name="_Toc141696704"/>
      <w:bookmarkStart w:id="2" w:name="_Toc139856287"/>
      <w:bookmarkStart w:id="3" w:name="_Toc137554584"/>
      <w:bookmarkStart w:id="4" w:name="_Toc141696704"/>
      <w:bookmarkStart w:id="5" w:name="_Toc139856287"/>
      <w:bookmarkEnd w:id="3"/>
      <w:bookmarkEnd w:id="4"/>
      <w:bookmarkEnd w:id="5"/>
    </w:p>
    <w:p>
      <w:pPr>
        <w:pStyle w:val="Normal"/>
        <w:keepNext w:val="true"/>
        <w:keepLines/>
        <w:jc w:val="right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</w:r>
    </w:p>
    <w:p>
      <w:pPr>
        <w:pStyle w:val="Normal"/>
        <w:keepNext w:val="true"/>
        <w:keepLines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keepNext w:val="true"/>
        <w:keepLines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keepNext w:val="true"/>
        <w:keepLines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keepNext w:val="true"/>
        <w:keepLines/>
        <w:jc w:val="center"/>
        <w:rPr/>
      </w:pPr>
      <w:r>
        <w:rPr>
          <w:rFonts w:eastAsia="Calibri"/>
        </w:rPr>
        <w:t>Технические требования на поставку МТР</w:t>
      </w:r>
    </w:p>
    <w:p>
      <w:pPr>
        <w:pStyle w:val="Normal"/>
        <w:keepNext w:val="true"/>
        <w:keepLines/>
        <w:jc w:val="center"/>
        <w:rPr>
          <w:rFonts w:eastAsia="Calibri"/>
          <w:b/>
        </w:rPr>
      </w:pPr>
      <w:r>
        <w:rPr>
          <w:rFonts w:eastAsia="Calibri"/>
          <w:b/>
        </w:rPr>
      </w:r>
    </w:p>
    <w:p>
      <w:pPr>
        <w:pStyle w:val="Normal"/>
        <w:keepNext w:val="true"/>
        <w:keepLines/>
        <w:jc w:val="center"/>
        <w:rPr/>
      </w:pPr>
      <w:r>
        <w:rPr>
          <w:rStyle w:val="Style7"/>
          <w:b w:val="false"/>
          <w:i w:val="false"/>
          <w:shd w:fill="auto" w:val="clear"/>
        </w:rPr>
        <w:t>ОКПД2 27.12.10.190 «Приобретение шкафа оперативного тока для нужд Якутской ГРЭС-2 в рамках инвестиционного проекта P_111»</w:t>
      </w:r>
    </w:p>
    <w:p>
      <w:pPr>
        <w:pStyle w:val="Normal"/>
        <w:jc w:val="center"/>
        <w:rPr/>
      </w:pPr>
      <w:r>
        <w:rPr/>
      </w:r>
    </w:p>
    <w:p>
      <w:pPr>
        <w:pStyle w:val="Normal"/>
        <w:jc w:val="center"/>
        <w:rPr/>
      </w:pPr>
      <w:r>
        <w:rPr>
          <w:rStyle w:val="Style7"/>
          <w:b w:val="false"/>
          <w:i w:val="false"/>
          <w:shd w:fill="auto" w:val="clear"/>
        </w:rPr>
        <w:t>Лот</w:t>
      </w:r>
      <w:r>
        <w:rPr>
          <w:rStyle w:val="Style7"/>
          <w:i w:val="false"/>
          <w:shd w:fill="auto" w:val="clear"/>
        </w:rPr>
        <w:t xml:space="preserve"> №</w:t>
      </w:r>
    </w:p>
    <w:p>
      <w:pPr>
        <w:pStyle w:val="Normal"/>
        <w:jc w:val="center"/>
        <w:rPr>
          <w:rStyle w:val="Style7"/>
          <w:i w:val="false"/>
          <w:i w:val="false"/>
          <w:shd w:fill="auto" w:val="clear"/>
        </w:rPr>
      </w:pPr>
      <w:r>
        <w:rPr>
          <w:i w:val="false"/>
          <w:shd w:fill="auto" w:val="clear"/>
        </w:rPr>
      </w:r>
    </w:p>
    <w:p>
      <w:pPr>
        <w:pStyle w:val="Normal"/>
        <w:keepNext w:val="true"/>
        <w:keepLines/>
        <w:jc w:val="both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rPr>
          <w:sz w:val="26"/>
          <w:szCs w:val="26"/>
        </w:rPr>
      </w:pPr>
      <w:r>
        <w:rPr>
          <w:sz w:val="26"/>
          <w:szCs w:val="26"/>
        </w:rPr>
      </w:r>
      <w:r>
        <w:br w:type="page"/>
      </w:r>
    </w:p>
    <w:p>
      <w:pPr>
        <w:pStyle w:val="Normal"/>
        <w:shd w:val="clear" w:color="auto" w:fill="FFFFFF"/>
        <w:jc w:val="center"/>
        <w:rPr/>
      </w:pPr>
      <w:r>
        <w:rPr>
          <w:b/>
        </w:rPr>
        <w:t>СОДЕРЖАНИЕ</w:t>
      </w:r>
    </w:p>
    <w:sdt>
      <w:sdtPr>
        <w:docPartObj>
          <w:docPartGallery w:val="Table of Contents"/>
          <w:docPartUnique w:val="true"/>
        </w:docPartObj>
      </w:sdtPr>
      <w:sdtContent>
        <w:p>
          <w:pPr>
            <w:pStyle w:val="TOC1"/>
            <w:tabs>
              <w:tab w:val="clear" w:pos="708"/>
              <w:tab w:val="right" w:pos="10204" w:leader="dot"/>
            </w:tabs>
            <w:rPr/>
          </w:pPr>
          <w:r>
            <w:fldChar w:fldCharType="begin"/>
          </w:r>
          <w:r>
            <w:rPr/>
            <w:instrText xml:space="preserve"> TOC \z \o "1-4" \u \h</w:instrText>
          </w:r>
          <w:r>
            <w:rPr/>
            <w:fldChar w:fldCharType="separate"/>
          </w:r>
          <w:r>
            <w:rPr/>
            <w:t>1. Общие сведения</w:t>
            <w:tab/>
            <w:t>3</w:t>
          </w:r>
        </w:p>
        <w:p>
          <w:pPr>
            <w:pStyle w:val="TOC4"/>
            <w:rPr/>
          </w:pPr>
          <w:r>
            <w:rPr/>
            <w:t>1.1. Обозначения и сокращения</w:t>
            <w:tab/>
            <w:t>3</w:t>
          </w:r>
        </w:p>
        <w:p>
          <w:pPr>
            <w:pStyle w:val="TOC4"/>
            <w:rPr/>
          </w:pPr>
          <w:r>
            <w:rPr/>
            <w:t>1.2. Наименование закупаемой продукции</w:t>
            <w:tab/>
            <w:t>4</w:t>
          </w:r>
        </w:p>
        <w:p>
          <w:pPr>
            <w:pStyle w:val="TOC4"/>
            <w:rPr/>
          </w:pPr>
          <w:r>
            <w:rPr/>
            <w:t>1.3.</w:t>
          </w:r>
          <w:hyperlink w:anchor="__RefHeading___Toc35927_2613968454">
            <w:r>
              <w:rPr>
                <w:webHidden/>
                <w:rStyle w:val="Style12"/>
                <w:vanish w:val="false"/>
              </w:rPr>
              <w:t xml:space="preserve"> Цель использования закупаемой продукции</w:t>
              <w:tab/>
              <w:t>4</w:t>
            </w:r>
          </w:hyperlink>
        </w:p>
        <w:p>
          <w:pPr>
            <w:pStyle w:val="TOC1"/>
            <w:tabs>
              <w:tab w:val="clear" w:pos="708"/>
              <w:tab w:val="right" w:pos="10204" w:leader="dot"/>
            </w:tabs>
            <w:rPr/>
          </w:pPr>
          <w:r>
            <w:rPr/>
            <w:t>2. Требования к продукции</w:t>
            <w:tab/>
          </w:r>
          <w:hyperlink w:anchor="__RefHeading___Toc35929_2613968454">
            <w:r>
              <w:rPr>
                <w:webHidden/>
                <w:rStyle w:val="Style12"/>
                <w:vanish w:val="false"/>
              </w:rPr>
              <w:t>4</w:t>
            </w:r>
          </w:hyperlink>
        </w:p>
        <w:p>
          <w:pPr>
            <w:pStyle w:val="TOC4"/>
            <w:rPr/>
          </w:pPr>
          <w:hyperlink w:anchor="__RefHeading___Toc35931_2613968454">
            <w:r>
              <w:rPr>
                <w:webHidden/>
                <w:rStyle w:val="Style12"/>
                <w:vanish w:val="false"/>
              </w:rPr>
              <w:t>2.1. Требования к объемам и срокам поставки</w:t>
              <w:tab/>
              <w:t>4</w:t>
            </w:r>
          </w:hyperlink>
        </w:p>
        <w:p>
          <w:pPr>
            <w:pStyle w:val="TOC3"/>
            <w:rPr/>
          </w:pPr>
          <w:r>
            <w:rPr/>
            <w:t xml:space="preserve">      </w:t>
          </w:r>
          <w:r>
            <w:rPr/>
            <w:t>2.1.1. Перечень и объем закупаемой продукции</w:t>
            <w:tab/>
            <w:t>4</w:t>
          </w:r>
        </w:p>
        <w:p>
          <w:pPr>
            <w:pStyle w:val="TOC1"/>
            <w:tabs>
              <w:tab w:val="clear" w:pos="708"/>
              <w:tab w:val="right" w:pos="10204" w:leader="dot"/>
            </w:tabs>
            <w:rPr/>
          </w:pPr>
          <w:r>
            <w:rPr/>
            <w:t>Таблица 1.1 Перечень и объем закупаемой продукции</w:t>
            <w:tab/>
          </w:r>
          <w:hyperlink w:anchor="__RefHeading___Toc35935_2613968454">
            <w:r>
              <w:rPr>
                <w:webHidden/>
                <w:rStyle w:val="Style12"/>
                <w:vanish w:val="false"/>
              </w:rPr>
              <w:t>4</w:t>
            </w:r>
          </w:hyperlink>
        </w:p>
        <w:p>
          <w:pPr>
            <w:pStyle w:val="TOC3"/>
            <w:rPr/>
          </w:pPr>
          <w:r>
            <w:rPr/>
            <w:t xml:space="preserve">      </w:t>
          </w:r>
          <w:hyperlink w:anchor="__RefHeading___Toc35937_2613968454">
            <w:r>
              <w:rPr>
                <w:webHidden/>
                <w:rStyle w:val="Style12"/>
                <w:vanish w:val="false"/>
              </w:rPr>
              <w:t>2.1.2. Требования к срокам поставки продукции и оказания сопутствующих услуг</w:t>
              <w:tab/>
              <w:t>4</w:t>
            </w:r>
          </w:hyperlink>
        </w:p>
        <w:p>
          <w:pPr>
            <w:pStyle w:val="TOC1"/>
            <w:tabs>
              <w:tab w:val="clear" w:pos="708"/>
              <w:tab w:val="right" w:pos="10204" w:leader="dot"/>
            </w:tabs>
            <w:rPr/>
          </w:pPr>
          <w:r>
            <w:rPr/>
            <w:t>Таблица 2.1 Требования по срокам поставки продукции</w:t>
            <w:tab/>
          </w:r>
          <w:hyperlink w:anchor="__RefHeading___Toc35939_2613968454">
            <w:r>
              <w:rPr>
                <w:webHidden/>
                <w:rStyle w:val="Style12"/>
                <w:vanish w:val="false"/>
              </w:rPr>
              <w:t>4</w:t>
            </w:r>
          </w:hyperlink>
        </w:p>
        <w:p>
          <w:pPr>
            <w:pStyle w:val="TOC4"/>
            <w:rPr/>
          </w:pPr>
          <w:r>
            <w:rPr/>
            <w:t>2.2. Требования к качеству продукции</w:t>
            <w:tab/>
            <w:t>5</w:t>
          </w:r>
        </w:p>
        <w:p>
          <w:pPr>
            <w:pStyle w:val="TOC1"/>
            <w:tabs>
              <w:tab w:val="clear" w:pos="708"/>
              <w:tab w:val="right" w:pos="10204" w:leader="dot"/>
            </w:tabs>
            <w:rPr/>
          </w:pPr>
          <w:hyperlink w:anchor="__RefHeading___Toc35943_2613968454">
            <w:r>
              <w:rPr>
                <w:webHidden/>
                <w:rStyle w:val="Style12"/>
                <w:vanish w:val="false"/>
              </w:rPr>
              <w:t xml:space="preserve"> </w:t>
            </w:r>
          </w:hyperlink>
          <w:r>
            <w:rPr/>
            <w:t>Таблица 3. Требования к продукции</w:t>
            <w:tab/>
            <w:t>5</w:t>
          </w:r>
        </w:p>
        <w:p>
          <w:pPr>
            <w:pStyle w:val="TOC1"/>
            <w:tabs>
              <w:tab w:val="clear" w:pos="708"/>
              <w:tab w:val="right" w:pos="10204" w:leader="dot"/>
            </w:tabs>
            <w:rPr/>
          </w:pPr>
          <w:r>
            <w:rPr/>
            <w:t>3. Приложения</w:t>
          </w:r>
          <w:hyperlink w:anchor="__RefHeading___Toc35945_2613968454">
            <w:r>
              <w:rPr>
                <w:webHidden/>
                <w:rStyle w:val="Style12"/>
                <w:vanish w:val="false"/>
              </w:rPr>
              <w:tab/>
              <w:t>1</w:t>
            </w:r>
          </w:hyperlink>
          <w:r>
            <w:rPr/>
            <w:t>4</w:t>
          </w:r>
          <w:r>
            <w:rPr/>
            <w:fldChar w:fldCharType="end"/>
          </w:r>
        </w:p>
      </w:sdtContent>
    </w:sdt>
    <w:p>
      <w:pPr>
        <w:pStyle w:val="Heading2"/>
        <w:shd w:fill="FFFFFF" w:val="clear"/>
        <w:tabs>
          <w:tab w:val="clear" w:pos="0"/>
        </w:tabs>
        <w:ind w:left="0" w:hanging="0"/>
        <w:rPr>
          <w:b w:val="false"/>
          <w:i/>
          <w:i/>
        </w:rPr>
      </w:pPr>
      <w:r>
        <w:rPr>
          <w:b w:val="false"/>
          <w:i/>
        </w:rPr>
      </w:r>
    </w:p>
    <w:p>
      <w:pPr>
        <w:pStyle w:val="Normal"/>
        <w:keepNext w:val="true"/>
        <w:keepLines/>
        <w:shd w:val="clear" w:color="auto" w:fill="FFFFFF"/>
        <w:jc w:val="center"/>
        <w:rPr>
          <w:rFonts w:eastAsia="Calibri"/>
          <w:b/>
          <w:i/>
          <w:i/>
          <w:sz w:val="24"/>
          <w:szCs w:val="24"/>
        </w:rPr>
      </w:pPr>
      <w:r>
        <w:rPr>
          <w:rFonts w:eastAsia="Calibri"/>
          <w:b/>
          <w:i/>
          <w:sz w:val="24"/>
          <w:szCs w:val="24"/>
        </w:rPr>
      </w:r>
      <w:r>
        <w:br w:type="page"/>
      </w:r>
    </w:p>
    <w:p>
      <w:pPr>
        <w:pStyle w:val="Heading1"/>
        <w:keepLines/>
        <w:numPr>
          <w:ilvl w:val="0"/>
          <w:numId w:val="3"/>
        </w:numPr>
        <w:ind w:left="357" w:hanging="357"/>
        <w:jc w:val="center"/>
        <w:rPr>
          <w:caps/>
          <w:lang w:val="ru-RU"/>
        </w:rPr>
      </w:pPr>
      <w:bookmarkStart w:id="6" w:name="__RefHeading___Toc35921_2613968454"/>
      <w:bookmarkStart w:id="7" w:name="_Toc75446566"/>
      <w:bookmarkStart w:id="8" w:name="_Toc51339692"/>
      <w:bookmarkEnd w:id="6"/>
      <w:r>
        <w:rPr>
          <w:lang w:val="ru-RU"/>
        </w:rPr>
        <w:t>Общие сведения</w:t>
      </w:r>
      <w:bookmarkEnd w:id="7"/>
      <w:bookmarkEnd w:id="8"/>
    </w:p>
    <w:p>
      <w:pPr>
        <w:pStyle w:val="Heading4"/>
        <w:numPr>
          <w:ilvl w:val="1"/>
          <w:numId w:val="3"/>
        </w:numPr>
        <w:rPr/>
      </w:pPr>
      <w:bookmarkStart w:id="9" w:name="__RefHeading___Toc35923_2613968454"/>
      <w:bookmarkStart w:id="10" w:name="_Toc75446567"/>
      <w:bookmarkStart w:id="11" w:name="_Toc46743505"/>
      <w:bookmarkEnd w:id="9"/>
      <w:r>
        <w:rPr/>
        <w:t>Обозначения и сокращения</w:t>
      </w:r>
      <w:bookmarkEnd w:id="10"/>
      <w:bookmarkEnd w:id="11"/>
    </w:p>
    <w:p>
      <w:pPr>
        <w:pStyle w:val="Normal"/>
        <w:rPr>
          <w:sz w:val="24"/>
          <w:szCs w:val="24"/>
        </w:rPr>
      </w:pPr>
      <w:r>
        <w:rPr>
          <w:sz w:val="24"/>
          <w:szCs w:val="24"/>
        </w:rPr>
        <w:t>ТТ – Техническое требование</w:t>
      </w:r>
    </w:p>
    <w:p>
      <w:pPr>
        <w:pStyle w:val="Normal"/>
        <w:rPr>
          <w:sz w:val="24"/>
          <w:szCs w:val="24"/>
        </w:rPr>
      </w:pPr>
      <w:r>
        <w:rPr>
          <w:sz w:val="24"/>
          <w:szCs w:val="24"/>
        </w:rPr>
        <w:t>ЯГРЭС-2 - Якутская государственная районная электростанция-2</w:t>
      </w:r>
    </w:p>
    <w:p>
      <w:pPr>
        <w:pStyle w:val="Normal"/>
        <w:rPr>
          <w:sz w:val="24"/>
          <w:szCs w:val="24"/>
        </w:rPr>
      </w:pPr>
      <w:r>
        <w:rPr>
          <w:sz w:val="24"/>
          <w:szCs w:val="24"/>
        </w:rPr>
        <w:t>РФ - Российская Федерация</w:t>
      </w:r>
    </w:p>
    <w:p>
      <w:pPr>
        <w:pStyle w:val="Normal"/>
        <w:rPr>
          <w:sz w:val="24"/>
          <w:szCs w:val="24"/>
        </w:rPr>
      </w:pPr>
      <w:r>
        <w:rPr>
          <w:sz w:val="24"/>
          <w:szCs w:val="24"/>
        </w:rPr>
        <w:t>ТУ - Технические условия</w:t>
      </w:r>
    </w:p>
    <w:p>
      <w:pPr>
        <w:pStyle w:val="Normal"/>
        <w:rPr>
          <w:sz w:val="24"/>
          <w:szCs w:val="24"/>
        </w:rPr>
      </w:pPr>
      <w:r>
        <w:rPr>
          <w:sz w:val="24"/>
          <w:szCs w:val="24"/>
        </w:rPr>
        <w:t>ГОСТ - государственный стандарт</w:t>
      </w:r>
    </w:p>
    <w:p>
      <w:pPr>
        <w:pStyle w:val="Normal"/>
        <w:rPr>
          <w:sz w:val="24"/>
          <w:szCs w:val="24"/>
        </w:rPr>
      </w:pPr>
      <w:r>
        <w:rPr>
          <w:sz w:val="24"/>
          <w:szCs w:val="24"/>
        </w:rPr>
        <w:t>РД — Рабочая документация</w:t>
      </w:r>
    </w:p>
    <w:p>
      <w:pPr>
        <w:pStyle w:val="Normal"/>
        <w:rPr>
          <w:sz w:val="24"/>
          <w:szCs w:val="24"/>
        </w:rPr>
      </w:pPr>
      <w:r>
        <w:rPr>
          <w:sz w:val="24"/>
          <w:szCs w:val="24"/>
        </w:rPr>
        <w:t>ПД — Проектная документация</w:t>
      </w:r>
    </w:p>
    <w:p>
      <w:pPr>
        <w:pStyle w:val="Normal"/>
        <w:rPr>
          <w:color w:val="202124"/>
          <w:sz w:val="24"/>
          <w:szCs w:val="24"/>
          <w:shd w:fill="FFFFFF" w:val="clear"/>
        </w:rPr>
      </w:pPr>
      <w:r>
        <w:rPr>
          <w:sz w:val="24"/>
          <w:szCs w:val="24"/>
        </w:rPr>
        <w:t>ЗИП - запасные части, инструменты и</w:t>
      </w:r>
      <w:r>
        <w:rPr>
          <w:color w:val="202124"/>
          <w:sz w:val="24"/>
          <w:szCs w:val="24"/>
          <w:shd w:fill="FFFFFF" w:val="clear"/>
        </w:rPr>
        <w:t xml:space="preserve"> принадлежности</w:t>
      </w:r>
    </w:p>
    <w:p>
      <w:pPr>
        <w:pStyle w:val="Normal"/>
        <w:rPr>
          <w:sz w:val="24"/>
          <w:szCs w:val="24"/>
        </w:rPr>
      </w:pPr>
      <w:r>
        <w:rPr>
          <w:sz w:val="24"/>
          <w:szCs w:val="24"/>
        </w:rPr>
        <w:t>РЭ – руководство по эксплуатации</w:t>
      </w:r>
    </w:p>
    <w:p>
      <w:pPr>
        <w:pStyle w:val="Normal"/>
        <w:rPr>
          <w:sz w:val="24"/>
          <w:szCs w:val="24"/>
        </w:rPr>
      </w:pPr>
      <w:r>
        <w:rPr>
          <w:sz w:val="24"/>
          <w:szCs w:val="24"/>
        </w:rPr>
        <w:t>ТО – техническое обслуживание</w:t>
      </w:r>
    </w:p>
    <w:p>
      <w:pPr>
        <w:pStyle w:val="Normal"/>
        <w:rPr>
          <w:sz w:val="24"/>
          <w:szCs w:val="24"/>
        </w:rPr>
      </w:pPr>
      <w:r>
        <w:rPr>
          <w:sz w:val="24"/>
          <w:szCs w:val="24"/>
        </w:rPr>
        <w:t>СИ – средства измерения</w:t>
      </w:r>
    </w:p>
    <w:p>
      <w:pPr>
        <w:pStyle w:val="Normal"/>
        <w:rPr>
          <w:sz w:val="24"/>
          <w:szCs w:val="24"/>
        </w:rPr>
      </w:pPr>
      <w:r>
        <w:rPr>
          <w:sz w:val="24"/>
        </w:rPr>
        <w:t>РЗА - релейная защита и автоматика</w:t>
      </w:r>
    </w:p>
    <w:p>
      <w:pPr>
        <w:pStyle w:val="Normal"/>
        <w:rPr>
          <w:sz w:val="24"/>
          <w:szCs w:val="24"/>
        </w:rPr>
      </w:pPr>
      <w:r>
        <w:rPr>
          <w:sz w:val="24"/>
          <w:szCs w:val="24"/>
        </w:rPr>
        <w:t>ПА - противоаварийной автоматики</w:t>
      </w:r>
    </w:p>
    <w:p>
      <w:pPr>
        <w:pStyle w:val="Normal"/>
        <w:rPr>
          <w:sz w:val="24"/>
          <w:szCs w:val="24"/>
        </w:rPr>
      </w:pPr>
      <w:r>
        <w:rPr>
          <w:sz w:val="24"/>
          <w:szCs w:val="24"/>
        </w:rPr>
        <w:t>УВ - управляющее воздействие</w:t>
      </w:r>
    </w:p>
    <w:p>
      <w:pPr>
        <w:pStyle w:val="Normal"/>
        <w:rPr>
          <w:sz w:val="24"/>
          <w:szCs w:val="24"/>
        </w:rPr>
      </w:pPr>
      <w:r>
        <w:rPr>
          <w:sz w:val="24"/>
          <w:szCs w:val="24"/>
        </w:rPr>
        <w:t>ШМР — Шеф-монтажные работы</w:t>
      </w:r>
    </w:p>
    <w:p>
      <w:pPr>
        <w:pStyle w:val="Normal"/>
        <w:rPr>
          <w:sz w:val="24"/>
          <w:szCs w:val="24"/>
        </w:rPr>
      </w:pPr>
      <w:r>
        <w:rPr>
          <w:sz w:val="24"/>
          <w:szCs w:val="24"/>
        </w:rPr>
        <w:t>ПНР — Пуско-наладочные работы</w:t>
      </w:r>
    </w:p>
    <w:p>
      <w:pPr>
        <w:pStyle w:val="Normal"/>
        <w:rPr>
          <w:sz w:val="24"/>
          <w:szCs w:val="24"/>
        </w:rPr>
      </w:pPr>
      <w:r>
        <w:rPr>
          <w:sz w:val="24"/>
          <w:szCs w:val="24"/>
        </w:rPr>
        <w:t>ШОТ2 — Шкаф оперативного тока №2</w:t>
      </w:r>
    </w:p>
    <w:p>
      <w:pPr>
        <w:pStyle w:val="Normal"/>
        <w:rPr>
          <w:sz w:val="24"/>
          <w:szCs w:val="24"/>
        </w:rPr>
      </w:pPr>
      <w:r>
        <w:rPr>
          <w:sz w:val="24"/>
          <w:szCs w:val="24"/>
        </w:rPr>
        <w:t>ШАБ2 — Шкаф аккумуляторных батарей №2</w:t>
      </w:r>
    </w:p>
    <w:p>
      <w:pPr>
        <w:pStyle w:val="Normal"/>
        <w:rPr>
          <w:sz w:val="24"/>
          <w:szCs w:val="24"/>
        </w:rPr>
      </w:pPr>
      <w:r>
        <w:rPr>
          <w:sz w:val="24"/>
          <w:szCs w:val="24"/>
        </w:rPr>
        <w:t>ШАВР — Шкаф автоматического включения резерва</w:t>
      </w:r>
    </w:p>
    <w:p>
      <w:pPr>
        <w:pStyle w:val="Normal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rPr>
          <w:sz w:val="24"/>
          <w:szCs w:val="24"/>
        </w:rPr>
      </w:pPr>
      <w:r>
        <w:rPr>
          <w:sz w:val="24"/>
          <w:szCs w:val="24"/>
        </w:rPr>
      </w:r>
      <w:r>
        <w:br w:type="page"/>
      </w:r>
    </w:p>
    <w:p>
      <w:pPr>
        <w:pStyle w:val="Heading4"/>
        <w:numPr>
          <w:ilvl w:val="1"/>
          <w:numId w:val="3"/>
        </w:numPr>
        <w:rPr/>
      </w:pPr>
      <w:bookmarkStart w:id="12" w:name="__RefHeading___Toc35925_2613968454"/>
      <w:bookmarkStart w:id="13" w:name="_Toc46743506"/>
      <w:bookmarkStart w:id="14" w:name="_Toc75446568"/>
      <w:bookmarkEnd w:id="12"/>
      <w:r>
        <w:rPr/>
        <w:t>Наименование закупаемой продукции</w:t>
      </w:r>
      <w:bookmarkEnd w:id="13"/>
      <w:bookmarkEnd w:id="14"/>
    </w:p>
    <w:p>
      <w:pPr>
        <w:pStyle w:val="Normal"/>
        <w:tabs>
          <w:tab w:val="clear" w:pos="708"/>
          <w:tab w:val="left" w:pos="567" w:leader="none"/>
        </w:tabs>
        <w:jc w:val="both"/>
        <w:rPr>
          <w:rStyle w:val="Style7"/>
          <w:b w:val="false"/>
          <w:i w:val="false"/>
          <w:i w:val="false"/>
          <w:sz w:val="24"/>
          <w:shd w:fill="auto" w:val="clear"/>
        </w:rPr>
      </w:pPr>
      <w:bookmarkStart w:id="15" w:name="_Toc75446569"/>
      <w:r>
        <w:rPr>
          <w:rStyle w:val="Style7"/>
          <w:b w:val="false"/>
          <w:i w:val="false"/>
          <w:sz w:val="24"/>
          <w:shd w:fill="auto" w:val="clear"/>
        </w:rPr>
        <w:t>Приобретение шкафов оперативного тока.</w:t>
      </w:r>
    </w:p>
    <w:p>
      <w:pPr>
        <w:pStyle w:val="Normal"/>
        <w:tabs>
          <w:tab w:val="clear" w:pos="708"/>
          <w:tab w:val="left" w:pos="567" w:leader="none"/>
        </w:tabs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</w:r>
    </w:p>
    <w:p>
      <w:pPr>
        <w:pStyle w:val="ListParagraph"/>
        <w:numPr>
          <w:ilvl w:val="1"/>
          <w:numId w:val="3"/>
        </w:numPr>
        <w:tabs>
          <w:tab w:val="clear" w:pos="708"/>
          <w:tab w:val="left" w:pos="567" w:leader="none"/>
        </w:tabs>
        <w:jc w:val="both"/>
        <w:rPr>
          <w:b/>
        </w:rPr>
      </w:pPr>
      <w:bookmarkStart w:id="16" w:name="_Toc46743507"/>
      <w:r>
        <w:rPr>
          <w:b/>
        </w:rPr>
        <w:t xml:space="preserve">Цель </w:t>
      </w:r>
      <w:bookmarkEnd w:id="16"/>
      <w:r>
        <w:rPr>
          <w:b/>
        </w:rPr>
        <w:t xml:space="preserve">использования закупаемой продукции </w:t>
      </w:r>
      <w:bookmarkEnd w:id="15"/>
    </w:p>
    <w:p>
      <w:pPr>
        <w:pStyle w:val="Normal"/>
        <w:widowControl w:val="false"/>
        <w:tabs>
          <w:tab w:val="clear" w:pos="708"/>
          <w:tab w:val="left" w:pos="426" w:leader="none"/>
        </w:tabs>
        <w:spacing w:before="120" w:after="240"/>
        <w:jc w:val="both"/>
        <w:rPr>
          <w:rStyle w:val="Style7"/>
          <w:b w:val="false"/>
          <w:bCs/>
          <w:i w:val="false"/>
          <w:i w:val="false"/>
          <w:sz w:val="24"/>
          <w:szCs w:val="24"/>
        </w:rPr>
      </w:pPr>
      <w:r>
        <w:rPr>
          <w:rStyle w:val="Style7"/>
          <w:b w:val="false"/>
          <w:bCs/>
          <w:i w:val="false"/>
          <w:sz w:val="24"/>
          <w:szCs w:val="24"/>
          <w:shd w:fill="auto" w:val="clear"/>
        </w:rPr>
        <w:t>Приобретение шкафов в рамках реализации инвестиционного проекта P_111. В связи с необходимостью повышения надёжности функционирования технологического оборудования объединённого вспомогательного корпуса, являющегося потребителем оперативного постоянного тока, в нормальных, аварийных и послеаварийных режимах работы. В связи с чем, проектом  предусмотривается реконструкция, с установкой дополнительного шкафа оперативного тока (далее ШОТ2) с организацией схемы резервирования питания существующих нагрузок оперативного постоянного тока между ШОТ1 (существующий) и ШОТ2 (проектируемый)</w:t>
      </w:r>
      <w:r>
        <w:rPr>
          <w:rStyle w:val="Style7"/>
          <w:b w:val="false"/>
          <w:bCs/>
          <w:i w:val="false"/>
          <w:sz w:val="24"/>
          <w:szCs w:val="24"/>
          <w:shd w:fill="auto" w:val="clear"/>
        </w:rPr>
        <w:t xml:space="preserve"> и выводом информации на верхний уровень в существующую телекоммуникационную сеть объекта.</w:t>
      </w:r>
    </w:p>
    <w:p>
      <w:pPr>
        <w:pStyle w:val="Heading1"/>
        <w:keepLines/>
        <w:numPr>
          <w:ilvl w:val="0"/>
          <w:numId w:val="3"/>
        </w:numPr>
        <w:ind w:left="357" w:hanging="357"/>
        <w:jc w:val="center"/>
        <w:rPr>
          <w:iCs/>
          <w:caps/>
          <w:sz w:val="24"/>
          <w:szCs w:val="24"/>
          <w:lang w:val="ru-RU"/>
        </w:rPr>
      </w:pPr>
      <w:bookmarkStart w:id="17" w:name="__RefHeading___Toc35929_2613968454"/>
      <w:bookmarkStart w:id="18" w:name="_Toc75446573"/>
      <w:bookmarkStart w:id="19" w:name="_Toc51339693"/>
      <w:bookmarkEnd w:id="17"/>
      <w:r>
        <w:rPr>
          <w:iCs/>
          <w:sz w:val="24"/>
          <w:szCs w:val="24"/>
        </w:rPr>
        <w:t>Требования к продукции</w:t>
      </w:r>
      <w:bookmarkEnd w:id="18"/>
      <w:bookmarkEnd w:id="19"/>
    </w:p>
    <w:p>
      <w:pPr>
        <w:pStyle w:val="Heading4"/>
        <w:numPr>
          <w:ilvl w:val="1"/>
          <w:numId w:val="3"/>
        </w:numPr>
        <w:rPr/>
      </w:pPr>
      <w:bookmarkStart w:id="20" w:name="__RefHeading___Toc35931_2613968454"/>
      <w:bookmarkStart w:id="21" w:name="_Toc75446574"/>
      <w:bookmarkEnd w:id="20"/>
      <w:r>
        <w:rPr/>
        <w:t xml:space="preserve">Требования к объемам и срокам </w:t>
      </w:r>
      <w:r>
        <w:rPr>
          <w:lang w:val="ru-RU"/>
        </w:rPr>
        <w:t>поставки</w:t>
      </w:r>
      <w:bookmarkEnd w:id="21"/>
    </w:p>
    <w:p>
      <w:pPr>
        <w:pStyle w:val="Heading3"/>
        <w:numPr>
          <w:ilvl w:val="2"/>
          <w:numId w:val="3"/>
        </w:numPr>
        <w:rPr/>
      </w:pPr>
      <w:bookmarkStart w:id="22" w:name="__RefHeading___Toc35933_2613968454"/>
      <w:bookmarkStart w:id="23" w:name="_Toc75446575"/>
      <w:bookmarkEnd w:id="22"/>
      <w:r>
        <w:rPr>
          <w:lang w:val="ru-RU"/>
        </w:rPr>
        <w:t>Перечень и объем закупаемой продукции</w:t>
      </w:r>
      <w:bookmarkEnd w:id="23"/>
    </w:p>
    <w:p>
      <w:pPr>
        <w:pStyle w:val="Heading1"/>
        <w:keepLines/>
        <w:tabs>
          <w:tab w:val="clear" w:pos="0"/>
        </w:tabs>
        <w:spacing w:before="240" w:after="60"/>
        <w:ind w:left="0" w:hanging="0"/>
        <w:rPr>
          <w:sz w:val="24"/>
          <w:szCs w:val="24"/>
          <w:lang w:val="ru-RU"/>
        </w:rPr>
      </w:pPr>
      <w:bookmarkStart w:id="24" w:name="__RefHeading___Toc35935_2613968454"/>
      <w:bookmarkStart w:id="25" w:name="_Toc75446576"/>
      <w:bookmarkStart w:id="26" w:name="_Toc51339695"/>
      <w:bookmarkEnd w:id="24"/>
      <w:r>
        <w:rPr>
          <w:sz w:val="24"/>
          <w:szCs w:val="24"/>
        </w:rPr>
        <w:t xml:space="preserve">Таблица </w:t>
      </w:r>
      <w:r>
        <w:rPr>
          <w:sz w:val="24"/>
          <w:szCs w:val="24"/>
          <w:lang w:val="ru-RU"/>
        </w:rPr>
        <w:t>1.1</w:t>
      </w:r>
      <w:r>
        <w:rPr>
          <w:sz w:val="24"/>
          <w:szCs w:val="24"/>
        </w:rPr>
        <w:t xml:space="preserve"> </w:t>
      </w:r>
      <w:r>
        <w:rPr>
          <w:sz w:val="24"/>
          <w:szCs w:val="24"/>
          <w:lang w:val="ru-RU"/>
        </w:rPr>
        <w:t xml:space="preserve">Перечень </w:t>
      </w:r>
      <w:bookmarkEnd w:id="26"/>
      <w:r>
        <w:rPr>
          <w:sz w:val="24"/>
          <w:szCs w:val="24"/>
          <w:lang w:val="ru-RU"/>
        </w:rPr>
        <w:t>и объем закупаемой продукции</w:t>
      </w:r>
      <w:bookmarkEnd w:id="25"/>
    </w:p>
    <w:tbl>
      <w:tblPr>
        <w:tblW w:w="10348" w:type="dxa"/>
        <w:jc w:val="left"/>
        <w:tblInd w:w="109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000" w:noHBand="0" w:noVBand="0" w:firstColumn="0" w:lastRow="0" w:lastColumn="0" w:firstRow="0"/>
      </w:tblPr>
      <w:tblGrid>
        <w:gridCol w:w="460"/>
        <w:gridCol w:w="3657"/>
        <w:gridCol w:w="985"/>
        <w:gridCol w:w="975"/>
        <w:gridCol w:w="1552"/>
        <w:gridCol w:w="2718"/>
      </w:tblGrid>
      <w:tr>
        <w:trPr/>
        <w:tc>
          <w:tcPr>
            <w:tcW w:w="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keepNext w:val="true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</w:t>
            </w:r>
          </w:p>
          <w:p>
            <w:pPr>
              <w:pStyle w:val="Normal"/>
              <w:keepNext w:val="true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п/п</w:t>
            </w:r>
          </w:p>
        </w:tc>
        <w:tc>
          <w:tcPr>
            <w:tcW w:w="3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keepNext w:val="true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Наименование продукции</w:t>
            </w:r>
          </w:p>
        </w:tc>
        <w:tc>
          <w:tcPr>
            <w:tcW w:w="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keepNext w:val="true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Единица измерения</w:t>
            </w:r>
          </w:p>
        </w:tc>
        <w:tc>
          <w:tcPr>
            <w:tcW w:w="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keepNext w:val="true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Количество</w:t>
            </w:r>
          </w:p>
        </w:tc>
        <w:tc>
          <w:tcPr>
            <w:tcW w:w="1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Код по ОКПД2</w:t>
            </w:r>
          </w:p>
        </w:tc>
        <w:tc>
          <w:tcPr>
            <w:tcW w:w="2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keepNext w:val="true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Применение законодательства о национальном режиме</w:t>
            </w:r>
          </w:p>
        </w:tc>
      </w:tr>
      <w:tr>
        <w:trPr/>
        <w:tc>
          <w:tcPr>
            <w:tcW w:w="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  <w:tc>
          <w:tcPr>
            <w:tcW w:w="3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</w:p>
        </w:tc>
        <w:tc>
          <w:tcPr>
            <w:tcW w:w="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</w:t>
            </w:r>
          </w:p>
        </w:tc>
        <w:tc>
          <w:tcPr>
            <w:tcW w:w="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</w:t>
            </w:r>
          </w:p>
        </w:tc>
        <w:tc>
          <w:tcPr>
            <w:tcW w:w="1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</w:t>
            </w:r>
          </w:p>
        </w:tc>
        <w:tc>
          <w:tcPr>
            <w:tcW w:w="2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6</w:t>
            </w:r>
          </w:p>
        </w:tc>
      </w:tr>
      <w:tr>
        <w:trPr/>
        <w:tc>
          <w:tcPr>
            <w:tcW w:w="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6"/>
              </w:numPr>
              <w:jc w:val="center"/>
              <w:rPr/>
            </w:pPr>
            <w:r>
              <w:rPr/>
            </w:r>
          </w:p>
        </w:tc>
        <w:tc>
          <w:tcPr>
            <w:tcW w:w="365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sz w:val="24"/>
                <w:szCs w:val="24"/>
              </w:rPr>
            </w:pP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Шкаф ШОТ2</w:t>
            </w:r>
          </w:p>
        </w:tc>
        <w:tc>
          <w:tcPr>
            <w:tcW w:w="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шт.</w:t>
            </w:r>
          </w:p>
        </w:tc>
        <w:tc>
          <w:tcPr>
            <w:tcW w:w="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sz w:val="24"/>
                <w:szCs w:val="24"/>
              </w:rPr>
              <w:t>27.12.10.190</w:t>
            </w:r>
          </w:p>
        </w:tc>
        <w:tc>
          <w:tcPr>
            <w:tcW w:w="2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sz w:val="24"/>
                <w:szCs w:val="24"/>
              </w:rPr>
              <w:t>Установлен режим ограничения закупки иностранной продукции</w:t>
            </w:r>
          </w:p>
        </w:tc>
      </w:tr>
      <w:tr>
        <w:trPr/>
        <w:tc>
          <w:tcPr>
            <w:tcW w:w="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6"/>
              </w:numPr>
              <w:jc w:val="center"/>
              <w:rPr/>
            </w:pPr>
            <w:r>
              <w:rPr/>
            </w:r>
          </w:p>
        </w:tc>
        <w:tc>
          <w:tcPr>
            <w:tcW w:w="365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sz w:val="24"/>
                <w:szCs w:val="24"/>
              </w:rPr>
            </w:pP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Шкаф ШАБ2</w:t>
            </w:r>
          </w:p>
        </w:tc>
        <w:tc>
          <w:tcPr>
            <w:tcW w:w="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шт.</w:t>
            </w:r>
          </w:p>
        </w:tc>
        <w:tc>
          <w:tcPr>
            <w:tcW w:w="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sz w:val="24"/>
                <w:szCs w:val="24"/>
              </w:rPr>
              <w:t>27.12.10.190</w:t>
            </w:r>
          </w:p>
        </w:tc>
        <w:tc>
          <w:tcPr>
            <w:tcW w:w="2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sz w:val="24"/>
                <w:szCs w:val="24"/>
              </w:rPr>
              <w:t>Установлен режим ограничения закупки иностранной продукции</w:t>
            </w:r>
          </w:p>
        </w:tc>
      </w:tr>
      <w:tr>
        <w:trPr/>
        <w:tc>
          <w:tcPr>
            <w:tcW w:w="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6"/>
              </w:numPr>
              <w:jc w:val="center"/>
              <w:rPr/>
            </w:pPr>
            <w:r>
              <w:rPr/>
            </w:r>
          </w:p>
        </w:tc>
        <w:tc>
          <w:tcPr>
            <w:tcW w:w="3657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sz w:val="24"/>
                <w:szCs w:val="24"/>
              </w:rPr>
            </w:pP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Шкаф ШАВР</w:t>
            </w:r>
          </w:p>
        </w:tc>
        <w:tc>
          <w:tcPr>
            <w:tcW w:w="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шт.</w:t>
            </w:r>
          </w:p>
        </w:tc>
        <w:tc>
          <w:tcPr>
            <w:tcW w:w="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sz w:val="24"/>
                <w:szCs w:val="24"/>
              </w:rPr>
              <w:t>27.12.10.190</w:t>
            </w:r>
          </w:p>
        </w:tc>
        <w:tc>
          <w:tcPr>
            <w:tcW w:w="2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sz w:val="24"/>
                <w:szCs w:val="24"/>
              </w:rPr>
              <w:t>Установлен режим ограничения закупки иностранной продукции</w:t>
            </w:r>
          </w:p>
        </w:tc>
      </w:tr>
      <w:tr>
        <w:trPr/>
        <w:tc>
          <w:tcPr>
            <w:tcW w:w="4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6"/>
              </w:numPr>
              <w:jc w:val="center"/>
              <w:rPr/>
            </w:pPr>
            <w:r>
              <w:rPr/>
            </w:r>
          </w:p>
        </w:tc>
        <w:tc>
          <w:tcPr>
            <w:tcW w:w="3657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ШМР (Шеф-монтажные работы)</w:t>
            </w:r>
          </w:p>
        </w:tc>
        <w:tc>
          <w:tcPr>
            <w:tcW w:w="98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шт.</w:t>
            </w:r>
          </w:p>
        </w:tc>
        <w:tc>
          <w:tcPr>
            <w:tcW w:w="9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5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33.20</w:t>
            </w:r>
          </w:p>
        </w:tc>
        <w:tc>
          <w:tcPr>
            <w:tcW w:w="271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/>
        <w:tc>
          <w:tcPr>
            <w:tcW w:w="4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6"/>
              </w:numPr>
              <w:jc w:val="center"/>
              <w:rPr/>
            </w:pPr>
            <w:r>
              <w:rPr/>
            </w:r>
          </w:p>
        </w:tc>
        <w:tc>
          <w:tcPr>
            <w:tcW w:w="3657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ПНР (Пуско-наладочные работы)</w:t>
            </w:r>
          </w:p>
        </w:tc>
        <w:tc>
          <w:tcPr>
            <w:tcW w:w="98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шт.</w:t>
            </w:r>
          </w:p>
        </w:tc>
        <w:tc>
          <w:tcPr>
            <w:tcW w:w="9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5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33.20</w:t>
            </w:r>
          </w:p>
        </w:tc>
        <w:tc>
          <w:tcPr>
            <w:tcW w:w="271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</w:tbl>
    <w:p>
      <w:pPr>
        <w:pStyle w:val="Heading3"/>
        <w:numPr>
          <w:ilvl w:val="2"/>
          <w:numId w:val="3"/>
        </w:numPr>
        <w:rPr>
          <w:lang w:val="ru-RU"/>
        </w:rPr>
      </w:pPr>
      <w:bookmarkStart w:id="27" w:name="__RefHeading___Toc35937_2613968454"/>
      <w:bookmarkStart w:id="28" w:name="_Toc75446578"/>
      <w:bookmarkStart w:id="29" w:name="_Toc51339696"/>
      <w:bookmarkEnd w:id="27"/>
      <w:r>
        <w:rPr>
          <w:lang w:val="ru-RU"/>
        </w:rPr>
        <w:t xml:space="preserve">Требования </w:t>
      </w:r>
      <w:bookmarkEnd w:id="29"/>
      <w:r>
        <w:rPr>
          <w:lang w:val="ru-RU"/>
        </w:rPr>
        <w:t>к срокам поставки продукции и оказания сопутствующих услуг</w:t>
      </w:r>
      <w:bookmarkEnd w:id="28"/>
    </w:p>
    <w:p>
      <w:pPr>
        <w:pStyle w:val="Heading1"/>
        <w:keepLines/>
        <w:tabs>
          <w:tab w:val="clear" w:pos="0"/>
        </w:tabs>
        <w:spacing w:before="240" w:after="60"/>
        <w:ind w:left="0" w:hanging="0"/>
        <w:rPr>
          <w:sz w:val="24"/>
          <w:szCs w:val="24"/>
          <w:lang w:val="ru-RU"/>
        </w:rPr>
      </w:pPr>
      <w:bookmarkStart w:id="30" w:name="__RefHeading___Toc35939_2613968454"/>
      <w:bookmarkStart w:id="31" w:name="_Toc75446579"/>
      <w:bookmarkStart w:id="32" w:name="_Toc50125127"/>
      <w:bookmarkStart w:id="33" w:name="_Toc51339697"/>
      <w:bookmarkStart w:id="34" w:name="_Toc50125126"/>
      <w:bookmarkEnd w:id="30"/>
      <w:bookmarkEnd w:id="34"/>
      <w:r>
        <w:rPr>
          <w:sz w:val="24"/>
          <w:szCs w:val="24"/>
        </w:rPr>
        <w:t xml:space="preserve">Таблица </w:t>
      </w:r>
      <w:r>
        <w:rPr>
          <w:sz w:val="24"/>
          <w:szCs w:val="24"/>
          <w:lang w:val="ru-RU"/>
        </w:rPr>
        <w:t>2</w:t>
      </w:r>
      <w:r>
        <w:rPr>
          <w:sz w:val="24"/>
          <w:szCs w:val="24"/>
        </w:rPr>
        <w:t>.</w:t>
      </w:r>
      <w:r>
        <w:rPr>
          <w:sz w:val="24"/>
          <w:szCs w:val="24"/>
          <w:lang w:val="ru-RU"/>
        </w:rPr>
        <w:t>1</w:t>
      </w:r>
      <w:r>
        <w:rPr>
          <w:sz w:val="24"/>
          <w:szCs w:val="24"/>
        </w:rPr>
        <w:t xml:space="preserve"> </w:t>
      </w:r>
      <w:bookmarkStart w:id="35" w:name="_Hlk50465284"/>
      <w:r>
        <w:rPr>
          <w:sz w:val="24"/>
          <w:szCs w:val="24"/>
        </w:rPr>
        <w:t xml:space="preserve">Требования по срокам </w:t>
      </w:r>
      <w:bookmarkEnd w:id="32"/>
      <w:bookmarkEnd w:id="33"/>
      <w:bookmarkEnd w:id="35"/>
      <w:r>
        <w:rPr>
          <w:sz w:val="24"/>
          <w:szCs w:val="24"/>
          <w:lang w:val="ru-RU"/>
        </w:rPr>
        <w:t>поставки продукции</w:t>
      </w:r>
      <w:bookmarkEnd w:id="31"/>
      <w:r>
        <w:rPr>
          <w:sz w:val="24"/>
          <w:szCs w:val="24"/>
          <w:lang w:val="ru-RU"/>
        </w:rPr>
        <w:t xml:space="preserve"> </w:t>
      </w:r>
    </w:p>
    <w:tbl>
      <w:tblPr>
        <w:tblW w:w="10348" w:type="dxa"/>
        <w:jc w:val="left"/>
        <w:tblInd w:w="109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 w:noHBand="0" w:noVBand="1" w:firstColumn="1" w:lastRow="0" w:lastColumn="0" w:firstRow="1"/>
      </w:tblPr>
      <w:tblGrid>
        <w:gridCol w:w="551"/>
        <w:gridCol w:w="6252"/>
        <w:gridCol w:w="1711"/>
        <w:gridCol w:w="1833"/>
      </w:tblGrid>
      <w:tr>
        <w:trPr/>
        <w:tc>
          <w:tcPr>
            <w:tcW w:w="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№ </w:t>
            </w:r>
            <w:r>
              <w:rPr>
                <w:sz w:val="24"/>
                <w:szCs w:val="24"/>
              </w:rPr>
              <w:t>п/п</w:t>
            </w:r>
          </w:p>
        </w:tc>
        <w:tc>
          <w:tcPr>
            <w:tcW w:w="6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Наименование продукции / партии продукции</w:t>
            </w:r>
          </w:p>
        </w:tc>
        <w:tc>
          <w:tcPr>
            <w:tcW w:w="1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Требования к началу срока поставки продукции</w:t>
            </w:r>
          </w:p>
        </w:tc>
        <w:tc>
          <w:tcPr>
            <w:tcW w:w="1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Требования к окончанию срока поставки продукции</w:t>
            </w:r>
          </w:p>
        </w:tc>
      </w:tr>
      <w:tr>
        <w:trPr/>
        <w:tc>
          <w:tcPr>
            <w:tcW w:w="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  <w:tc>
          <w:tcPr>
            <w:tcW w:w="6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</w:p>
        </w:tc>
        <w:tc>
          <w:tcPr>
            <w:tcW w:w="1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28"/>
              <w:keepNext w:val="false"/>
              <w:widowControl w:val="false"/>
              <w:spacing w:before="40" w:after="40"/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</w:t>
            </w:r>
          </w:p>
        </w:tc>
        <w:tc>
          <w:tcPr>
            <w:tcW w:w="1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28"/>
              <w:keepNext w:val="false"/>
              <w:widowControl w:val="false"/>
              <w:spacing w:before="40" w:after="40"/>
              <w:jc w:val="center"/>
              <w:rPr>
                <w:sz w:val="24"/>
                <w:szCs w:val="24"/>
              </w:rPr>
            </w:pPr>
            <w:bookmarkStart w:id="36" w:name="_Toc46743510"/>
            <w:r>
              <w:rPr>
                <w:b/>
                <w:sz w:val="24"/>
                <w:szCs w:val="24"/>
              </w:rPr>
              <w:t>4</w:t>
            </w:r>
            <w:bookmarkEnd w:id="36"/>
          </w:p>
        </w:tc>
      </w:tr>
      <w:tr>
        <w:trPr>
          <w:trHeight w:val="407" w:hRule="atLeast"/>
        </w:trPr>
        <w:tc>
          <w:tcPr>
            <w:tcW w:w="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ListParagraph"/>
              <w:widowControl w:val="false"/>
              <w:numPr>
                <w:ilvl w:val="0"/>
                <w:numId w:val="7"/>
              </w:numPr>
              <w:rPr/>
            </w:pPr>
            <w:r>
              <w:rPr/>
            </w:r>
          </w:p>
        </w:tc>
        <w:tc>
          <w:tcPr>
            <w:tcW w:w="62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sz w:val="24"/>
                <w:szCs w:val="24"/>
              </w:rPr>
            </w:pP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Шкаф ШОТ2</w:t>
            </w:r>
          </w:p>
        </w:tc>
        <w:tc>
          <w:tcPr>
            <w:tcW w:w="1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40" w:after="40"/>
              <w:ind w:right="57" w:hanging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 даты заключения договора</w:t>
            </w:r>
          </w:p>
        </w:tc>
        <w:tc>
          <w:tcPr>
            <w:tcW w:w="1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течение 120 календарных дней</w:t>
            </w:r>
          </w:p>
        </w:tc>
      </w:tr>
      <w:tr>
        <w:trPr>
          <w:trHeight w:val="407" w:hRule="atLeast"/>
        </w:trPr>
        <w:tc>
          <w:tcPr>
            <w:tcW w:w="5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ListParagraph"/>
              <w:widowControl w:val="false"/>
              <w:numPr>
                <w:ilvl w:val="0"/>
                <w:numId w:val="7"/>
              </w:numPr>
              <w:rPr/>
            </w:pPr>
            <w:r>
              <w:rPr/>
            </w:r>
          </w:p>
        </w:tc>
        <w:tc>
          <w:tcPr>
            <w:tcW w:w="62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sz w:val="24"/>
                <w:szCs w:val="24"/>
              </w:rPr>
            </w:pP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Шкаф ШАБ2</w:t>
            </w:r>
          </w:p>
        </w:tc>
        <w:tc>
          <w:tcPr>
            <w:tcW w:w="171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40" w:after="40"/>
              <w:ind w:right="57" w:hanging="0"/>
              <w:jc w:val="center"/>
              <w:rPr>
                <w:sz w:val="24"/>
                <w:szCs w:val="24"/>
              </w:rPr>
            </w:pPr>
            <w:r>
              <w:rPr>
                <w:sz w:val="24"/>
              </w:rPr>
              <w:t>с даты заключения договора</w:t>
            </w:r>
          </w:p>
        </w:tc>
        <w:tc>
          <w:tcPr>
            <w:tcW w:w="183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bookmarkStart w:id="37" w:name="_GoBack"/>
            <w:bookmarkEnd w:id="37"/>
            <w:r>
              <w:rPr>
                <w:sz w:val="24"/>
                <w:szCs w:val="24"/>
              </w:rPr>
              <w:t>В течение 120 календарных дней</w:t>
            </w:r>
          </w:p>
        </w:tc>
      </w:tr>
      <w:tr>
        <w:trPr>
          <w:trHeight w:val="407" w:hRule="atLeast"/>
        </w:trPr>
        <w:tc>
          <w:tcPr>
            <w:tcW w:w="5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ListParagraph"/>
              <w:widowControl w:val="false"/>
              <w:numPr>
                <w:ilvl w:val="0"/>
                <w:numId w:val="7"/>
              </w:numPr>
              <w:rPr/>
            </w:pPr>
            <w:r>
              <w:rPr/>
            </w:r>
          </w:p>
        </w:tc>
        <w:tc>
          <w:tcPr>
            <w:tcW w:w="62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sz w:val="24"/>
                <w:szCs w:val="24"/>
              </w:rPr>
            </w:pP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Шкаф ШАВР</w:t>
            </w:r>
          </w:p>
        </w:tc>
        <w:tc>
          <w:tcPr>
            <w:tcW w:w="171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40" w:after="40"/>
              <w:ind w:right="57" w:hanging="0"/>
              <w:jc w:val="center"/>
              <w:rPr>
                <w:sz w:val="24"/>
                <w:szCs w:val="24"/>
              </w:rPr>
            </w:pPr>
            <w:r>
              <w:rPr>
                <w:sz w:val="24"/>
              </w:rPr>
              <w:t>с даты заключения договора</w:t>
            </w:r>
          </w:p>
        </w:tc>
        <w:tc>
          <w:tcPr>
            <w:tcW w:w="183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течение 120 календарных дней</w:t>
            </w:r>
          </w:p>
        </w:tc>
      </w:tr>
      <w:tr>
        <w:trPr>
          <w:trHeight w:val="407" w:hRule="atLeast"/>
        </w:trPr>
        <w:tc>
          <w:tcPr>
            <w:tcW w:w="5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ListParagraph"/>
              <w:widowControl w:val="false"/>
              <w:numPr>
                <w:ilvl w:val="0"/>
                <w:numId w:val="7"/>
              </w:numPr>
              <w:rPr/>
            </w:pPr>
            <w:r>
              <w:rPr/>
            </w:r>
          </w:p>
        </w:tc>
        <w:tc>
          <w:tcPr>
            <w:tcW w:w="62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ШМР (Шеф-монтажные работы)</w:t>
            </w:r>
          </w:p>
        </w:tc>
        <w:tc>
          <w:tcPr>
            <w:tcW w:w="171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40" w:after="40"/>
              <w:ind w:right="57" w:hanging="0"/>
              <w:jc w:val="center"/>
              <w:rPr>
                <w:sz w:val="24"/>
                <w:szCs w:val="24"/>
              </w:rPr>
            </w:pPr>
            <w:r>
              <w:rPr>
                <w:sz w:val="24"/>
              </w:rPr>
              <w:t>с даты заключения договора</w:t>
            </w:r>
          </w:p>
        </w:tc>
        <w:tc>
          <w:tcPr>
            <w:tcW w:w="183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течение 120 календарных дней</w:t>
            </w:r>
          </w:p>
        </w:tc>
      </w:tr>
      <w:tr>
        <w:trPr>
          <w:trHeight w:val="407" w:hRule="atLeast"/>
        </w:trPr>
        <w:tc>
          <w:tcPr>
            <w:tcW w:w="5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ListParagraph"/>
              <w:widowControl w:val="false"/>
              <w:numPr>
                <w:ilvl w:val="0"/>
                <w:numId w:val="7"/>
              </w:numPr>
              <w:rPr/>
            </w:pPr>
            <w:r>
              <w:rPr/>
            </w:r>
          </w:p>
        </w:tc>
        <w:tc>
          <w:tcPr>
            <w:tcW w:w="62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ПНР (Пуско-наладочные работы)</w:t>
            </w:r>
          </w:p>
        </w:tc>
        <w:tc>
          <w:tcPr>
            <w:tcW w:w="171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40" w:after="40"/>
              <w:ind w:right="57" w:hanging="0"/>
              <w:jc w:val="center"/>
              <w:rPr>
                <w:sz w:val="24"/>
                <w:szCs w:val="24"/>
              </w:rPr>
            </w:pPr>
            <w:r>
              <w:rPr>
                <w:sz w:val="24"/>
              </w:rPr>
              <w:t>с даты заключения договора</w:t>
            </w:r>
          </w:p>
        </w:tc>
        <w:tc>
          <w:tcPr>
            <w:tcW w:w="183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течение 120 календарных дней</w:t>
            </w:r>
          </w:p>
        </w:tc>
      </w:tr>
    </w:tbl>
    <w:p>
      <w:pPr>
        <w:sectPr>
          <w:headerReference w:type="even" r:id="rId2"/>
          <w:headerReference w:type="default" r:id="rId3"/>
          <w:headerReference w:type="first" r:id="rId4"/>
          <w:type w:val="nextPage"/>
          <w:pgSz w:w="11906" w:h="16838"/>
          <w:pgMar w:left="851" w:right="567" w:gutter="0" w:header="680" w:top="851" w:footer="0" w:bottom="851"/>
          <w:pgNumType w:fmt="decimal"/>
          <w:formProt w:val="false"/>
          <w:titlePg/>
          <w:textDirection w:val="lrTb"/>
          <w:docGrid w:type="default" w:linePitch="100" w:charSpace="0"/>
        </w:sectPr>
      </w:pPr>
    </w:p>
    <w:p>
      <w:pPr>
        <w:pStyle w:val="Heading4"/>
        <w:numPr>
          <w:ilvl w:val="1"/>
          <w:numId w:val="3"/>
        </w:numPr>
        <w:rPr/>
      </w:pPr>
      <w:bookmarkStart w:id="38" w:name="__RefHeading___Toc35941_2613968454"/>
      <w:bookmarkStart w:id="39" w:name="_Toc51339698"/>
      <w:bookmarkStart w:id="40" w:name="_Toc75446581"/>
      <w:bookmarkStart w:id="41" w:name="_Toc46743511"/>
      <w:bookmarkEnd w:id="38"/>
      <w:r>
        <w:rPr/>
        <w:t xml:space="preserve">Требования к </w:t>
      </w:r>
      <w:bookmarkEnd w:id="41"/>
      <w:r>
        <w:rPr>
          <w:lang w:val="ru-RU"/>
        </w:rPr>
        <w:t>качеству продукции</w:t>
      </w:r>
      <w:bookmarkEnd w:id="40"/>
    </w:p>
    <w:p>
      <w:pPr>
        <w:pStyle w:val="Heading1"/>
        <w:keepLines/>
        <w:tabs>
          <w:tab w:val="clear" w:pos="0"/>
        </w:tabs>
        <w:spacing w:before="240" w:after="60"/>
        <w:ind w:left="0" w:hanging="0"/>
        <w:rPr>
          <w:sz w:val="24"/>
          <w:szCs w:val="24"/>
        </w:rPr>
      </w:pPr>
      <w:bookmarkStart w:id="42" w:name="__RefHeading___Toc35943_2613968454"/>
      <w:bookmarkEnd w:id="42"/>
      <w:r>
        <w:rPr>
          <w:sz w:val="24"/>
          <w:szCs w:val="24"/>
        </w:rPr>
        <w:t xml:space="preserve"> </w:t>
      </w:r>
      <w:bookmarkStart w:id="43" w:name="_Toc75446582"/>
      <w:r>
        <w:rPr>
          <w:sz w:val="24"/>
          <w:szCs w:val="24"/>
        </w:rPr>
        <w:t>Таблица </w:t>
      </w:r>
      <w:r>
        <w:rPr>
          <w:sz w:val="24"/>
          <w:szCs w:val="24"/>
          <w:lang w:val="ru-RU"/>
        </w:rPr>
        <w:t>3</w:t>
      </w:r>
      <w:r>
        <w:rPr>
          <w:sz w:val="24"/>
          <w:szCs w:val="24"/>
        </w:rPr>
        <w:t xml:space="preserve">. Требования к </w:t>
      </w:r>
      <w:r>
        <w:rPr>
          <w:sz w:val="24"/>
          <w:szCs w:val="24"/>
          <w:lang w:val="ru-RU"/>
        </w:rPr>
        <w:t>продукции</w:t>
      </w:r>
      <w:bookmarkEnd w:id="43"/>
      <w:r>
        <w:rPr>
          <w:sz w:val="24"/>
          <w:szCs w:val="24"/>
        </w:rPr>
        <w:t xml:space="preserve"> </w:t>
      </w:r>
      <w:bookmarkEnd w:id="39"/>
    </w:p>
    <w:p>
      <w:pPr>
        <w:pStyle w:val="Normal"/>
        <w:tabs>
          <w:tab w:val="clear" w:pos="708"/>
          <w:tab w:val="left" w:pos="567" w:leader="none"/>
        </w:tabs>
        <w:jc w:val="both"/>
        <w:rPr>
          <w:rStyle w:val="Style7"/>
          <w:sz w:val="26"/>
          <w:szCs w:val="26"/>
          <w:shd w:fill="auto" w:val="clear"/>
        </w:rPr>
      </w:pPr>
      <w:r>
        <w:rPr>
          <w:b/>
          <w:bCs/>
          <w:i/>
          <w:iCs/>
          <w:sz w:val="24"/>
          <w:szCs w:val="24"/>
        </w:rPr>
        <w:t xml:space="preserve">Наименование продукции (позиция №1 Таблицы 1.1): </w:t>
      </w:r>
      <w:r>
        <w:rPr>
          <w:bCs/>
          <w:iCs/>
          <w:sz w:val="24"/>
          <w:szCs w:val="24"/>
        </w:rPr>
        <w:t>«</w:t>
      </w:r>
      <w:r>
        <w:rPr>
          <w:rStyle w:val="Style7"/>
          <w:sz w:val="24"/>
          <w:shd w:fill="auto" w:val="clear"/>
        </w:rPr>
        <w:t>Приобретение шкафов оперативного тока</w:t>
      </w:r>
      <w:r>
        <w:rPr>
          <w:rStyle w:val="Style7"/>
          <w:sz w:val="26"/>
          <w:szCs w:val="26"/>
          <w:shd w:fill="auto" w:val="clear"/>
        </w:rPr>
        <w:t>».</w:t>
      </w:r>
    </w:p>
    <w:p>
      <w:pPr>
        <w:pStyle w:val="Normal"/>
        <w:jc w:val="center"/>
        <w:rPr>
          <w:b/>
          <w:i/>
          <w:i/>
          <w:sz w:val="24"/>
          <w:szCs w:val="24"/>
        </w:rPr>
      </w:pPr>
      <w:r>
        <w:rPr>
          <w:b/>
          <w:i/>
          <w:sz w:val="24"/>
          <w:szCs w:val="24"/>
        </w:rPr>
      </w:r>
    </w:p>
    <w:tbl>
      <w:tblPr>
        <w:tblW w:w="15451" w:type="dxa"/>
        <w:jc w:val="left"/>
        <w:tblInd w:w="109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000" w:noHBand="0" w:noVBand="0" w:firstColumn="0" w:lastRow="0" w:lastColumn="0" w:firstRow="0"/>
      </w:tblPr>
      <w:tblGrid>
        <w:gridCol w:w="900"/>
        <w:gridCol w:w="1995"/>
        <w:gridCol w:w="5893"/>
        <w:gridCol w:w="1984"/>
        <w:gridCol w:w="2696"/>
        <w:gridCol w:w="1982"/>
      </w:tblGrid>
      <w:tr>
        <w:trPr/>
        <w:tc>
          <w:tcPr>
            <w:tcW w:w="90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 xml:space="preserve">№ </w:t>
            </w:r>
            <w:r>
              <w:rPr>
                <w:b/>
                <w:bCs/>
                <w:sz w:val="24"/>
                <w:szCs w:val="24"/>
              </w:rPr>
              <w:t>п/п</w:t>
            </w:r>
          </w:p>
        </w:tc>
        <w:tc>
          <w:tcPr>
            <w:tcW w:w="199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Наименование параметра</w:t>
            </w:r>
          </w:p>
        </w:tc>
        <w:tc>
          <w:tcPr>
            <w:tcW w:w="58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Требование заказчика*</w:t>
            </w:r>
          </w:p>
        </w:tc>
        <w:tc>
          <w:tcPr>
            <w:tcW w:w="46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Способ подтверждения участником соответствия требованиям</w:t>
            </w:r>
          </w:p>
        </w:tc>
        <w:tc>
          <w:tcPr>
            <w:tcW w:w="198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Предложение участника по характеристикам и параметрам</w:t>
            </w:r>
          </w:p>
        </w:tc>
      </w:tr>
      <w:tr>
        <w:trPr/>
        <w:tc>
          <w:tcPr>
            <w:tcW w:w="90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lang w:val="x-none" w:eastAsia="x-none"/>
              </w:rPr>
            </w:pPr>
            <w:r>
              <w:rPr>
                <w:lang w:val="x-none" w:eastAsia="x-none"/>
              </w:rPr>
            </w:r>
          </w:p>
        </w:tc>
        <w:tc>
          <w:tcPr>
            <w:tcW w:w="199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lang w:val="x-none" w:eastAsia="x-none"/>
              </w:rPr>
            </w:pPr>
            <w:r>
              <w:rPr>
                <w:lang w:val="x-none" w:eastAsia="x-none"/>
              </w:rPr>
            </w:r>
          </w:p>
        </w:tc>
        <w:tc>
          <w:tcPr>
            <w:tcW w:w="589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lang w:val="x-none" w:eastAsia="x-none"/>
              </w:rPr>
            </w:pPr>
            <w:r>
              <w:rPr>
                <w:lang w:val="x-none" w:eastAsia="x-none"/>
              </w:rPr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Согласие с требованием/ указание характеристик</w:t>
            </w:r>
          </w:p>
        </w:tc>
        <w:tc>
          <w:tcPr>
            <w:tcW w:w="2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Предоставление подтверждающего документа или иной способ подтверждения</w:t>
            </w:r>
          </w:p>
        </w:tc>
        <w:tc>
          <w:tcPr>
            <w:tcW w:w="198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lang w:val="x-none" w:eastAsia="x-none"/>
              </w:rPr>
            </w:pPr>
            <w:r>
              <w:rPr>
                <w:lang w:val="x-none" w:eastAsia="x-none"/>
              </w:rPr>
            </w:r>
          </w:p>
        </w:tc>
      </w:tr>
      <w:tr>
        <w:trPr/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60" w:after="6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  <w:tc>
          <w:tcPr>
            <w:tcW w:w="1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</w:p>
        </w:tc>
        <w:tc>
          <w:tcPr>
            <w:tcW w:w="5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</w:t>
            </w:r>
          </w:p>
        </w:tc>
        <w:tc>
          <w:tcPr>
            <w:tcW w:w="2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</w:t>
            </w:r>
          </w:p>
        </w:tc>
        <w:tc>
          <w:tcPr>
            <w:tcW w:w="1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6</w:t>
            </w:r>
          </w:p>
        </w:tc>
      </w:tr>
      <w:tr>
        <w:trPr/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8"/>
              </w:numPr>
              <w:spacing w:before="60" w:after="60"/>
              <w:contextualSpacing/>
              <w:jc w:val="center"/>
              <w:rPr>
                <w:lang w:val="x-none" w:eastAsia="x-none"/>
              </w:rPr>
            </w:pPr>
            <w:r>
              <w:rPr>
                <w:lang w:val="x-none" w:eastAsia="x-none"/>
              </w:rPr>
            </w:r>
          </w:p>
        </w:tc>
        <w:tc>
          <w:tcPr>
            <w:tcW w:w="78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Требования к техническим и функциональным характеристикам (включая гарантируемые показатели)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-//-</w:t>
            </w:r>
          </w:p>
        </w:tc>
        <w:tc>
          <w:tcPr>
            <w:tcW w:w="2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-//-</w:t>
            </w:r>
          </w:p>
        </w:tc>
        <w:tc>
          <w:tcPr>
            <w:tcW w:w="1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-//-</w:t>
            </w:r>
          </w:p>
        </w:tc>
      </w:tr>
      <w:tr>
        <w:trPr/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istParagraph"/>
              <w:widowControl w:val="false"/>
              <w:numPr>
                <w:ilvl w:val="1"/>
                <w:numId w:val="8"/>
              </w:numPr>
              <w:spacing w:before="60" w:after="60"/>
              <w:ind w:left="-117" w:firstLine="142"/>
              <w:contextualSpacing/>
              <w:jc w:val="center"/>
              <w:rPr>
                <w:lang w:val="x-none" w:eastAsia="x-none"/>
              </w:rPr>
            </w:pPr>
            <w:r>
              <w:rPr>
                <w:lang w:val="x-none" w:eastAsia="x-none"/>
              </w:rPr>
            </w:r>
          </w:p>
        </w:tc>
        <w:tc>
          <w:tcPr>
            <w:tcW w:w="78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ind w:left="57" w:hanging="0"/>
              <w:rPr>
                <w:color w:val="000000"/>
                <w:sz w:val="24"/>
                <w:szCs w:val="24"/>
              </w:rPr>
            </w:pPr>
            <w:r>
              <w:rPr>
                <w:sz w:val="24"/>
                <w:szCs w:val="24"/>
              </w:rPr>
              <w:t>Требования к техническим и функциональным характеристикам в отношении каждой позиции продукции представлены в Приложении № 1 к настоящим Техническим требованиям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</w:rPr>
            </w:pPr>
            <w:r>
              <w:rPr>
                <w:rFonts w:eastAsia="Calibri"/>
                <w:bCs/>
                <w:color w:val="000000"/>
                <w:sz w:val="24"/>
                <w:szCs w:val="24"/>
                <w:lang w:eastAsia="en-US"/>
              </w:rPr>
              <w:t>Указание характеристик</w:t>
            </w:r>
          </w:p>
        </w:tc>
        <w:tc>
          <w:tcPr>
            <w:tcW w:w="2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jc w:val="center"/>
              <w:rPr>
                <w:color w:val="000000"/>
              </w:rPr>
            </w:pPr>
            <w:r>
              <w:rPr>
                <w:rFonts w:eastAsia="Calibri"/>
                <w:i/>
                <w:iCs/>
                <w:color w:val="808080" w:themeColor="background1" w:themeShade="80"/>
                <w:sz w:val="20"/>
                <w:szCs w:val="20"/>
                <w:lang w:eastAsia="en-US"/>
              </w:rPr>
              <w:t>-</w:t>
            </w:r>
          </w:p>
        </w:tc>
        <w:tc>
          <w:tcPr>
            <w:tcW w:w="1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/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8"/>
              </w:numPr>
              <w:spacing w:before="60" w:after="60"/>
              <w:contextualSpacing/>
              <w:jc w:val="center"/>
              <w:rPr>
                <w:lang w:val="x-none" w:eastAsia="x-none"/>
              </w:rPr>
            </w:pPr>
            <w:r>
              <w:rPr>
                <w:lang w:val="x-none" w:eastAsia="x-none"/>
              </w:rPr>
            </w:r>
          </w:p>
        </w:tc>
        <w:tc>
          <w:tcPr>
            <w:tcW w:w="78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Требования к доставке, маркировке, упаковке, транспортировке, перемещению, условиям хранения, приемке и испытаниям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-//-</w:t>
            </w:r>
          </w:p>
        </w:tc>
        <w:tc>
          <w:tcPr>
            <w:tcW w:w="2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-//-</w:t>
            </w:r>
          </w:p>
        </w:tc>
        <w:tc>
          <w:tcPr>
            <w:tcW w:w="1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-//-</w:t>
            </w:r>
          </w:p>
        </w:tc>
      </w:tr>
      <w:tr>
        <w:trPr/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istParagraph"/>
              <w:widowControl w:val="false"/>
              <w:numPr>
                <w:ilvl w:val="1"/>
                <w:numId w:val="8"/>
              </w:numPr>
              <w:spacing w:before="60" w:after="60"/>
              <w:ind w:left="-117" w:firstLine="142"/>
              <w:contextualSpacing/>
              <w:jc w:val="center"/>
              <w:rPr>
                <w:lang w:val="x-none" w:eastAsia="x-none"/>
              </w:rPr>
            </w:pPr>
            <w:r>
              <w:rPr>
                <w:lang w:val="x-none" w:eastAsia="x-none"/>
              </w:rPr>
            </w:r>
          </w:p>
        </w:tc>
        <w:tc>
          <w:tcPr>
            <w:tcW w:w="1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Место поставки оборудования</w:t>
            </w:r>
          </w:p>
        </w:tc>
        <w:tc>
          <w:tcPr>
            <w:tcW w:w="5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677015, РФ, Республика Саха (Якутия) г. Якутск, Вилюйский тракт 7 км, д. 2.</w:t>
            </w:r>
          </w:p>
          <w:p>
            <w:pPr>
              <w:pStyle w:val="Normal"/>
              <w:widowControl w:val="false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Грузополучатель: АО Якутская ГРЭС-2</w:t>
            </w:r>
          </w:p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Оборудование должно пройти все, предусмотренные законодательством Российской Федерации (и применимым законодательством других государств), процедуры таможенной очистки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Согласие с требованием</w:t>
            </w:r>
          </w:p>
        </w:tc>
        <w:tc>
          <w:tcPr>
            <w:tcW w:w="2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27"/>
              <w:keepNext w:val="false"/>
              <w:widowControl w:val="false"/>
              <w:numPr>
                <w:ilvl w:val="0"/>
                <w:numId w:val="0"/>
              </w:numPr>
              <w:spacing w:before="0" w:after="60"/>
              <w:ind w:left="0" w:hanging="0"/>
              <w:jc w:val="left"/>
              <w:outlineLvl w:val="2"/>
              <w:rPr>
                <w:rFonts w:eastAsia="Times New Roman"/>
                <w:b w:val="false"/>
                <w:sz w:val="20"/>
                <w:szCs w:val="20"/>
                <w:lang w:val="ru-RU" w:eastAsia="ru-RU"/>
              </w:rPr>
            </w:pPr>
            <w:r>
              <w:rPr>
                <w:rFonts w:eastAsia="Times New Roman"/>
                <w:b w:val="false"/>
                <w:sz w:val="20"/>
                <w:szCs w:val="20"/>
                <w:lang w:val="ru-RU" w:eastAsia="ru-RU"/>
              </w:rPr>
            </w:r>
          </w:p>
        </w:tc>
        <w:tc>
          <w:tcPr>
            <w:tcW w:w="1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lang w:val="x-none" w:eastAsia="x-none"/>
              </w:rPr>
            </w:pPr>
            <w:r>
              <w:rPr>
                <w:lang w:val="x-none" w:eastAsia="x-none"/>
              </w:rPr>
            </w:r>
          </w:p>
        </w:tc>
      </w:tr>
      <w:tr>
        <w:trPr/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istParagraph"/>
              <w:widowControl w:val="false"/>
              <w:numPr>
                <w:ilvl w:val="1"/>
                <w:numId w:val="8"/>
              </w:numPr>
              <w:spacing w:before="60" w:after="60"/>
              <w:ind w:left="-117" w:firstLine="142"/>
              <w:contextualSpacing/>
              <w:jc w:val="center"/>
              <w:rPr>
                <w:lang w:val="x-none" w:eastAsia="x-none"/>
              </w:rPr>
            </w:pPr>
            <w:r>
              <w:rPr>
                <w:lang w:val="x-none" w:eastAsia="x-none"/>
              </w:rPr>
            </w:r>
          </w:p>
        </w:tc>
        <w:tc>
          <w:tcPr>
            <w:tcW w:w="1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Условия транспортирования</w:t>
            </w:r>
          </w:p>
        </w:tc>
        <w:tc>
          <w:tcPr>
            <w:tcW w:w="5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Транспортирование оборудования  в упаковке предприятия-изготовителя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Согласие с требованием</w:t>
            </w:r>
          </w:p>
        </w:tc>
        <w:tc>
          <w:tcPr>
            <w:tcW w:w="2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pacing w:before="60" w:after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pacing w:before="60" w:after="0"/>
              <w:rPr>
                <w:lang w:val="x-none" w:eastAsia="x-none"/>
              </w:rPr>
            </w:pPr>
            <w:r>
              <w:rPr>
                <w:lang w:val="x-none" w:eastAsia="x-none"/>
              </w:rPr>
            </w:r>
          </w:p>
        </w:tc>
      </w:tr>
      <w:tr>
        <w:trPr/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8"/>
              </w:numPr>
              <w:spacing w:before="60" w:after="60"/>
              <w:contextualSpacing/>
              <w:jc w:val="center"/>
              <w:rPr>
                <w:lang w:val="x-none" w:eastAsia="x-none"/>
              </w:rPr>
            </w:pPr>
            <w:r>
              <w:rPr>
                <w:lang w:val="x-none" w:eastAsia="x-none"/>
              </w:rPr>
            </w:r>
          </w:p>
        </w:tc>
        <w:tc>
          <w:tcPr>
            <w:tcW w:w="78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60" w:after="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Требования к гарантиям, гарантийному и послегарантийному обслуживанию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20" w:after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-//-</w:t>
            </w:r>
          </w:p>
        </w:tc>
        <w:tc>
          <w:tcPr>
            <w:tcW w:w="2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20" w:after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-//-</w:t>
            </w:r>
          </w:p>
        </w:tc>
        <w:tc>
          <w:tcPr>
            <w:tcW w:w="1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20" w:after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-//-</w:t>
            </w:r>
          </w:p>
        </w:tc>
      </w:tr>
      <w:tr>
        <w:trPr/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istParagraph"/>
              <w:widowControl w:val="false"/>
              <w:numPr>
                <w:ilvl w:val="1"/>
                <w:numId w:val="8"/>
              </w:numPr>
              <w:spacing w:before="60" w:after="60"/>
              <w:ind w:left="-117" w:firstLine="142"/>
              <w:contextualSpacing/>
              <w:jc w:val="center"/>
              <w:rPr>
                <w:lang w:val="x-none" w:eastAsia="x-none"/>
              </w:rPr>
            </w:pPr>
            <w:r>
              <w:rPr>
                <w:lang w:val="x-none" w:eastAsia="x-none"/>
              </w:rPr>
            </w:r>
          </w:p>
        </w:tc>
        <w:tc>
          <w:tcPr>
            <w:tcW w:w="199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Срок гарантии</w:t>
            </w:r>
          </w:p>
        </w:tc>
        <w:tc>
          <w:tcPr>
            <w:tcW w:w="5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rFonts w:eastAsia="Calibri"/>
                <w:lang w:eastAsia="en-US"/>
              </w:rPr>
            </w:pPr>
            <w:r>
              <w:rPr>
                <w:sz w:val="22"/>
                <w:szCs w:val="22"/>
              </w:rPr>
              <w:t>Гарантийный срок: в течение 36 месяцев с даты поставки на склад Покупателя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Согласие с требованием</w:t>
            </w:r>
          </w:p>
        </w:tc>
        <w:tc>
          <w:tcPr>
            <w:tcW w:w="2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jc w:val="center"/>
              <w:rPr>
                <w:i/>
                <w:i/>
                <w:iCs/>
                <w:color w:val="808080" w:themeColor="background1" w:themeShade="80"/>
                <w:sz w:val="20"/>
                <w:szCs w:val="20"/>
              </w:rPr>
            </w:pPr>
            <w:r>
              <w:rPr>
                <w:i/>
                <w:iCs/>
                <w:color w:val="808080" w:themeColor="background1" w:themeShade="80"/>
                <w:sz w:val="20"/>
                <w:szCs w:val="20"/>
              </w:rPr>
            </w:r>
          </w:p>
        </w:tc>
        <w:tc>
          <w:tcPr>
            <w:tcW w:w="1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27"/>
              <w:keepNext w:val="false"/>
              <w:widowControl w:val="false"/>
              <w:numPr>
                <w:ilvl w:val="0"/>
                <w:numId w:val="0"/>
              </w:numPr>
              <w:spacing w:before="0" w:after="60"/>
              <w:ind w:left="0" w:hanging="0"/>
              <w:jc w:val="left"/>
              <w:outlineLvl w:val="2"/>
              <w:rPr>
                <w:rFonts w:eastAsia="Times New Roman"/>
                <w:b w:val="false"/>
                <w:sz w:val="20"/>
                <w:szCs w:val="20"/>
                <w:lang w:val="ru-RU" w:eastAsia="ru-RU"/>
              </w:rPr>
            </w:pPr>
            <w:r>
              <w:rPr>
                <w:rFonts w:eastAsia="Times New Roman"/>
                <w:b w:val="false"/>
                <w:sz w:val="20"/>
                <w:szCs w:val="20"/>
                <w:lang w:val="ru-RU" w:eastAsia="ru-RU"/>
              </w:rPr>
            </w:r>
          </w:p>
        </w:tc>
      </w:tr>
      <w:tr>
        <w:trPr/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istParagraph"/>
              <w:widowControl w:val="false"/>
              <w:numPr>
                <w:ilvl w:val="1"/>
                <w:numId w:val="8"/>
              </w:numPr>
              <w:spacing w:before="60" w:after="60"/>
              <w:ind w:left="-117" w:firstLine="142"/>
              <w:contextualSpacing/>
              <w:jc w:val="center"/>
              <w:rPr>
                <w:lang w:val="x-none" w:eastAsia="x-none"/>
              </w:rPr>
            </w:pPr>
            <w:r>
              <w:rPr>
                <w:lang w:val="x-none" w:eastAsia="x-none"/>
              </w:rPr>
            </w:r>
          </w:p>
        </w:tc>
        <w:tc>
          <w:tcPr>
            <w:tcW w:w="1995" w:type="dxa"/>
            <w:vMerge w:val="continue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</w:r>
          </w:p>
        </w:tc>
        <w:tc>
          <w:tcPr>
            <w:tcW w:w="5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Гарантия распространяется в полном объеме на поставляемую продукцию.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rFonts w:eastAsia="Calibri"/>
                <w:bCs/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Согласие с требованием</w:t>
            </w:r>
          </w:p>
        </w:tc>
        <w:tc>
          <w:tcPr>
            <w:tcW w:w="2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jc w:val="center"/>
              <w:rPr>
                <w:rFonts w:eastAsia="Calibri"/>
                <w:i/>
                <w:i/>
                <w:iCs/>
                <w:color w:val="808080" w:themeColor="background1" w:themeShade="80"/>
                <w:sz w:val="20"/>
                <w:szCs w:val="20"/>
                <w:lang w:eastAsia="en-US"/>
              </w:rPr>
            </w:pPr>
            <w:r>
              <w:rPr>
                <w:rFonts w:eastAsia="Calibri"/>
                <w:i/>
                <w:iCs/>
                <w:color w:val="808080" w:themeColor="background1" w:themeShade="80"/>
                <w:sz w:val="20"/>
                <w:szCs w:val="20"/>
                <w:lang w:eastAsia="en-US"/>
              </w:rPr>
            </w:r>
          </w:p>
        </w:tc>
        <w:tc>
          <w:tcPr>
            <w:tcW w:w="1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27"/>
              <w:keepNext w:val="false"/>
              <w:widowControl w:val="false"/>
              <w:numPr>
                <w:ilvl w:val="0"/>
                <w:numId w:val="0"/>
              </w:numPr>
              <w:spacing w:before="0" w:after="60"/>
              <w:ind w:left="0" w:hanging="0"/>
              <w:jc w:val="left"/>
              <w:outlineLvl w:val="2"/>
              <w:rPr>
                <w:rFonts w:eastAsia="Times New Roman"/>
                <w:b w:val="false"/>
                <w:sz w:val="20"/>
                <w:szCs w:val="20"/>
                <w:lang w:val="ru-RU" w:eastAsia="ru-RU"/>
              </w:rPr>
            </w:pPr>
            <w:r>
              <w:rPr>
                <w:rFonts w:eastAsia="Times New Roman"/>
                <w:b w:val="false"/>
                <w:sz w:val="20"/>
                <w:szCs w:val="20"/>
                <w:lang w:val="ru-RU" w:eastAsia="ru-RU"/>
              </w:rPr>
            </w:r>
          </w:p>
        </w:tc>
      </w:tr>
      <w:tr>
        <w:trPr/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istParagraph"/>
              <w:widowControl w:val="false"/>
              <w:numPr>
                <w:ilvl w:val="1"/>
                <w:numId w:val="8"/>
              </w:numPr>
              <w:spacing w:before="60" w:after="60"/>
              <w:ind w:left="-117" w:firstLine="142"/>
              <w:contextualSpacing/>
              <w:jc w:val="center"/>
              <w:rPr>
                <w:lang w:val="x-none" w:eastAsia="x-none"/>
              </w:rPr>
            </w:pPr>
            <w:r>
              <w:rPr>
                <w:lang w:val="x-none" w:eastAsia="x-none"/>
              </w:rPr>
            </w:r>
          </w:p>
        </w:tc>
        <w:tc>
          <w:tcPr>
            <w:tcW w:w="1995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</w:r>
          </w:p>
        </w:tc>
        <w:tc>
          <w:tcPr>
            <w:tcW w:w="5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 течение гарантийного срока поставщик обязуется заменить продукцию в случае его несоответствия заявленному качеству.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rFonts w:eastAsia="Calibri"/>
                <w:bCs/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Согласие с требованием</w:t>
            </w:r>
          </w:p>
        </w:tc>
        <w:tc>
          <w:tcPr>
            <w:tcW w:w="2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jc w:val="center"/>
              <w:rPr>
                <w:rFonts w:eastAsia="Calibri"/>
                <w:i/>
                <w:i/>
                <w:iCs/>
                <w:color w:val="808080" w:themeColor="background1" w:themeShade="80"/>
                <w:sz w:val="20"/>
                <w:szCs w:val="20"/>
                <w:lang w:eastAsia="en-US"/>
              </w:rPr>
            </w:pPr>
            <w:r>
              <w:rPr>
                <w:rFonts w:eastAsia="Calibri"/>
                <w:i/>
                <w:iCs/>
                <w:color w:val="808080" w:themeColor="background1" w:themeShade="80"/>
                <w:sz w:val="20"/>
                <w:szCs w:val="20"/>
                <w:lang w:eastAsia="en-US"/>
              </w:rPr>
            </w:r>
          </w:p>
        </w:tc>
        <w:tc>
          <w:tcPr>
            <w:tcW w:w="1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27"/>
              <w:keepNext w:val="false"/>
              <w:widowControl w:val="false"/>
              <w:numPr>
                <w:ilvl w:val="0"/>
                <w:numId w:val="0"/>
              </w:numPr>
              <w:spacing w:before="0" w:after="60"/>
              <w:ind w:left="0" w:hanging="0"/>
              <w:jc w:val="left"/>
              <w:outlineLvl w:val="2"/>
              <w:rPr>
                <w:rFonts w:eastAsia="Times New Roman"/>
                <w:b w:val="false"/>
                <w:sz w:val="20"/>
                <w:szCs w:val="20"/>
                <w:lang w:val="ru-RU" w:eastAsia="ru-RU"/>
              </w:rPr>
            </w:pPr>
            <w:r>
              <w:rPr>
                <w:rFonts w:eastAsia="Times New Roman"/>
                <w:b w:val="false"/>
                <w:sz w:val="20"/>
                <w:szCs w:val="20"/>
                <w:lang w:val="ru-RU" w:eastAsia="ru-RU"/>
              </w:rPr>
            </w:r>
          </w:p>
        </w:tc>
      </w:tr>
      <w:tr>
        <w:trPr/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8"/>
              </w:numPr>
              <w:spacing w:before="60" w:after="60"/>
              <w:contextualSpacing/>
              <w:jc w:val="center"/>
              <w:rPr>
                <w:lang w:val="x-none" w:eastAsia="x-none"/>
              </w:rPr>
            </w:pPr>
            <w:r>
              <w:rPr>
                <w:lang w:val="x-none" w:eastAsia="x-none"/>
              </w:rPr>
            </w:r>
          </w:p>
        </w:tc>
        <w:tc>
          <w:tcPr>
            <w:tcW w:w="78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60" w:after="6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Требования к комплектации и документам, поставляемым вместе с продукцией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60" w:after="6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-//-</w:t>
            </w:r>
          </w:p>
        </w:tc>
        <w:tc>
          <w:tcPr>
            <w:tcW w:w="2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60" w:after="6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-//-</w:t>
            </w:r>
          </w:p>
        </w:tc>
        <w:tc>
          <w:tcPr>
            <w:tcW w:w="1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60" w:after="6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-//-</w:t>
            </w:r>
          </w:p>
        </w:tc>
      </w:tr>
      <w:tr>
        <w:trPr>
          <w:trHeight w:val="164" w:hRule="atLeast"/>
        </w:trPr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istParagraph"/>
              <w:widowControl w:val="false"/>
              <w:numPr>
                <w:ilvl w:val="1"/>
                <w:numId w:val="8"/>
              </w:numPr>
              <w:spacing w:before="60" w:after="60"/>
              <w:ind w:left="-117" w:firstLine="142"/>
              <w:contextualSpacing/>
              <w:jc w:val="center"/>
              <w:rPr>
                <w:lang w:val="x-none" w:eastAsia="x-none"/>
              </w:rPr>
            </w:pPr>
            <w:r>
              <w:rPr>
                <w:lang w:val="x-none" w:eastAsia="x-none"/>
              </w:rPr>
            </w:r>
          </w:p>
        </w:tc>
        <w:tc>
          <w:tcPr>
            <w:tcW w:w="199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Документы, передаваемые вместе с оборудованием</w:t>
            </w:r>
          </w:p>
        </w:tc>
        <w:tc>
          <w:tcPr>
            <w:tcW w:w="5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sz w:val="22"/>
                <w:szCs w:val="22"/>
              </w:rPr>
              <w:t>Поставщик гарантирует обязательное предоставление паспорта качества на каждую поставляемую партию.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Согласие с требованием</w:t>
            </w:r>
          </w:p>
        </w:tc>
        <w:tc>
          <w:tcPr>
            <w:tcW w:w="2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jc w:val="center"/>
              <w:rPr>
                <w:i/>
                <w:i/>
                <w:iCs/>
                <w:color w:val="808080" w:themeColor="background1" w:themeShade="80"/>
                <w:sz w:val="20"/>
                <w:szCs w:val="20"/>
              </w:rPr>
            </w:pPr>
            <w:r>
              <w:rPr>
                <w:i/>
                <w:iCs/>
                <w:color w:val="808080" w:themeColor="background1" w:themeShade="80"/>
                <w:sz w:val="20"/>
                <w:szCs w:val="20"/>
              </w:rPr>
            </w:r>
          </w:p>
        </w:tc>
        <w:tc>
          <w:tcPr>
            <w:tcW w:w="1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>
          <w:trHeight w:val="164" w:hRule="atLeast"/>
        </w:trPr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istParagraph"/>
              <w:widowControl w:val="false"/>
              <w:numPr>
                <w:ilvl w:val="1"/>
                <w:numId w:val="8"/>
              </w:numPr>
              <w:spacing w:before="60" w:after="60"/>
              <w:ind w:left="-117" w:firstLine="142"/>
              <w:contextualSpacing/>
              <w:jc w:val="center"/>
              <w:rPr>
                <w:lang w:val="x-none" w:eastAsia="x-none"/>
              </w:rPr>
            </w:pPr>
            <w:r>
              <w:rPr>
                <w:lang w:val="x-none" w:eastAsia="x-none"/>
              </w:rPr>
            </w:r>
          </w:p>
        </w:tc>
        <w:tc>
          <w:tcPr>
            <w:tcW w:w="1995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</w:r>
          </w:p>
        </w:tc>
        <w:tc>
          <w:tcPr>
            <w:tcW w:w="5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sz w:val="22"/>
                <w:szCs w:val="22"/>
              </w:rPr>
              <w:t>Продукция при поставке должна сопровождаться действующими сертификатами, удостоверениями, техническими паспортами и другими документами, подтверждающими качество товара предприятия-изготовителя продукции, его происхождение и указывающие условия, а также сроки гарантии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eastAsia="Calibri"/>
                <w:bCs/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Согласие с требованием</w:t>
            </w:r>
          </w:p>
        </w:tc>
        <w:tc>
          <w:tcPr>
            <w:tcW w:w="2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jc w:val="center"/>
              <w:rPr>
                <w:rFonts w:eastAsia="Calibri"/>
                <w:i/>
                <w:i/>
                <w:iCs/>
                <w:color w:val="808080" w:themeColor="background1" w:themeShade="80"/>
                <w:sz w:val="20"/>
                <w:szCs w:val="20"/>
                <w:lang w:eastAsia="en-US"/>
              </w:rPr>
            </w:pPr>
            <w:r>
              <w:rPr>
                <w:rFonts w:eastAsia="Calibri"/>
                <w:i/>
                <w:iCs/>
                <w:color w:val="808080" w:themeColor="background1" w:themeShade="80"/>
                <w:sz w:val="20"/>
                <w:szCs w:val="20"/>
                <w:lang w:eastAsia="en-US"/>
              </w:rPr>
            </w:r>
          </w:p>
        </w:tc>
        <w:tc>
          <w:tcPr>
            <w:tcW w:w="1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/>
        <w:tc>
          <w:tcPr>
            <w:tcW w:w="9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istParagraph"/>
              <w:widowControl w:val="false"/>
              <w:spacing w:before="60" w:after="60"/>
              <w:ind w:left="-117" w:hanging="0"/>
              <w:contextualSpacing/>
              <w:jc w:val="center"/>
              <w:rPr>
                <w:lang w:val="x-none" w:eastAsia="x-none"/>
              </w:rPr>
            </w:pPr>
            <w:r>
              <w:rPr>
                <w:lang w:val="x-none" w:eastAsia="x-none"/>
              </w:rPr>
              <w:t>5</w:t>
            </w:r>
          </w:p>
        </w:tc>
        <w:tc>
          <w:tcPr>
            <w:tcW w:w="7888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60" w:after="60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Предоставление информации и документов, подтверждающими страну происхождения товара для целей исполнения Постановления Правительства РФ от 23.12.2024 №1875</w:t>
            </w:r>
          </w:p>
        </w:tc>
        <w:tc>
          <w:tcPr>
            <w:tcW w:w="198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60" w:after="6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</w:rPr>
              <w:t>-//-</w:t>
            </w:r>
          </w:p>
        </w:tc>
        <w:tc>
          <w:tcPr>
            <w:tcW w:w="269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60" w:after="6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-//-</w:t>
            </w:r>
          </w:p>
        </w:tc>
        <w:tc>
          <w:tcPr>
            <w:tcW w:w="198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60" w:after="6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</w:rPr>
              <w:t>-//-</w:t>
            </w:r>
          </w:p>
        </w:tc>
      </w:tr>
      <w:tr>
        <w:trPr/>
        <w:tc>
          <w:tcPr>
            <w:tcW w:w="9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istParagraph"/>
              <w:widowControl w:val="false"/>
              <w:spacing w:before="60" w:after="60"/>
              <w:ind w:left="-117" w:hanging="0"/>
              <w:contextualSpacing/>
              <w:jc w:val="center"/>
              <w:rPr>
                <w:lang w:val="x-none" w:eastAsia="x-none"/>
              </w:rPr>
            </w:pPr>
            <w:r>
              <w:rPr>
                <w:lang w:val="x-none" w:eastAsia="x-none"/>
              </w:rPr>
              <w:t>5.1</w:t>
            </w:r>
          </w:p>
        </w:tc>
        <w:tc>
          <w:tcPr>
            <w:tcW w:w="7888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/>
            </w:pPr>
            <w:r>
              <w:rPr>
                <w:rFonts w:eastAsia="Calibri"/>
                <w:sz w:val="24"/>
                <w:szCs w:val="24"/>
                <w:lang w:eastAsia="en-US"/>
              </w:rPr>
              <w:t>Документы и информацию, подтверждающие страну происхождения товара в соответствии с требованиями Постановления Правительства Российской Федерации от 23 декабря 2024 г. N 1875 “О мерах по предоставлению национального режима при осуществлении закупок товаров, работ, услуг для обеспечения государственных и муниципальных нужд, закупок товаров, работ, услуг отдельными видами юридических лиц”.</w:t>
            </w:r>
          </w:p>
        </w:tc>
        <w:tc>
          <w:tcPr>
            <w:tcW w:w="198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Указание наименования реестра и номер реестровой записи в Форме Коммерческого предложения и Структуры НМЦ</w:t>
            </w:r>
          </w:p>
        </w:tc>
        <w:tc>
          <w:tcPr>
            <w:tcW w:w="269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eastAsia="en-US"/>
              </w:rPr>
              <w:t>Требуется в составе заявки представить заполненную Форму Коммерческого предложения и Структуры НМЦ в части столбцов раздела «Коммерческое предложение».</w:t>
            </w:r>
          </w:p>
        </w:tc>
        <w:tc>
          <w:tcPr>
            <w:tcW w:w="198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60" w:after="6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</w:rPr>
              <w:t>-//-</w:t>
            </w:r>
          </w:p>
        </w:tc>
      </w:tr>
      <w:tr>
        <w:trPr/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60" w:after="60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x-none" w:eastAsia="x-none"/>
              </w:rPr>
              <w:t>6</w:t>
            </w:r>
          </w:p>
        </w:tc>
        <w:tc>
          <w:tcPr>
            <w:tcW w:w="78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60" w:after="6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Прочие (дополнительные) требования к продукции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60" w:after="6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-//-</w:t>
            </w:r>
          </w:p>
        </w:tc>
        <w:tc>
          <w:tcPr>
            <w:tcW w:w="2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60" w:after="6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-//-</w:t>
            </w:r>
          </w:p>
        </w:tc>
        <w:tc>
          <w:tcPr>
            <w:tcW w:w="1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60" w:after="6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-//-</w:t>
            </w:r>
          </w:p>
        </w:tc>
      </w:tr>
      <w:tr>
        <w:trPr/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istParagraph"/>
              <w:widowControl w:val="false"/>
              <w:spacing w:before="60" w:after="60"/>
              <w:ind w:left="-117" w:hanging="0"/>
              <w:contextualSpacing/>
              <w:jc w:val="center"/>
              <w:rPr>
                <w:lang w:eastAsia="x-none"/>
              </w:rPr>
            </w:pPr>
            <w:r>
              <w:rPr>
                <w:lang w:val="x-none" w:eastAsia="x-none"/>
              </w:rPr>
              <w:t>6.</w:t>
            </w:r>
            <w:r>
              <w:rPr>
                <w:lang w:eastAsia="x-none"/>
              </w:rPr>
              <w:t>1</w:t>
            </w:r>
          </w:p>
        </w:tc>
        <w:tc>
          <w:tcPr>
            <w:tcW w:w="1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/>
                <w:color w:val="000000"/>
                <w:kern w:val="0"/>
                <w:sz w:val="24"/>
                <w:szCs w:val="24"/>
                <w:lang w:val="ru-RU" w:eastAsia="en-US" w:bidi="ar-SA"/>
              </w:rPr>
              <w:t>Требования к оборудованию</w:t>
            </w:r>
          </w:p>
        </w:tc>
        <w:tc>
          <w:tcPr>
            <w:tcW w:w="5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  <w:tab w:val="left" w:pos="1031" w:leader="none"/>
              </w:tabs>
              <w:rPr>
                <w:lang w:val="x-none" w:eastAsia="x-none"/>
              </w:rPr>
            </w:pPr>
            <w:r>
              <w:rPr>
                <w:sz w:val="24"/>
                <w:szCs w:val="24"/>
              </w:rPr>
              <w:t>Оборудование должно быть новым, ранее не используемым изготовленным, период изготовления: не ранее 2026 года выпуска, и соответствовать настоящим техническим требованиям.</w:t>
            </w:r>
          </w:p>
          <w:p>
            <w:pPr>
              <w:pStyle w:val="Normal"/>
              <w:widowControl w:val="false"/>
              <w:tabs>
                <w:tab w:val="clear" w:pos="708"/>
                <w:tab w:val="left" w:pos="1031" w:leader="none"/>
              </w:tabs>
              <w:rPr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Под новым следует понимать</w:t>
            </w:r>
            <w:r>
              <w:rPr>
                <w:b/>
                <w:bCs/>
                <w:sz w:val="24"/>
                <w:szCs w:val="24"/>
              </w:rPr>
              <w:t xml:space="preserve"> </w:t>
            </w:r>
            <w:r>
              <w:rPr>
                <w:bCs/>
                <w:sz w:val="24"/>
                <w:szCs w:val="24"/>
              </w:rPr>
              <w:t>оборудование</w:t>
            </w:r>
            <w:r>
              <w:rPr>
                <w:sz w:val="24"/>
                <w:szCs w:val="24"/>
              </w:rPr>
              <w:t>, которое не было в употреблении, не проходило ремонт, в том числе восстановление, замену составных частей, восстановление потребительских свойств.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Согласие с требованием</w:t>
            </w:r>
          </w:p>
        </w:tc>
        <w:tc>
          <w:tcPr>
            <w:tcW w:w="2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/>
        <w:tc>
          <w:tcPr>
            <w:tcW w:w="9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istParagraph"/>
              <w:widowControl w:val="false"/>
              <w:spacing w:before="60" w:after="60"/>
              <w:ind w:left="-117" w:hanging="0"/>
              <w:contextualSpacing/>
              <w:jc w:val="center"/>
              <w:rPr>
                <w:lang w:eastAsia="x-none"/>
              </w:rPr>
            </w:pPr>
            <w:r>
              <w:rPr>
                <w:lang w:eastAsia="x-none"/>
              </w:rPr>
              <w:t>6.2</w:t>
            </w:r>
          </w:p>
        </w:tc>
        <w:tc>
          <w:tcPr>
            <w:tcW w:w="199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/>
                <w:color w:val="000000"/>
                <w:kern w:val="0"/>
                <w:sz w:val="24"/>
                <w:szCs w:val="24"/>
                <w:lang w:val="ru-RU" w:eastAsia="en-US" w:bidi="ar-SA"/>
              </w:rPr>
              <w:t>Общие требования к  характеристикам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/>
                <w:color w:val="000000"/>
                <w:kern w:val="0"/>
                <w:sz w:val="24"/>
                <w:szCs w:val="24"/>
                <w:lang w:val="ru-RU" w:eastAsia="en-US" w:bidi="ar-SA"/>
              </w:rPr>
              <w:t>систем шкафов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/>
                <w:color w:val="000000"/>
                <w:kern w:val="0"/>
                <w:sz w:val="24"/>
                <w:szCs w:val="24"/>
                <w:lang w:val="ru-RU" w:eastAsia="en-US" w:bidi="ar-SA"/>
              </w:rPr>
              <w:t>поз. ШОТ2, ШАБ2,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/>
                <w:color w:val="000000"/>
                <w:kern w:val="0"/>
                <w:sz w:val="24"/>
                <w:szCs w:val="24"/>
                <w:lang w:val="ru-RU" w:eastAsia="en-US" w:bidi="ar-SA"/>
              </w:rPr>
              <w:t>ШАВР</w:t>
            </w:r>
          </w:p>
        </w:tc>
        <w:tc>
          <w:tcPr>
            <w:tcW w:w="58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  <w:tab w:val="left" w:pos="1031" w:leader="none"/>
              </w:tabs>
              <w:rPr>
                <w:lang w:val="x-none" w:eastAsia="x-none"/>
              </w:rPr>
            </w:pPr>
            <w:r>
              <w:rPr>
                <w:sz w:val="24"/>
                <w:szCs w:val="24"/>
              </w:rPr>
              <w:t>1. Требуемые габариты системы (ВхШхГ) - Не более 2200х2400х800 мм.;</w:t>
            </w:r>
          </w:p>
          <w:p>
            <w:pPr>
              <w:pStyle w:val="Normal"/>
              <w:widowControl w:val="false"/>
              <w:tabs>
                <w:tab w:val="clear" w:pos="708"/>
                <w:tab w:val="left" w:pos="1031" w:leader="none"/>
              </w:tabs>
              <w:rPr/>
            </w:pPr>
            <w:r>
              <w:rPr>
                <w:sz w:val="24"/>
                <w:szCs w:val="24"/>
              </w:rPr>
              <w:t>2. Напряжение на входе/выходе системы</w:t>
            </w:r>
          </w:p>
          <w:p>
            <w:pPr>
              <w:pStyle w:val="Normal"/>
              <w:widowControl w:val="false"/>
              <w:tabs>
                <w:tab w:val="clear" w:pos="708"/>
                <w:tab w:val="left" w:pos="1031" w:leader="none"/>
              </w:tabs>
              <w:rPr>
                <w:lang w:val="x-none" w:eastAsia="x-none"/>
              </w:rPr>
            </w:pPr>
            <w:r>
              <w:rPr>
                <w:sz w:val="24"/>
                <w:szCs w:val="24"/>
              </w:rPr>
              <w:t>ШОТ2(ШАБ2)-ШАВР -  2 х 380В AC (АВР) / 220В DC;</w:t>
            </w:r>
          </w:p>
          <w:p>
            <w:pPr>
              <w:pStyle w:val="Normal"/>
              <w:widowControl w:val="false"/>
              <w:tabs>
                <w:tab w:val="clear" w:pos="708"/>
                <w:tab w:val="left" w:pos="1031" w:leader="none"/>
              </w:tabs>
              <w:rPr/>
            </w:pPr>
            <w:r>
              <w:rPr>
                <w:sz w:val="24"/>
                <w:szCs w:val="24"/>
              </w:rPr>
              <w:t>3. Номинальный выходной ток 220В DC</w:t>
            </w:r>
          </w:p>
          <w:p>
            <w:pPr>
              <w:pStyle w:val="Normal"/>
              <w:widowControl w:val="false"/>
              <w:tabs>
                <w:tab w:val="clear" w:pos="708"/>
                <w:tab w:val="left" w:pos="1031" w:leader="none"/>
              </w:tabs>
              <w:rPr>
                <w:lang w:val="x-none" w:eastAsia="x-none"/>
              </w:rPr>
            </w:pPr>
            <w:r>
              <w:rPr>
                <w:sz w:val="24"/>
                <w:szCs w:val="24"/>
              </w:rPr>
              <w:t>системы на нагрузку - 50 А;</w:t>
            </w:r>
          </w:p>
          <w:p>
            <w:pPr>
              <w:pStyle w:val="Normal"/>
              <w:widowControl w:val="false"/>
              <w:tabs>
                <w:tab w:val="clear" w:pos="708"/>
                <w:tab w:val="left" w:pos="1031" w:leader="none"/>
              </w:tabs>
              <w:rPr>
                <w:lang w:val="x-none" w:eastAsia="x-none"/>
              </w:rPr>
            </w:pPr>
            <w:r>
              <w:rPr>
                <w:sz w:val="24"/>
                <w:szCs w:val="24"/>
              </w:rPr>
              <w:t>4. КПД системы ШОТ2(ШАБ2)-ШАВР не менее - ≥90%;</w:t>
            </w:r>
          </w:p>
          <w:p>
            <w:pPr>
              <w:pStyle w:val="Normal"/>
              <w:widowControl w:val="false"/>
              <w:tabs>
                <w:tab w:val="clear" w:pos="708"/>
                <w:tab w:val="left" w:pos="1031" w:leader="none"/>
              </w:tabs>
              <w:rPr>
                <w:lang w:val="x-none" w:eastAsia="x-none"/>
              </w:rPr>
            </w:pPr>
            <w:r>
              <w:rPr>
                <w:sz w:val="24"/>
                <w:szCs w:val="24"/>
              </w:rPr>
              <w:t>5. Встроенная система управления ШОТ2, с подсистемой климата - Наличие функции;</w:t>
            </w:r>
          </w:p>
          <w:p>
            <w:pPr>
              <w:pStyle w:val="Normal"/>
              <w:widowControl w:val="false"/>
              <w:tabs>
                <w:tab w:val="clear" w:pos="708"/>
                <w:tab w:val="left" w:pos="1031" w:leader="none"/>
              </w:tabs>
              <w:rPr>
                <w:lang w:val="x-none" w:eastAsia="x-none"/>
              </w:rPr>
            </w:pPr>
            <w:r>
              <w:rPr>
                <w:sz w:val="24"/>
                <w:szCs w:val="24"/>
              </w:rPr>
              <w:t>6. Встроенная система сбора информации состояния системы шкафов ШОТ2(ШАБ2)-ШАВР - Наличие функции;</w:t>
            </w:r>
          </w:p>
          <w:p>
            <w:pPr>
              <w:pStyle w:val="Normal"/>
              <w:widowControl w:val="false"/>
              <w:tabs>
                <w:tab w:val="clear" w:pos="708"/>
                <w:tab w:val="left" w:pos="1031" w:leader="none"/>
              </w:tabs>
              <w:rPr>
                <w:lang w:val="x-none" w:eastAsia="x-none"/>
              </w:rPr>
            </w:pPr>
            <w:r>
              <w:rPr>
                <w:sz w:val="24"/>
                <w:szCs w:val="24"/>
              </w:rPr>
              <w:t>7. Встроенная система поэлементного контроля АКБ - Наличие функции;</w:t>
            </w:r>
          </w:p>
          <w:p>
            <w:pPr>
              <w:pStyle w:val="Normal"/>
              <w:widowControl w:val="false"/>
              <w:tabs>
                <w:tab w:val="clear" w:pos="708"/>
                <w:tab w:val="left" w:pos="1031" w:leader="none"/>
              </w:tabs>
              <w:rPr>
                <w:lang w:val="x-none" w:eastAsia="x-none"/>
              </w:rPr>
            </w:pPr>
            <w:r>
              <w:rPr>
                <w:sz w:val="24"/>
                <w:szCs w:val="24"/>
              </w:rPr>
              <w:t>8. Интерфейсные порты для передачи информации на верхний уровень - Ethernet (МЭК 60870-5-104) Контроллер в ШОТ2 (головное устройство);</w:t>
            </w:r>
          </w:p>
          <w:p>
            <w:pPr>
              <w:pStyle w:val="Normal"/>
              <w:widowControl w:val="false"/>
              <w:tabs>
                <w:tab w:val="clear" w:pos="708"/>
                <w:tab w:val="left" w:pos="1031" w:leader="none"/>
              </w:tabs>
              <w:rPr>
                <w:lang w:val="x-none" w:eastAsia="x-none"/>
              </w:rPr>
            </w:pPr>
            <w:r>
              <w:rPr>
                <w:sz w:val="24"/>
                <w:szCs w:val="24"/>
              </w:rPr>
              <w:t>9. Температура эксплуатации - 5°C ~ 40°C;</w:t>
            </w:r>
          </w:p>
          <w:p>
            <w:pPr>
              <w:pStyle w:val="Normal"/>
              <w:widowControl w:val="false"/>
              <w:tabs>
                <w:tab w:val="clear" w:pos="708"/>
                <w:tab w:val="left" w:pos="1031" w:leader="none"/>
              </w:tabs>
              <w:rPr>
                <w:lang w:val="x-none" w:eastAsia="x-none"/>
              </w:rPr>
            </w:pPr>
            <w:r>
              <w:rPr>
                <w:sz w:val="24"/>
                <w:szCs w:val="24"/>
              </w:rPr>
              <w:t>10. Относительная влажность при эксплуатации - 0 ~ 60 %;</w:t>
            </w:r>
          </w:p>
          <w:p>
            <w:pPr>
              <w:pStyle w:val="Normal"/>
              <w:widowControl w:val="false"/>
              <w:tabs>
                <w:tab w:val="clear" w:pos="708"/>
                <w:tab w:val="left" w:pos="1031" w:leader="none"/>
              </w:tabs>
              <w:rPr>
                <w:lang w:val="x-none" w:eastAsia="x-none"/>
              </w:rPr>
            </w:pPr>
            <w:r>
              <w:rPr>
                <w:sz w:val="24"/>
                <w:szCs w:val="24"/>
              </w:rPr>
              <w:t>11. Высота над уровнем моря - 0 ~ 1000 метров – 100% нагрузки;</w:t>
            </w:r>
          </w:p>
          <w:p>
            <w:pPr>
              <w:pStyle w:val="Normal"/>
              <w:widowControl w:val="false"/>
              <w:tabs>
                <w:tab w:val="clear" w:pos="708"/>
                <w:tab w:val="left" w:pos="1031" w:leader="none"/>
              </w:tabs>
              <w:rPr>
                <w:lang w:val="x-none" w:eastAsia="x-none"/>
              </w:rPr>
            </w:pPr>
            <w:r>
              <w:rPr>
                <w:sz w:val="24"/>
                <w:szCs w:val="24"/>
              </w:rPr>
              <w:t>12. Температура хранения и транспортировки - - 50 ~ +50°C;</w:t>
            </w:r>
          </w:p>
          <w:p>
            <w:pPr>
              <w:pStyle w:val="Normal"/>
              <w:widowControl w:val="false"/>
              <w:tabs>
                <w:tab w:val="clear" w:pos="708"/>
                <w:tab w:val="left" w:pos="1031" w:leader="none"/>
              </w:tabs>
              <w:rPr>
                <w:lang w:val="x-none" w:eastAsia="x-none"/>
              </w:rPr>
            </w:pPr>
            <w:r>
              <w:rPr>
                <w:sz w:val="24"/>
                <w:szCs w:val="24"/>
              </w:rPr>
              <w:t>13. Класс защиты не хуже — IP54;</w:t>
            </w:r>
          </w:p>
          <w:p>
            <w:pPr>
              <w:pStyle w:val="Normal"/>
              <w:widowControl w:val="false"/>
              <w:tabs>
                <w:tab w:val="clear" w:pos="708"/>
                <w:tab w:val="left" w:pos="1031" w:leader="none"/>
              </w:tabs>
              <w:rPr>
                <w:lang w:val="x-none" w:eastAsia="x-none"/>
              </w:rPr>
            </w:pPr>
            <w:r>
              <w:rPr>
                <w:sz w:val="24"/>
                <w:szCs w:val="24"/>
              </w:rPr>
              <w:t>14. Сейсмостойкость оборудования по шкале MSK-64 - 6 баллов;</w:t>
            </w:r>
          </w:p>
          <w:p>
            <w:pPr>
              <w:pStyle w:val="Normal"/>
              <w:widowControl w:val="false"/>
              <w:tabs>
                <w:tab w:val="clear" w:pos="708"/>
                <w:tab w:val="left" w:pos="1031" w:leader="none"/>
              </w:tabs>
              <w:rPr>
                <w:lang w:val="x-none" w:eastAsia="x-none"/>
              </w:rPr>
            </w:pPr>
            <w:r>
              <w:rPr>
                <w:sz w:val="24"/>
                <w:szCs w:val="24"/>
              </w:rPr>
              <w:t>15. Гарантия на оборудование, не менее- 36 месяцев с момента ввода в эксплуатацию;</w:t>
            </w:r>
          </w:p>
          <w:p>
            <w:pPr>
              <w:pStyle w:val="Normal"/>
              <w:widowControl w:val="false"/>
              <w:tabs>
                <w:tab w:val="clear" w:pos="708"/>
                <w:tab w:val="left" w:pos="1031" w:leader="none"/>
              </w:tabs>
              <w:rPr>
                <w:lang w:val="x-none" w:eastAsia="x-none"/>
              </w:rPr>
            </w:pPr>
            <w:r>
              <w:rPr>
                <w:sz w:val="24"/>
                <w:szCs w:val="24"/>
              </w:rPr>
              <w:t>16. Срок службы системы Система шкафов - не менее 20 лет, АКБ - не менее 12 лет.</w:t>
            </w:r>
          </w:p>
          <w:p>
            <w:pPr>
              <w:pStyle w:val="Normal"/>
              <w:widowControl w:val="false"/>
              <w:tabs>
                <w:tab w:val="clear" w:pos="708"/>
                <w:tab w:val="left" w:pos="1031" w:leader="none"/>
              </w:tabs>
              <w:rPr>
                <w:lang w:val="x-none" w:eastAsia="x-none"/>
              </w:rPr>
            </w:pPr>
            <w:r>
              <w:rPr>
                <w:sz w:val="24"/>
                <w:szCs w:val="24"/>
              </w:rPr>
              <w:t>17. Проведение ТО - Возможность проведения базового ТО без прерывания питания нагрузки.</w:t>
            </w:r>
          </w:p>
        </w:tc>
        <w:tc>
          <w:tcPr>
            <w:tcW w:w="198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Согласие с требованием</w:t>
            </w:r>
          </w:p>
        </w:tc>
        <w:tc>
          <w:tcPr>
            <w:tcW w:w="269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98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/>
        <w:tc>
          <w:tcPr>
            <w:tcW w:w="9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istParagraph"/>
              <w:widowControl w:val="false"/>
              <w:spacing w:before="60" w:after="60"/>
              <w:ind w:left="-117" w:hanging="0"/>
              <w:contextualSpacing/>
              <w:jc w:val="center"/>
              <w:rPr>
                <w:lang w:eastAsia="x-none"/>
              </w:rPr>
            </w:pPr>
            <w:r>
              <w:rPr>
                <w:lang w:eastAsia="x-none"/>
              </w:rPr>
              <w:t>6.3</w:t>
            </w:r>
          </w:p>
        </w:tc>
        <w:tc>
          <w:tcPr>
            <w:tcW w:w="199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Требования к системе мониторинга шкафов</w:t>
            </w:r>
          </w:p>
        </w:tc>
        <w:tc>
          <w:tcPr>
            <w:tcW w:w="58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  <w:tab w:val="left" w:pos="1031" w:leader="none"/>
              </w:tabs>
              <w:jc w:val="left"/>
              <w:rPr>
                <w:b/>
                <w:bCs/>
                <w:sz w:val="24"/>
                <w:szCs w:val="24"/>
                <w:lang w:val="x-none" w:eastAsia="x-none"/>
              </w:rPr>
            </w:pPr>
            <w:r>
              <w:rPr>
                <w:b/>
                <w:bCs/>
                <w:sz w:val="24"/>
                <w:szCs w:val="24"/>
                <w:lang w:val="x-none" w:eastAsia="x-none"/>
              </w:rPr>
              <w:t>1. Тип системы:</w:t>
            </w:r>
          </w:p>
          <w:p>
            <w:pPr>
              <w:pStyle w:val="Normal"/>
              <w:widowControl w:val="false"/>
              <w:tabs>
                <w:tab w:val="clear" w:pos="708"/>
                <w:tab w:val="left" w:pos="1031" w:leader="none"/>
              </w:tabs>
              <w:jc w:val="left"/>
              <w:rPr>
                <w:sz w:val="24"/>
                <w:szCs w:val="24"/>
                <w:lang w:val="x-none" w:eastAsia="x-none"/>
              </w:rPr>
            </w:pPr>
            <w:r>
              <w:rPr>
                <w:sz w:val="24"/>
                <w:szCs w:val="24"/>
                <w:lang w:val="x-none" w:eastAsia="x-none"/>
              </w:rPr>
              <w:t>Система, встроенная в шкафы поз. ШОТ2, ШАБ2, ШАВР и построенная на базе головного (ШОТ2) и локальных контроллеров (ШАБ2, ШАВР), с выводом информации на верхний уровень в существующую телекоммуникационную сеть объекта.</w:t>
            </w:r>
          </w:p>
          <w:p>
            <w:pPr>
              <w:pStyle w:val="Normal"/>
              <w:widowControl w:val="false"/>
              <w:tabs>
                <w:tab w:val="clear" w:pos="708"/>
                <w:tab w:val="left" w:pos="1031" w:leader="none"/>
              </w:tabs>
              <w:jc w:val="left"/>
              <w:rPr>
                <w:b/>
                <w:bCs/>
                <w:sz w:val="24"/>
                <w:szCs w:val="24"/>
                <w:lang w:val="x-none" w:eastAsia="x-none"/>
              </w:rPr>
            </w:pPr>
            <w:r>
              <w:rPr>
                <w:b/>
                <w:bCs/>
                <w:sz w:val="24"/>
                <w:szCs w:val="24"/>
                <w:lang w:val="x-none" w:eastAsia="x-none"/>
              </w:rPr>
              <w:t>2. Объекты автоматизации:</w:t>
            </w:r>
          </w:p>
          <w:p>
            <w:pPr>
              <w:pStyle w:val="Normal"/>
              <w:widowControl w:val="false"/>
              <w:tabs>
                <w:tab w:val="clear" w:pos="708"/>
                <w:tab w:val="left" w:pos="1031" w:leader="none"/>
              </w:tabs>
              <w:jc w:val="left"/>
              <w:rPr>
                <w:sz w:val="24"/>
                <w:szCs w:val="24"/>
                <w:lang w:val="x-none" w:eastAsia="x-none"/>
              </w:rPr>
            </w:pPr>
            <w:r>
              <w:rPr>
                <w:sz w:val="24"/>
                <w:szCs w:val="24"/>
                <w:lang w:val="x-none" w:eastAsia="x-none"/>
              </w:rPr>
              <w:t>- зарядно-выпрямительные устройства;</w:t>
            </w:r>
          </w:p>
          <w:p>
            <w:pPr>
              <w:pStyle w:val="Normal"/>
              <w:widowControl w:val="false"/>
              <w:tabs>
                <w:tab w:val="clear" w:pos="708"/>
                <w:tab w:val="left" w:pos="1031" w:leader="none"/>
              </w:tabs>
              <w:jc w:val="left"/>
              <w:rPr>
                <w:sz w:val="24"/>
                <w:szCs w:val="24"/>
                <w:lang w:val="x-none" w:eastAsia="x-none"/>
              </w:rPr>
            </w:pPr>
            <w:r>
              <w:rPr>
                <w:sz w:val="24"/>
                <w:szCs w:val="24"/>
                <w:lang w:val="x-none" w:eastAsia="x-none"/>
              </w:rPr>
              <w:t>- конвекторы;</w:t>
            </w:r>
          </w:p>
          <w:p>
            <w:pPr>
              <w:pStyle w:val="Normal"/>
              <w:widowControl w:val="false"/>
              <w:tabs>
                <w:tab w:val="clear" w:pos="708"/>
                <w:tab w:val="left" w:pos="1031" w:leader="none"/>
              </w:tabs>
              <w:jc w:val="left"/>
              <w:rPr>
                <w:sz w:val="24"/>
                <w:szCs w:val="24"/>
                <w:lang w:val="x-none" w:eastAsia="x-none"/>
              </w:rPr>
            </w:pPr>
            <w:r>
              <w:rPr>
                <w:sz w:val="24"/>
                <w:szCs w:val="24"/>
                <w:lang w:val="x-none" w:eastAsia="x-none"/>
              </w:rPr>
              <w:t>- коммутационные и защитные аппараты всех шкафов;</w:t>
            </w:r>
          </w:p>
          <w:p>
            <w:pPr>
              <w:pStyle w:val="Normal"/>
              <w:widowControl w:val="false"/>
              <w:tabs>
                <w:tab w:val="clear" w:pos="708"/>
                <w:tab w:val="left" w:pos="1031" w:leader="none"/>
              </w:tabs>
              <w:jc w:val="left"/>
              <w:rPr>
                <w:sz w:val="24"/>
                <w:szCs w:val="24"/>
                <w:lang w:val="x-none" w:eastAsia="x-none"/>
              </w:rPr>
            </w:pPr>
            <w:r>
              <w:rPr>
                <w:sz w:val="24"/>
                <w:szCs w:val="24"/>
                <w:lang w:val="x-none" w:eastAsia="x-none"/>
              </w:rPr>
              <w:t>- преобразователи измерений;</w:t>
            </w:r>
          </w:p>
          <w:p>
            <w:pPr>
              <w:pStyle w:val="Normal"/>
              <w:widowControl w:val="false"/>
              <w:tabs>
                <w:tab w:val="clear" w:pos="708"/>
                <w:tab w:val="left" w:pos="1031" w:leader="none"/>
              </w:tabs>
              <w:jc w:val="left"/>
              <w:rPr>
                <w:sz w:val="24"/>
                <w:szCs w:val="24"/>
                <w:lang w:val="x-none" w:eastAsia="x-none"/>
              </w:rPr>
            </w:pPr>
            <w:r>
              <w:rPr>
                <w:sz w:val="24"/>
                <w:szCs w:val="24"/>
                <w:lang w:val="x-none" w:eastAsia="x-none"/>
              </w:rPr>
              <w:t>- подсистема поэлементного контроля АКБ;</w:t>
            </w:r>
          </w:p>
          <w:p>
            <w:pPr>
              <w:pStyle w:val="Normal"/>
              <w:widowControl w:val="false"/>
              <w:tabs>
                <w:tab w:val="clear" w:pos="708"/>
                <w:tab w:val="left" w:pos="1031" w:leader="none"/>
              </w:tabs>
              <w:jc w:val="left"/>
              <w:rPr>
                <w:sz w:val="24"/>
                <w:szCs w:val="24"/>
                <w:lang w:val="x-none" w:eastAsia="x-none"/>
              </w:rPr>
            </w:pPr>
            <w:r>
              <w:rPr>
                <w:sz w:val="24"/>
                <w:szCs w:val="24"/>
                <w:lang w:val="x-none" w:eastAsia="x-none"/>
              </w:rPr>
              <w:t>- подсистема климата всех шкафов.</w:t>
            </w:r>
          </w:p>
          <w:p>
            <w:pPr>
              <w:pStyle w:val="Normal"/>
              <w:widowControl w:val="false"/>
              <w:tabs>
                <w:tab w:val="clear" w:pos="708"/>
                <w:tab w:val="left" w:pos="1031" w:leader="none"/>
              </w:tabs>
              <w:jc w:val="left"/>
              <w:rPr>
                <w:b/>
                <w:bCs/>
                <w:sz w:val="24"/>
                <w:szCs w:val="24"/>
                <w:lang w:val="x-none" w:eastAsia="x-none"/>
              </w:rPr>
            </w:pPr>
            <w:r>
              <w:rPr>
                <w:b/>
                <w:bCs/>
                <w:sz w:val="24"/>
                <w:szCs w:val="24"/>
                <w:lang w:val="x-none" w:eastAsia="x-none"/>
              </w:rPr>
              <w:t>3. Функции мониторинга.</w:t>
            </w:r>
          </w:p>
          <w:p>
            <w:pPr>
              <w:pStyle w:val="Normal"/>
              <w:widowControl w:val="false"/>
              <w:tabs>
                <w:tab w:val="clear" w:pos="708"/>
                <w:tab w:val="left" w:pos="1031" w:leader="none"/>
              </w:tabs>
              <w:jc w:val="left"/>
              <w:rPr>
                <w:sz w:val="24"/>
                <w:szCs w:val="24"/>
                <w:lang w:val="x-none" w:eastAsia="x-none"/>
              </w:rPr>
            </w:pPr>
            <w:r>
              <w:rPr>
                <w:sz w:val="24"/>
                <w:szCs w:val="24"/>
                <w:lang w:val="x-none" w:eastAsia="x-none"/>
              </w:rPr>
              <w:t>Встроенная система мониторинга и отображения параметров (дисплей и карты интерфейсного подключения) должны обеспечивать отображение следующих параметров работы систем шкафов:</w:t>
            </w:r>
          </w:p>
          <w:p>
            <w:pPr>
              <w:pStyle w:val="Normal"/>
              <w:widowControl w:val="false"/>
              <w:tabs>
                <w:tab w:val="clear" w:pos="708"/>
                <w:tab w:val="left" w:pos="1031" w:leader="none"/>
              </w:tabs>
              <w:jc w:val="left"/>
              <w:rPr>
                <w:sz w:val="24"/>
                <w:szCs w:val="24"/>
                <w:lang w:val="x-none" w:eastAsia="x-none"/>
              </w:rPr>
            </w:pPr>
            <w:r>
              <w:rPr>
                <w:sz w:val="24"/>
                <w:szCs w:val="24"/>
                <w:lang w:val="x-none" w:eastAsia="x-none"/>
              </w:rPr>
              <w:t>- режимы работы электрической схемы</w:t>
            </w:r>
          </w:p>
          <w:p>
            <w:pPr>
              <w:pStyle w:val="Normal"/>
              <w:widowControl w:val="false"/>
              <w:tabs>
                <w:tab w:val="clear" w:pos="708"/>
                <w:tab w:val="left" w:pos="1031" w:leader="none"/>
              </w:tabs>
              <w:jc w:val="left"/>
              <w:rPr>
                <w:sz w:val="24"/>
                <w:szCs w:val="24"/>
                <w:lang w:val="x-none" w:eastAsia="x-none"/>
              </w:rPr>
            </w:pPr>
            <w:r>
              <w:rPr>
                <w:sz w:val="24"/>
                <w:szCs w:val="24"/>
                <w:lang w:val="x-none" w:eastAsia="x-none"/>
              </w:rPr>
              <w:t>системы шкафов на дисплее и в web</w:t>
            </w:r>
          </w:p>
          <w:p>
            <w:pPr>
              <w:pStyle w:val="Normal"/>
              <w:widowControl w:val="false"/>
              <w:tabs>
                <w:tab w:val="clear" w:pos="708"/>
                <w:tab w:val="left" w:pos="1031" w:leader="none"/>
              </w:tabs>
              <w:jc w:val="left"/>
              <w:rPr>
                <w:sz w:val="24"/>
                <w:szCs w:val="24"/>
                <w:lang w:val="x-none" w:eastAsia="x-none"/>
              </w:rPr>
            </w:pPr>
            <w:r>
              <w:rPr>
                <w:sz w:val="24"/>
                <w:szCs w:val="24"/>
                <w:lang w:val="x-none" w:eastAsia="x-none"/>
              </w:rPr>
              <w:t>интерфейсе;</w:t>
            </w:r>
          </w:p>
          <w:p>
            <w:pPr>
              <w:pStyle w:val="Normal"/>
              <w:widowControl w:val="false"/>
              <w:tabs>
                <w:tab w:val="clear" w:pos="708"/>
                <w:tab w:val="left" w:pos="1031" w:leader="none"/>
              </w:tabs>
              <w:jc w:val="left"/>
              <w:rPr>
                <w:sz w:val="24"/>
                <w:szCs w:val="24"/>
                <w:lang w:val="x-none" w:eastAsia="x-none"/>
              </w:rPr>
            </w:pPr>
            <w:r>
              <w:rPr>
                <w:sz w:val="24"/>
                <w:szCs w:val="24"/>
                <w:lang w:val="x-none" w:eastAsia="x-none"/>
              </w:rPr>
              <w:t>- входные и выходные электрические</w:t>
            </w:r>
          </w:p>
          <w:p>
            <w:pPr>
              <w:pStyle w:val="Normal"/>
              <w:widowControl w:val="false"/>
              <w:tabs>
                <w:tab w:val="clear" w:pos="708"/>
                <w:tab w:val="left" w:pos="1031" w:leader="none"/>
              </w:tabs>
              <w:jc w:val="left"/>
              <w:rPr>
                <w:sz w:val="24"/>
                <w:szCs w:val="24"/>
                <w:lang w:val="x-none" w:eastAsia="x-none"/>
              </w:rPr>
            </w:pPr>
            <w:r>
              <w:rPr>
                <w:sz w:val="24"/>
                <w:szCs w:val="24"/>
                <w:lang w:val="x-none" w:eastAsia="x-none"/>
              </w:rPr>
              <w:t>параметры системы шкафов;</w:t>
            </w:r>
          </w:p>
          <w:p>
            <w:pPr>
              <w:pStyle w:val="Normal"/>
              <w:widowControl w:val="false"/>
              <w:tabs>
                <w:tab w:val="clear" w:pos="708"/>
                <w:tab w:val="left" w:pos="1031" w:leader="none"/>
              </w:tabs>
              <w:jc w:val="left"/>
              <w:rPr>
                <w:sz w:val="24"/>
                <w:szCs w:val="24"/>
                <w:lang w:val="x-none" w:eastAsia="x-none"/>
              </w:rPr>
            </w:pPr>
            <w:r>
              <w:rPr>
                <w:sz w:val="24"/>
                <w:szCs w:val="24"/>
                <w:lang w:val="x-none" w:eastAsia="x-none"/>
              </w:rPr>
              <w:t>- состояние и параметры каждого модуля/блока системы шкафов;</w:t>
            </w:r>
          </w:p>
          <w:p>
            <w:pPr>
              <w:pStyle w:val="Normal"/>
              <w:widowControl w:val="false"/>
              <w:tabs>
                <w:tab w:val="clear" w:pos="708"/>
                <w:tab w:val="left" w:pos="1031" w:leader="none"/>
              </w:tabs>
              <w:jc w:val="left"/>
              <w:rPr>
                <w:sz w:val="24"/>
                <w:szCs w:val="24"/>
                <w:lang w:val="x-none" w:eastAsia="x-none"/>
              </w:rPr>
            </w:pPr>
            <w:r>
              <w:rPr>
                <w:sz w:val="24"/>
                <w:szCs w:val="24"/>
                <w:lang w:val="x-none" w:eastAsia="x-none"/>
              </w:rPr>
              <w:t>- состояние и параметры каждого элемента АКБ;</w:t>
            </w:r>
          </w:p>
          <w:p>
            <w:pPr>
              <w:pStyle w:val="Normal"/>
              <w:widowControl w:val="false"/>
              <w:tabs>
                <w:tab w:val="clear" w:pos="708"/>
                <w:tab w:val="left" w:pos="1031" w:leader="none"/>
              </w:tabs>
              <w:jc w:val="left"/>
              <w:rPr>
                <w:sz w:val="24"/>
                <w:szCs w:val="24"/>
                <w:lang w:val="x-none" w:eastAsia="x-none"/>
              </w:rPr>
            </w:pPr>
            <w:r>
              <w:rPr>
                <w:sz w:val="24"/>
                <w:szCs w:val="24"/>
                <w:lang w:val="x-none" w:eastAsia="x-none"/>
              </w:rPr>
              <w:t>- уровень заряда и расчетное время автономной работы от АКБ;</w:t>
            </w:r>
          </w:p>
          <w:p>
            <w:pPr>
              <w:pStyle w:val="Normal"/>
              <w:widowControl w:val="false"/>
              <w:tabs>
                <w:tab w:val="clear" w:pos="708"/>
                <w:tab w:val="left" w:pos="1031" w:leader="none"/>
              </w:tabs>
              <w:jc w:val="left"/>
              <w:rPr>
                <w:sz w:val="24"/>
                <w:szCs w:val="24"/>
                <w:lang w:val="x-none" w:eastAsia="x-none"/>
              </w:rPr>
            </w:pPr>
            <w:r>
              <w:rPr>
                <w:sz w:val="24"/>
                <w:szCs w:val="24"/>
                <w:lang w:val="x-none" w:eastAsia="x-none"/>
              </w:rPr>
              <w:t>- журналы событий event log и data log;</w:t>
            </w:r>
          </w:p>
          <w:p>
            <w:pPr>
              <w:pStyle w:val="Normal"/>
              <w:widowControl w:val="false"/>
              <w:tabs>
                <w:tab w:val="clear" w:pos="708"/>
                <w:tab w:val="left" w:pos="1031" w:leader="none"/>
              </w:tabs>
              <w:jc w:val="left"/>
              <w:rPr>
                <w:sz w:val="24"/>
                <w:szCs w:val="24"/>
                <w:lang w:val="x-none" w:eastAsia="x-none"/>
              </w:rPr>
            </w:pPr>
            <w:r>
              <w:rPr>
                <w:sz w:val="24"/>
                <w:szCs w:val="24"/>
                <w:lang w:val="x-none" w:eastAsia="x-none"/>
              </w:rPr>
              <w:t>- возможность синхронизации с сервером времени;</w:t>
            </w:r>
          </w:p>
          <w:p>
            <w:pPr>
              <w:pStyle w:val="Normal"/>
              <w:widowControl w:val="false"/>
              <w:tabs>
                <w:tab w:val="clear" w:pos="708"/>
                <w:tab w:val="left" w:pos="1031" w:leader="none"/>
              </w:tabs>
              <w:jc w:val="left"/>
              <w:rPr>
                <w:sz w:val="24"/>
                <w:szCs w:val="24"/>
                <w:lang w:val="x-none" w:eastAsia="x-none"/>
              </w:rPr>
            </w:pPr>
            <w:r>
              <w:rPr>
                <w:sz w:val="24"/>
                <w:szCs w:val="24"/>
                <w:lang w:val="x-none" w:eastAsia="x-none"/>
              </w:rPr>
              <w:t>- отправлять по сетевому интерфейсу аварийные сообщения trap;</w:t>
            </w:r>
          </w:p>
          <w:p>
            <w:pPr>
              <w:pStyle w:val="Normal"/>
              <w:widowControl w:val="false"/>
              <w:tabs>
                <w:tab w:val="clear" w:pos="708"/>
                <w:tab w:val="left" w:pos="1031" w:leader="none"/>
              </w:tabs>
              <w:jc w:val="left"/>
              <w:rPr>
                <w:sz w:val="24"/>
                <w:szCs w:val="24"/>
                <w:lang w:val="x-none" w:eastAsia="x-none"/>
              </w:rPr>
            </w:pPr>
            <w:r>
              <w:rPr>
                <w:sz w:val="24"/>
                <w:szCs w:val="24"/>
                <w:lang w:val="x-none" w:eastAsia="x-none"/>
              </w:rPr>
              <w:t>- информацию о неисправных компонентах и выходе параметров шкафов или питающей сети за пределы</w:t>
            </w:r>
          </w:p>
          <w:p>
            <w:pPr>
              <w:pStyle w:val="Normal"/>
              <w:widowControl w:val="false"/>
              <w:tabs>
                <w:tab w:val="clear" w:pos="708"/>
                <w:tab w:val="left" w:pos="1031" w:leader="none"/>
              </w:tabs>
              <w:jc w:val="left"/>
              <w:rPr>
                <w:sz w:val="24"/>
                <w:szCs w:val="24"/>
                <w:lang w:val="x-none" w:eastAsia="x-none"/>
              </w:rPr>
            </w:pPr>
            <w:r>
              <w:rPr>
                <w:sz w:val="24"/>
                <w:szCs w:val="24"/>
                <w:lang w:val="x-none" w:eastAsia="x-none"/>
              </w:rPr>
              <w:t>допустимых значений.</w:t>
            </w:r>
          </w:p>
          <w:p>
            <w:pPr>
              <w:pStyle w:val="Normal"/>
              <w:widowControl w:val="false"/>
              <w:tabs>
                <w:tab w:val="clear" w:pos="708"/>
                <w:tab w:val="left" w:pos="1031" w:leader="none"/>
              </w:tabs>
              <w:jc w:val="left"/>
              <w:rPr>
                <w:b/>
                <w:bCs/>
                <w:sz w:val="24"/>
                <w:szCs w:val="24"/>
                <w:lang w:val="x-none" w:eastAsia="x-none"/>
              </w:rPr>
            </w:pPr>
            <w:r>
              <w:rPr>
                <w:b/>
                <w:bCs/>
                <w:sz w:val="24"/>
                <w:szCs w:val="24"/>
                <w:lang w:val="x-none" w:eastAsia="x-none"/>
              </w:rPr>
              <w:t>4. Коммуникации и</w:t>
            </w:r>
          </w:p>
          <w:p>
            <w:pPr>
              <w:pStyle w:val="Normal"/>
              <w:widowControl w:val="false"/>
              <w:tabs>
                <w:tab w:val="clear" w:pos="708"/>
                <w:tab w:val="left" w:pos="1031" w:leader="none"/>
              </w:tabs>
              <w:jc w:val="left"/>
              <w:rPr>
                <w:b/>
                <w:bCs/>
                <w:sz w:val="24"/>
                <w:szCs w:val="24"/>
                <w:lang w:val="x-none" w:eastAsia="x-none"/>
              </w:rPr>
            </w:pPr>
            <w:r>
              <w:rPr>
                <w:b/>
                <w:bCs/>
                <w:sz w:val="24"/>
                <w:szCs w:val="24"/>
                <w:lang w:val="x-none" w:eastAsia="x-none"/>
              </w:rPr>
              <w:t>интерфейсы системы</w:t>
            </w:r>
          </w:p>
          <w:p>
            <w:pPr>
              <w:pStyle w:val="Normal"/>
              <w:widowControl w:val="false"/>
              <w:tabs>
                <w:tab w:val="clear" w:pos="708"/>
                <w:tab w:val="left" w:pos="1031" w:leader="none"/>
              </w:tabs>
              <w:jc w:val="left"/>
              <w:rPr>
                <w:b/>
                <w:bCs/>
                <w:sz w:val="24"/>
                <w:szCs w:val="24"/>
                <w:lang w:val="x-none" w:eastAsia="x-none"/>
              </w:rPr>
            </w:pPr>
            <w:r>
              <w:rPr>
                <w:b/>
                <w:bCs/>
                <w:sz w:val="24"/>
                <w:szCs w:val="24"/>
                <w:lang w:val="x-none" w:eastAsia="x-none"/>
              </w:rPr>
              <w:t>шкафов.:</w:t>
            </w:r>
          </w:p>
          <w:p>
            <w:pPr>
              <w:pStyle w:val="Normal"/>
              <w:widowControl w:val="false"/>
              <w:tabs>
                <w:tab w:val="clear" w:pos="708"/>
                <w:tab w:val="left" w:pos="1031" w:leader="none"/>
              </w:tabs>
              <w:jc w:val="left"/>
              <w:rPr>
                <w:b w:val="false"/>
                <w:bCs w:val="false"/>
                <w:sz w:val="24"/>
                <w:szCs w:val="24"/>
                <w:lang w:val="x-none" w:eastAsia="x-none"/>
              </w:rPr>
            </w:pPr>
            <w:r>
              <w:rPr>
                <w:b w:val="false"/>
                <w:bCs w:val="false"/>
                <w:sz w:val="24"/>
                <w:szCs w:val="24"/>
                <w:lang w:val="x-none" w:eastAsia="x-none"/>
              </w:rPr>
              <w:t>- Интерфейсные порты для</w:t>
            </w:r>
          </w:p>
          <w:p>
            <w:pPr>
              <w:pStyle w:val="Normal"/>
              <w:widowControl w:val="false"/>
              <w:tabs>
                <w:tab w:val="clear" w:pos="708"/>
                <w:tab w:val="left" w:pos="1031" w:leader="none"/>
              </w:tabs>
              <w:jc w:val="left"/>
              <w:rPr>
                <w:b w:val="false"/>
                <w:bCs w:val="false"/>
                <w:sz w:val="24"/>
                <w:szCs w:val="24"/>
                <w:lang w:val="x-none" w:eastAsia="x-none"/>
              </w:rPr>
            </w:pPr>
            <w:r>
              <w:rPr>
                <w:b w:val="false"/>
                <w:bCs w:val="false"/>
                <w:sz w:val="24"/>
                <w:szCs w:val="24"/>
                <w:lang w:val="x-none" w:eastAsia="x-none"/>
              </w:rPr>
              <w:t>передачи информации на верхний уровень - Ethernet (МЭК 60870-5-104);</w:t>
            </w:r>
          </w:p>
          <w:p>
            <w:pPr>
              <w:pStyle w:val="Normal"/>
              <w:widowControl w:val="false"/>
              <w:tabs>
                <w:tab w:val="clear" w:pos="708"/>
                <w:tab w:val="left" w:pos="1031" w:leader="none"/>
              </w:tabs>
              <w:jc w:val="left"/>
              <w:rPr>
                <w:b w:val="false"/>
                <w:bCs w:val="false"/>
                <w:sz w:val="24"/>
                <w:szCs w:val="24"/>
                <w:lang w:val="x-none" w:eastAsia="x-none"/>
              </w:rPr>
            </w:pPr>
            <w:r>
              <w:rPr>
                <w:b w:val="false"/>
                <w:bCs w:val="false"/>
                <w:sz w:val="24"/>
                <w:szCs w:val="24"/>
                <w:lang w:val="x-none" w:eastAsia="x-none"/>
              </w:rPr>
              <w:t>- ЖК-дисплей и индикация - Текстовый русифицированный ЖК-дисплей с мнемосхемой системы шкафов, в т.ч. АКБ. Дисплей должен позволять программировать, изменять настройки и параметры элементов системы шкафов. Местная светодиодная индикация;</w:t>
            </w:r>
          </w:p>
          <w:p>
            <w:pPr>
              <w:pStyle w:val="Normal"/>
              <w:widowControl w:val="false"/>
              <w:tabs>
                <w:tab w:val="clear" w:pos="708"/>
                <w:tab w:val="left" w:pos="1031" w:leader="none"/>
              </w:tabs>
              <w:jc w:val="left"/>
              <w:rPr>
                <w:b w:val="false"/>
                <w:bCs w:val="false"/>
                <w:sz w:val="24"/>
                <w:szCs w:val="24"/>
                <w:lang w:val="x-none" w:eastAsia="x-none"/>
              </w:rPr>
            </w:pPr>
            <w:r>
              <w:rPr>
                <w:b w:val="false"/>
                <w:bCs w:val="false"/>
                <w:sz w:val="24"/>
                <w:szCs w:val="24"/>
                <w:lang w:val="x-none" w:eastAsia="x-none"/>
              </w:rPr>
              <w:t>- Звуковая сигнализация - Неисправность электросети, низкий заряд батарей, перегрузка, ошибка шкафа/модуля/блока.</w:t>
            </w:r>
          </w:p>
        </w:tc>
        <w:tc>
          <w:tcPr>
            <w:tcW w:w="198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Согласие с требованием</w:t>
            </w:r>
          </w:p>
        </w:tc>
        <w:tc>
          <w:tcPr>
            <w:tcW w:w="269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98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</w:tbl>
    <w:p>
      <w:pPr>
        <w:pStyle w:val="Normal"/>
        <w:jc w:val="center"/>
        <w:rPr>
          <w:b/>
          <w:i/>
          <w:i/>
          <w:sz w:val="24"/>
          <w:szCs w:val="24"/>
        </w:rPr>
      </w:pPr>
      <w:r>
        <w:rPr>
          <w:b/>
          <w:i/>
          <w:sz w:val="24"/>
          <w:szCs w:val="24"/>
        </w:rPr>
      </w:r>
    </w:p>
    <w:p>
      <w:pPr>
        <w:pStyle w:val="Style34"/>
        <w:numPr>
          <w:ilvl w:val="0"/>
          <w:numId w:val="3"/>
        </w:numPr>
        <w:ind w:left="794" w:hanging="0"/>
        <w:rPr>
          <w:rFonts w:ascii="Times New Roman" w:hAnsi="Times New Roman" w:eastAsia="Calibri"/>
          <w:b/>
          <w:sz w:val="28"/>
          <w:szCs w:val="28"/>
          <w:lang w:eastAsia="x-none"/>
        </w:rPr>
      </w:pPr>
      <w:r>
        <w:rPr>
          <w:rFonts w:eastAsia="Calibri" w:ascii="Times New Roman" w:hAnsi="Times New Roman"/>
          <w:b/>
          <w:sz w:val="28"/>
          <w:szCs w:val="28"/>
          <w:lang w:eastAsia="x-none"/>
        </w:rPr>
        <w:t>Приложения:</w:t>
      </w:r>
    </w:p>
    <w:p>
      <w:pPr>
        <w:pStyle w:val="Style34"/>
        <w:ind w:left="567" w:firstLine="284"/>
        <w:rPr>
          <w:rFonts w:ascii="Times New Roman" w:hAnsi="Times New Roman" w:eastAsia="Calibri"/>
          <w:sz w:val="24"/>
          <w:szCs w:val="28"/>
          <w:lang w:eastAsia="x-none"/>
        </w:rPr>
      </w:pPr>
      <w:r>
        <w:rPr>
          <w:rFonts w:eastAsia="Calibri" w:ascii="Times New Roman" w:hAnsi="Times New Roman"/>
          <w:sz w:val="24"/>
          <w:szCs w:val="28"/>
          <w:lang w:eastAsia="x-none"/>
        </w:rPr>
      </w:r>
    </w:p>
    <w:p>
      <w:pPr>
        <w:pStyle w:val="Style34"/>
        <w:numPr>
          <w:ilvl w:val="3"/>
          <w:numId w:val="9"/>
        </w:numPr>
        <w:ind w:left="567" w:firstLine="284"/>
        <w:rPr>
          <w:rFonts w:ascii="Times New Roman" w:hAnsi="Times New Roman" w:eastAsia="Calibri"/>
          <w:sz w:val="24"/>
          <w:szCs w:val="28"/>
          <w:lang w:eastAsia="x-none"/>
        </w:rPr>
      </w:pPr>
      <w:r>
        <w:rPr>
          <w:rFonts w:eastAsia="Calibri" w:ascii="Times New Roman" w:hAnsi="Times New Roman"/>
          <w:sz w:val="24"/>
          <w:szCs w:val="28"/>
          <w:lang w:eastAsia="x-none"/>
        </w:rPr>
        <w:t xml:space="preserve">Приложение №1. </w:t>
      </w:r>
      <w:r>
        <w:rPr>
          <w:rFonts w:eastAsia="Calibri" w:ascii="Times New Roman" w:hAnsi="Times New Roman"/>
          <w:sz w:val="24"/>
          <w:szCs w:val="24"/>
          <w:lang w:eastAsia="x-none"/>
        </w:rPr>
        <w:t>Требования к продукции;</w:t>
      </w:r>
    </w:p>
    <w:p>
      <w:pPr>
        <w:pStyle w:val="Style34"/>
        <w:numPr>
          <w:ilvl w:val="3"/>
          <w:numId w:val="9"/>
        </w:numPr>
        <w:ind w:left="567" w:firstLine="284"/>
        <w:rPr>
          <w:rFonts w:ascii="Times New Roman" w:hAnsi="Times New Roman" w:eastAsia="Calibri"/>
          <w:sz w:val="24"/>
          <w:szCs w:val="28"/>
          <w:lang w:eastAsia="x-none"/>
        </w:rPr>
      </w:pPr>
      <w:r>
        <w:rPr>
          <w:rFonts w:eastAsia="Calibri" w:ascii="Times New Roman" w:hAnsi="Times New Roman"/>
          <w:sz w:val="24"/>
          <w:szCs w:val="28"/>
          <w:lang w:eastAsia="x-none"/>
        </w:rPr>
        <w:t>Приложение №2. Основные технические решения 251225-2411-ЭП.ОТР.</w:t>
      </w:r>
      <w:r>
        <w:br w:type="page"/>
      </w:r>
    </w:p>
    <w:p>
      <w:pPr>
        <w:pStyle w:val="Normal"/>
        <w:spacing w:before="0" w:after="120"/>
        <w:jc w:val="right"/>
        <w:rPr>
          <w:sz w:val="24"/>
          <w:szCs w:val="24"/>
        </w:rPr>
      </w:pPr>
      <w:r>
        <w:rPr>
          <w:rFonts w:eastAsia="Calibri"/>
          <w:sz w:val="24"/>
          <w:szCs w:val="24"/>
        </w:rPr>
        <w:t>Приложение №1 к Техническим требованиям</w:t>
      </w:r>
    </w:p>
    <w:p>
      <w:pPr>
        <w:pStyle w:val="Normal"/>
        <w:spacing w:before="0" w:after="120"/>
        <w:rPr>
          <w:sz w:val="24"/>
          <w:szCs w:val="24"/>
        </w:rPr>
      </w:pPr>
      <w:r>
        <w:rPr>
          <w:rFonts w:eastAsia="Calibri"/>
          <w:b/>
          <w:bCs/>
          <w:sz w:val="24"/>
          <w:szCs w:val="24"/>
          <w:lang w:val="x-none"/>
        </w:rPr>
        <w:t>Таблица </w:t>
      </w:r>
      <w:r>
        <w:rPr>
          <w:rFonts w:eastAsia="Calibri"/>
          <w:b/>
          <w:bCs/>
          <w:sz w:val="24"/>
          <w:szCs w:val="24"/>
        </w:rPr>
        <w:t>3.1</w:t>
      </w:r>
      <w:r>
        <w:rPr>
          <w:rFonts w:eastAsia="Calibri"/>
          <w:b/>
          <w:bCs/>
          <w:sz w:val="24"/>
          <w:szCs w:val="24"/>
          <w:lang w:val="x-none"/>
        </w:rPr>
        <w:t xml:space="preserve">. </w:t>
      </w:r>
      <w:r>
        <w:rPr>
          <w:rFonts w:eastAsia="Calibri"/>
          <w:b/>
          <w:bCs/>
          <w:sz w:val="24"/>
          <w:szCs w:val="24"/>
        </w:rPr>
        <w:t>Требования к продукции (индивидуальные требования по каждой позиции перечня продукции)</w:t>
      </w:r>
    </w:p>
    <w:p>
      <w:pPr>
        <w:pStyle w:val="Normal"/>
        <w:spacing w:before="0" w:after="120"/>
        <w:ind w:right="397" w:hanging="0"/>
        <w:jc w:val="both"/>
        <w:rPr>
          <w:sz w:val="24"/>
          <w:szCs w:val="24"/>
        </w:rPr>
      </w:pPr>
      <w:r>
        <w:rPr>
          <w:b/>
          <w:bCs/>
          <w:sz w:val="24"/>
          <w:szCs w:val="24"/>
        </w:rPr>
        <w:t xml:space="preserve">Наименование продукции: </w:t>
      </w:r>
      <w:r>
        <w:rPr>
          <w:rFonts w:eastAsia="Calibri"/>
          <w:b/>
          <w:bCs/>
          <w:i/>
          <w:sz w:val="24"/>
          <w:szCs w:val="24"/>
        </w:rPr>
        <w:t>«П</w:t>
      </w:r>
      <w:r>
        <w:rPr>
          <w:rStyle w:val="Style7"/>
          <w:rFonts w:eastAsia="Calibri"/>
          <w:bCs/>
          <w:sz w:val="24"/>
          <w:szCs w:val="24"/>
          <w:shd w:fill="auto" w:val="clear"/>
        </w:rPr>
        <w:t>риобретение шкафов оперативного тока»</w:t>
      </w:r>
    </w:p>
    <w:tbl>
      <w:tblPr>
        <w:tblStyle w:val="1f0"/>
        <w:tblW w:w="15585" w:type="dxa"/>
        <w:jc w:val="left"/>
        <w:tblInd w:w="108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 w:noHBand="0" w:noVBand="1" w:firstColumn="1" w:lastRow="0" w:lastColumn="0" w:firstRow="1"/>
      </w:tblPr>
      <w:tblGrid>
        <w:gridCol w:w="618"/>
        <w:gridCol w:w="1543"/>
        <w:gridCol w:w="1817"/>
        <w:gridCol w:w="424"/>
        <w:gridCol w:w="5874"/>
        <w:gridCol w:w="1627"/>
        <w:gridCol w:w="882"/>
        <w:gridCol w:w="25"/>
        <w:gridCol w:w="376"/>
        <w:gridCol w:w="1155"/>
        <w:gridCol w:w="26"/>
        <w:gridCol w:w="970"/>
        <w:gridCol w:w="246"/>
      </w:tblGrid>
      <w:tr>
        <w:trPr/>
        <w:tc>
          <w:tcPr>
            <w:tcW w:w="618" w:type="dxa"/>
            <w:vMerge w:val="restart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/>
                <w:b/>
                <w:kern w:val="0"/>
                <w:sz w:val="24"/>
                <w:szCs w:val="24"/>
                <w:lang w:val="ru-RU" w:eastAsia="en-US" w:bidi="ar-SA"/>
              </w:rPr>
              <w:t xml:space="preserve">№ </w:t>
            </w:r>
            <w:r>
              <w:rPr>
                <w:rFonts w:eastAsia="Calibri" w:cs=""/>
                <w:b/>
                <w:kern w:val="0"/>
                <w:sz w:val="24"/>
                <w:szCs w:val="24"/>
                <w:lang w:val="ru-RU" w:eastAsia="en-US" w:bidi="ar-SA"/>
              </w:rPr>
              <w:t>п/п</w:t>
            </w:r>
          </w:p>
        </w:tc>
        <w:tc>
          <w:tcPr>
            <w:tcW w:w="1543" w:type="dxa"/>
            <w:vMerge w:val="restart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/>
                <w:b/>
                <w:kern w:val="0"/>
                <w:sz w:val="24"/>
                <w:szCs w:val="24"/>
                <w:lang w:val="ru-RU" w:eastAsia="en-US" w:bidi="ar-SA"/>
              </w:rPr>
              <w:t xml:space="preserve">№ </w:t>
            </w:r>
            <w:r>
              <w:rPr>
                <w:rFonts w:eastAsia="Calibri" w:cs=""/>
                <w:b/>
                <w:kern w:val="0"/>
                <w:sz w:val="24"/>
                <w:szCs w:val="24"/>
                <w:lang w:val="ru-RU" w:eastAsia="en-US" w:bidi="ar-SA"/>
              </w:rPr>
              <w:t xml:space="preserve">позиции </w:t>
              <w:br/>
              <w:t>Таблицы 1.1. «Перечень и объем закупаемой продукции»</w:t>
            </w:r>
          </w:p>
        </w:tc>
        <w:tc>
          <w:tcPr>
            <w:tcW w:w="1817" w:type="dxa"/>
            <w:vMerge w:val="restart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/>
                <w:b/>
                <w:kern w:val="0"/>
                <w:sz w:val="24"/>
                <w:szCs w:val="24"/>
                <w:lang w:val="ru-RU" w:eastAsia="en-US" w:bidi="ar-SA"/>
              </w:rPr>
              <w:t>Наименование продукции</w:t>
            </w:r>
          </w:p>
        </w:tc>
        <w:tc>
          <w:tcPr>
            <w:tcW w:w="7925" w:type="dxa"/>
            <w:gridSpan w:val="3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/>
                <w:b/>
                <w:kern w:val="0"/>
                <w:sz w:val="24"/>
                <w:szCs w:val="24"/>
                <w:lang w:val="ru-RU" w:eastAsia="en-US" w:bidi="ar-SA"/>
              </w:rPr>
              <w:t>Требования заказчика *</w:t>
            </w:r>
          </w:p>
        </w:tc>
        <w:tc>
          <w:tcPr>
            <w:tcW w:w="907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</w:r>
          </w:p>
        </w:tc>
        <w:tc>
          <w:tcPr>
            <w:tcW w:w="3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</w:r>
          </w:p>
        </w:tc>
        <w:tc>
          <w:tcPr>
            <w:tcW w:w="115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</w:r>
          </w:p>
        </w:tc>
        <w:tc>
          <w:tcPr>
            <w:tcW w:w="996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</w:r>
          </w:p>
        </w:tc>
        <w:tc>
          <w:tcPr>
            <w:tcW w:w="24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</w:r>
          </w:p>
        </w:tc>
      </w:tr>
      <w:tr>
        <w:trPr/>
        <w:tc>
          <w:tcPr>
            <w:tcW w:w="618" w:type="dxa"/>
            <w:vMerge w:val="continue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</w:r>
          </w:p>
        </w:tc>
        <w:tc>
          <w:tcPr>
            <w:tcW w:w="1543" w:type="dxa"/>
            <w:vMerge w:val="continue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</w:r>
          </w:p>
        </w:tc>
        <w:tc>
          <w:tcPr>
            <w:tcW w:w="1817" w:type="dxa"/>
            <w:vMerge w:val="continue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</w:r>
          </w:p>
        </w:tc>
        <w:tc>
          <w:tcPr>
            <w:tcW w:w="424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/>
                <w:b/>
                <w:kern w:val="0"/>
                <w:sz w:val="24"/>
                <w:szCs w:val="24"/>
                <w:lang w:val="ru-RU" w:eastAsia="en-US" w:bidi="ar-SA"/>
              </w:rPr>
              <w:t>ГОСТ</w:t>
            </w:r>
          </w:p>
        </w:tc>
        <w:tc>
          <w:tcPr>
            <w:tcW w:w="5874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/>
                <w:b/>
                <w:kern w:val="0"/>
                <w:sz w:val="24"/>
                <w:szCs w:val="24"/>
                <w:lang w:val="ru-RU" w:eastAsia="en-US" w:bidi="ar-SA"/>
              </w:rPr>
              <w:t>Технические и функциональные характеристики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/>
                <w:b/>
                <w:bCs/>
                <w:kern w:val="0"/>
                <w:sz w:val="24"/>
                <w:szCs w:val="24"/>
                <w:lang w:val="ru-RU" w:eastAsia="en-US" w:bidi="ar-SA"/>
              </w:rPr>
              <w:t>(параметры эквивалентности)</w:t>
            </w:r>
          </w:p>
        </w:tc>
        <w:tc>
          <w:tcPr>
            <w:tcW w:w="1627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/>
                <w:b/>
                <w:kern w:val="0"/>
                <w:sz w:val="24"/>
                <w:szCs w:val="24"/>
                <w:lang w:val="ru-RU" w:eastAsia="en-US" w:bidi="ar-SA"/>
              </w:rPr>
              <w:t>Место поставки</w:t>
            </w:r>
          </w:p>
        </w:tc>
        <w:tc>
          <w:tcPr>
            <w:tcW w:w="882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/>
                <w:b/>
                <w:kern w:val="0"/>
                <w:sz w:val="24"/>
                <w:szCs w:val="24"/>
                <w:lang w:val="ru-RU" w:eastAsia="en-US" w:bidi="ar-SA"/>
              </w:rPr>
              <w:t>Наименование продукции</w:t>
            </w:r>
          </w:p>
        </w:tc>
        <w:tc>
          <w:tcPr>
            <w:tcW w:w="401" w:type="dxa"/>
            <w:gridSpan w:val="2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/>
                <w:b/>
                <w:kern w:val="0"/>
                <w:sz w:val="24"/>
                <w:szCs w:val="24"/>
                <w:lang w:val="ru-RU" w:eastAsia="en-US" w:bidi="ar-SA"/>
              </w:rPr>
              <w:t>ГОСТ</w:t>
            </w:r>
          </w:p>
        </w:tc>
        <w:tc>
          <w:tcPr>
            <w:tcW w:w="1181" w:type="dxa"/>
            <w:gridSpan w:val="2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/>
                <w:b/>
                <w:kern w:val="0"/>
                <w:sz w:val="24"/>
                <w:szCs w:val="24"/>
                <w:lang w:val="ru-RU" w:eastAsia="en-US" w:bidi="ar-SA"/>
              </w:rPr>
              <w:t>Технические и функциональные характеристики</w:t>
            </w:r>
          </w:p>
        </w:tc>
        <w:tc>
          <w:tcPr>
            <w:tcW w:w="1216" w:type="dxa"/>
            <w:gridSpan w:val="2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/>
                <w:b/>
                <w:kern w:val="0"/>
                <w:sz w:val="24"/>
                <w:szCs w:val="24"/>
                <w:lang w:val="ru-RU" w:eastAsia="en-US" w:bidi="ar-SA"/>
              </w:rPr>
              <w:t>Место поставки</w:t>
            </w:r>
          </w:p>
        </w:tc>
      </w:tr>
      <w:tr>
        <w:trPr/>
        <w:tc>
          <w:tcPr>
            <w:tcW w:w="618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/>
                <w:b/>
                <w:kern w:val="0"/>
                <w:sz w:val="24"/>
                <w:szCs w:val="24"/>
                <w:lang w:val="ru-RU" w:eastAsia="en-US" w:bidi="ar-SA"/>
              </w:rPr>
              <w:t>1</w:t>
            </w:r>
          </w:p>
        </w:tc>
        <w:tc>
          <w:tcPr>
            <w:tcW w:w="1543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/>
                <w:b/>
                <w:kern w:val="0"/>
                <w:sz w:val="24"/>
                <w:szCs w:val="24"/>
                <w:lang w:val="ru-RU" w:eastAsia="en-US" w:bidi="ar-SA"/>
              </w:rPr>
              <w:t>2</w:t>
            </w:r>
          </w:p>
        </w:tc>
        <w:tc>
          <w:tcPr>
            <w:tcW w:w="1817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/>
                <w:b/>
                <w:kern w:val="0"/>
                <w:sz w:val="24"/>
                <w:szCs w:val="24"/>
                <w:lang w:val="ru-RU" w:eastAsia="en-US" w:bidi="ar-SA"/>
              </w:rPr>
              <w:t>3</w:t>
            </w:r>
          </w:p>
        </w:tc>
        <w:tc>
          <w:tcPr>
            <w:tcW w:w="424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/>
                <w:b/>
                <w:kern w:val="0"/>
                <w:sz w:val="24"/>
                <w:szCs w:val="24"/>
                <w:lang w:val="ru-RU" w:eastAsia="en-US" w:bidi="ar-SA"/>
              </w:rPr>
              <w:t>4</w:t>
            </w:r>
          </w:p>
        </w:tc>
        <w:tc>
          <w:tcPr>
            <w:tcW w:w="5874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/>
                <w:b/>
                <w:kern w:val="0"/>
                <w:sz w:val="24"/>
                <w:szCs w:val="24"/>
                <w:lang w:val="ru-RU" w:eastAsia="en-US" w:bidi="ar-SA"/>
              </w:rPr>
              <w:t>5</w:t>
            </w:r>
          </w:p>
        </w:tc>
        <w:tc>
          <w:tcPr>
            <w:tcW w:w="1627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/>
                <w:b/>
                <w:kern w:val="0"/>
                <w:sz w:val="24"/>
                <w:szCs w:val="24"/>
                <w:lang w:val="ru-RU" w:eastAsia="en-US" w:bidi="ar-SA"/>
              </w:rPr>
              <w:t>6</w:t>
            </w:r>
          </w:p>
        </w:tc>
        <w:tc>
          <w:tcPr>
            <w:tcW w:w="882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/>
                <w:b/>
                <w:kern w:val="0"/>
                <w:sz w:val="24"/>
                <w:szCs w:val="24"/>
                <w:lang w:val="ru-RU" w:eastAsia="en-US" w:bidi="ar-SA"/>
              </w:rPr>
              <w:t>7</w:t>
            </w:r>
          </w:p>
        </w:tc>
        <w:tc>
          <w:tcPr>
            <w:tcW w:w="401" w:type="dxa"/>
            <w:gridSpan w:val="2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/>
                <w:b/>
                <w:kern w:val="0"/>
                <w:sz w:val="24"/>
                <w:szCs w:val="24"/>
                <w:lang w:val="ru-RU" w:eastAsia="en-US" w:bidi="ar-SA"/>
              </w:rPr>
              <w:t>8</w:t>
            </w:r>
          </w:p>
        </w:tc>
        <w:tc>
          <w:tcPr>
            <w:tcW w:w="1181" w:type="dxa"/>
            <w:gridSpan w:val="2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/>
                <w:b/>
                <w:kern w:val="0"/>
                <w:sz w:val="24"/>
                <w:szCs w:val="24"/>
                <w:lang w:val="ru-RU" w:eastAsia="en-US" w:bidi="ar-SA"/>
              </w:rPr>
              <w:t>9</w:t>
            </w:r>
          </w:p>
        </w:tc>
        <w:tc>
          <w:tcPr>
            <w:tcW w:w="1216" w:type="dxa"/>
            <w:gridSpan w:val="2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/>
                <w:b/>
                <w:kern w:val="0"/>
                <w:sz w:val="24"/>
                <w:szCs w:val="24"/>
                <w:lang w:val="ru-RU" w:eastAsia="en-US" w:bidi="ar-SA"/>
              </w:rPr>
              <w:t>10</w:t>
            </w:r>
          </w:p>
        </w:tc>
      </w:tr>
      <w:tr>
        <w:trPr/>
        <w:tc>
          <w:tcPr>
            <w:tcW w:w="618" w:type="dxa"/>
            <w:tcBorders/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9"/>
              </w:numPr>
              <w:suppressAutoHyphens w:val="true"/>
              <w:spacing w:before="0" w:after="0"/>
              <w:ind w:left="737" w:hanging="624"/>
              <w:contextualSpacing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543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/>
                <w:color w:val="000000"/>
                <w:kern w:val="0"/>
                <w:sz w:val="24"/>
                <w:szCs w:val="24"/>
                <w:lang w:val="ru-RU" w:eastAsia="en-US" w:bidi="ar-SA"/>
              </w:rPr>
              <w:t>Позиция 1</w:t>
            </w:r>
          </w:p>
        </w:tc>
        <w:tc>
          <w:tcPr>
            <w:tcW w:w="1817" w:type="dxa"/>
            <w:tcBorders>
              <w:top w:val="nil"/>
              <w:right w:val="nil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/>
                <w:color w:val="000000"/>
                <w:kern w:val="0"/>
                <w:sz w:val="24"/>
                <w:szCs w:val="24"/>
                <w:lang w:val="ru-RU" w:eastAsia="en-US" w:bidi="ar-SA"/>
              </w:rPr>
              <w:t>Шкаф ШОТ2</w:t>
            </w:r>
          </w:p>
        </w:tc>
        <w:tc>
          <w:tcPr>
            <w:tcW w:w="424" w:type="dxa"/>
            <w:tcBorders/>
            <w:vAlign w:val="center"/>
          </w:tcPr>
          <w:p>
            <w:pPr>
              <w:pStyle w:val="Style35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 w:eastAsia="Calibri" w:cs=""/>
                <w:color w:val="000000"/>
                <w:kern w:val="0"/>
                <w:sz w:val="24"/>
                <w:szCs w:val="24"/>
                <w:lang w:val="ru-RU" w:eastAsia="en-US" w:bidi="ar-SA"/>
              </w:rPr>
            </w:pPr>
            <w:r>
              <w:rPr>
                <w:rFonts w:eastAsia="Calibri" w:cs=""/>
                <w:color w:val="000000"/>
                <w:kern w:val="0"/>
                <w:sz w:val="24"/>
                <w:szCs w:val="24"/>
                <w:lang w:val="ru-RU" w:eastAsia="en-US" w:bidi="ar-SA"/>
              </w:rPr>
            </w:r>
          </w:p>
        </w:tc>
        <w:tc>
          <w:tcPr>
            <w:tcW w:w="5874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1. Исполнение - Модульное, напольное, 19д. Стойка;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2. Номинальное входное/выходное напряжение - 2 х 380В AC (АВР) / 220В DC;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3. Номинальный выходной ток 220В DC - 60 A;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4. Схема преобразования и распределения АС/DC - На базе 3-х зарядно-выпрямительных модулей 380В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AC/220В DC 20A с естественным охлаждением. 2 секции распределения 220В DC, схема см. приложение 2.;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5. Номинальный диапазон входного напряжения - 323-437 В;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6. Диапазон входной частоты - 45 – 66 Гц;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7. Диапазон выходного напряжения - 190-300 В, настраиваемый;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8. Статическая стабилизация выходного постоянного напряжения, не более - ± 0,5%;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9. Коэффициент пульсации выходного напряжения, % от номинального значения, не более - ± 3%;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10. Перегрузочная способность на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выходе постоянного тока, не менее — 105%;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11. КПД преобразования - ≥94%;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12. Защитные функции - защита от перенапряжения, защита от токовых перегрузок, защита от перегрева;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13. Тип входного соединения - Клеммный терминал, пятипроводнаясистема - L1,L2,L3,N,PE, 2 фидера;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14. Тип выходного соединения - Клеммный терминал, двухпроводная система - + , - , 16 фидеров;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15. Дополнительная комплектация ШОТ2 (опции):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- кабельные линии ШОТ2-ШАБ2 (через смежную боковую панель);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- датчик температуры АКБ;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- датчик параметров окружающей среды;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- антиконденсатный обогрев;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- устройство мигающего света;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- защита АБ от глубокого разряда (BLVD);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- контроль изоляции на шинах;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- пофидерный контроль изоляции;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- переносной прибор контроля изоляции;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- наличие УЗИП на стороне АС;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- система контроля и мониторинга АКБ EPSbat;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- освещение шкафа;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- индикация состояния коммутационных аппаратов;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- индикация положения коммутационных аппаратов;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- электронные измерительные приборы;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- наличие системы мониторинга и связи с АСУТП (головное устройство системы шкафов);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- интерфейс связи/протокол Ethernet/ МЭК 60870-5-104 (передача на верхний уровень);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- интерфейс связи RS-485/ModBus RTU (для местного подключения);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- наличие сухих контактов;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- наличие документации на электронном носителе.</w:t>
            </w:r>
          </w:p>
        </w:tc>
        <w:tc>
          <w:tcPr>
            <w:tcW w:w="1627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/>
                <w:kern w:val="0"/>
                <w:sz w:val="24"/>
                <w:szCs w:val="24"/>
                <w:lang w:val="ru-RU" w:eastAsia="en-US" w:bidi="ar-SA"/>
              </w:rPr>
              <w:t>677004, РФ, Республика Саха (Якутия), г.Якутск, ул. Кржижановского, д. 2</w:t>
            </w:r>
          </w:p>
        </w:tc>
        <w:tc>
          <w:tcPr>
            <w:tcW w:w="882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 w:eastAsia="Calibri"/>
                <w:iCs/>
                <w:color w:val="808080" w:themeColor="background1" w:themeShade="80"/>
                <w:sz w:val="24"/>
                <w:szCs w:val="24"/>
              </w:rPr>
            </w:pPr>
            <w:r>
              <w:rPr>
                <w:rFonts w:eastAsia="Calibri"/>
                <w:iCs/>
                <w:color w:val="808080" w:themeColor="background1" w:themeShade="80"/>
                <w:sz w:val="24"/>
                <w:szCs w:val="24"/>
              </w:rPr>
            </w:r>
          </w:p>
        </w:tc>
        <w:tc>
          <w:tcPr>
            <w:tcW w:w="401" w:type="dxa"/>
            <w:gridSpan w:val="2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 w:eastAsia="Calibri"/>
                <w:iCs/>
                <w:color w:val="808080" w:themeColor="background1" w:themeShade="80"/>
                <w:sz w:val="24"/>
                <w:szCs w:val="24"/>
              </w:rPr>
            </w:pPr>
            <w:r>
              <w:rPr>
                <w:rFonts w:eastAsia="Calibri"/>
                <w:iCs/>
                <w:color w:val="808080" w:themeColor="background1" w:themeShade="80"/>
                <w:sz w:val="24"/>
                <w:szCs w:val="24"/>
              </w:rPr>
            </w:r>
          </w:p>
        </w:tc>
        <w:tc>
          <w:tcPr>
            <w:tcW w:w="1181" w:type="dxa"/>
            <w:gridSpan w:val="2"/>
            <w:tcBorders/>
            <w:vAlign w:val="center"/>
          </w:tcPr>
          <w:p>
            <w:pPr>
              <w:pStyle w:val="ListParagraph"/>
              <w:widowControl w:val="false"/>
              <w:suppressAutoHyphens w:val="true"/>
              <w:spacing w:before="0" w:after="0"/>
              <w:ind w:left="178" w:hanging="0"/>
              <w:contextualSpacing/>
              <w:jc w:val="left"/>
              <w:rPr>
                <w:rFonts w:ascii="Times New Roman" w:hAnsi="Times New Roman" w:eastAsia="Calibri" w:eastAsiaTheme="minorHAnsi"/>
                <w:iCs/>
                <w:color w:val="808080" w:themeColor="background1" w:themeShade="80"/>
                <w:sz w:val="24"/>
                <w:szCs w:val="24"/>
              </w:rPr>
            </w:pPr>
            <w:r>
              <w:rPr>
                <w:rFonts w:eastAsia="Calibri" w:eastAsiaTheme="minorHAnsi"/>
                <w:iCs/>
                <w:color w:val="808080" w:themeColor="background1" w:themeShade="80"/>
                <w:sz w:val="24"/>
                <w:szCs w:val="24"/>
              </w:rPr>
            </w:r>
          </w:p>
        </w:tc>
        <w:tc>
          <w:tcPr>
            <w:tcW w:w="1216" w:type="dxa"/>
            <w:gridSpan w:val="2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 w:eastAsia="Calibri"/>
                <w:iCs/>
                <w:color w:val="808080" w:themeColor="background1" w:themeShade="80"/>
                <w:sz w:val="24"/>
                <w:szCs w:val="24"/>
              </w:rPr>
            </w:pPr>
            <w:r>
              <w:rPr>
                <w:rFonts w:eastAsia="Calibri"/>
                <w:iCs/>
                <w:color w:val="808080" w:themeColor="background1" w:themeShade="80"/>
                <w:sz w:val="24"/>
                <w:szCs w:val="24"/>
              </w:rPr>
            </w:r>
          </w:p>
        </w:tc>
      </w:tr>
      <w:tr>
        <w:trPr/>
        <w:tc>
          <w:tcPr>
            <w:tcW w:w="618" w:type="dxa"/>
            <w:tcBorders/>
            <w:vAlign w:val="center"/>
          </w:tcPr>
          <w:p>
            <w:pPr>
              <w:pStyle w:val="ListParagraph"/>
              <w:widowControl w:val="false"/>
              <w:suppressAutoHyphens w:val="true"/>
              <w:spacing w:before="0" w:after="0"/>
              <w:ind w:left="113" w:hanging="0"/>
              <w:contextualSpacing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cs=""/>
                <w:kern w:val="0"/>
                <w:sz w:val="24"/>
                <w:szCs w:val="24"/>
                <w:lang w:val="ru-RU" w:eastAsia="en-US" w:bidi="ar-SA"/>
              </w:rPr>
              <w:t>3.</w:t>
            </w:r>
          </w:p>
          <w:p>
            <w:pPr>
              <w:pStyle w:val="ListParagraph"/>
              <w:widowControl w:val="false"/>
              <w:suppressAutoHyphens w:val="true"/>
              <w:spacing w:before="0" w:after="0"/>
              <w:ind w:left="737" w:hanging="0"/>
              <w:contextualSpacing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543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/>
                <w:iCs/>
                <w:kern w:val="0"/>
                <w:sz w:val="24"/>
                <w:szCs w:val="24"/>
                <w:lang w:val="ru-RU" w:eastAsia="en-US" w:bidi="ar-SA"/>
              </w:rPr>
              <w:t>Позиция 2</w:t>
            </w:r>
          </w:p>
        </w:tc>
        <w:tc>
          <w:tcPr>
            <w:tcW w:w="1817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/>
                <w:color w:val="000000"/>
                <w:kern w:val="0"/>
                <w:sz w:val="24"/>
                <w:szCs w:val="24"/>
                <w:lang w:val="ru-RU" w:eastAsia="en-US" w:bidi="ar-SA"/>
              </w:rPr>
              <w:t>Шкаф ШАБ2</w:t>
            </w:r>
          </w:p>
        </w:tc>
        <w:tc>
          <w:tcPr>
            <w:tcW w:w="424" w:type="dxa"/>
            <w:tcBorders/>
            <w:vAlign w:val="center"/>
          </w:tcPr>
          <w:p>
            <w:pPr>
              <w:pStyle w:val="Style35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 w:eastAsia="Calibri" w:cs=""/>
                <w:kern w:val="0"/>
                <w:sz w:val="24"/>
                <w:szCs w:val="24"/>
                <w:lang w:val="ru-RU" w:eastAsia="en-US" w:bidi="ar-SA"/>
              </w:rPr>
            </w:pPr>
            <w:r>
              <w:rPr>
                <w:rFonts w:eastAsia="Calibri" w:cs=""/>
                <w:kern w:val="0"/>
                <w:sz w:val="24"/>
                <w:szCs w:val="24"/>
                <w:lang w:val="ru-RU" w:eastAsia="en-US" w:bidi="ar-SA"/>
              </w:rPr>
            </w:r>
          </w:p>
        </w:tc>
        <w:tc>
          <w:tcPr>
            <w:tcW w:w="5874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1. Исполнение - Напольный шкаф с полками для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размещения АКБ;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2. Тип встроенных в ШАБ2 аккумуляторных батарей- Герметизированные, необслуживаемые свинцово-кислотные AGM, фронт-терминальное исполнение. Срок службы АКБ 12 лет;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3. Конфигурация аккумуляторной группы - 17 модулей 12B/150 Ач;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4. Время заряда, после аварийного разряда - Не более 8 часов;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5. Режим заряда - С температурной компенсацией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напряжения, см. п. опции к ШОТ2;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6. Защита от глубокого разряда АБ (BLVD) - Да, см. п. опции к ШОТ2;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7. Защита батарей - Да, защита от короткого замыкания, см. п. опции в ШОТ2;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8. Система мониторинга АКБ - Наличие подсистемы поэлементного контроля АКБ с передачей информации на головной контроллер системы мониторинга в ШОТ2 с отображением информации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на ЖК-дисплее, см. п. опции к ШОТ2.</w:t>
            </w:r>
          </w:p>
        </w:tc>
        <w:tc>
          <w:tcPr>
            <w:tcW w:w="1627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/>
                <w:kern w:val="0"/>
                <w:sz w:val="24"/>
                <w:szCs w:val="24"/>
                <w:lang w:val="ru-RU" w:eastAsia="en-US" w:bidi="ar-SA"/>
              </w:rPr>
              <w:t>677004, РФ, Республика Саха (Якутия), г.Якутск, ул. Кржижановского, д. 2</w:t>
            </w:r>
          </w:p>
        </w:tc>
        <w:tc>
          <w:tcPr>
            <w:tcW w:w="882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 w:eastAsia="Calibri"/>
                <w:iCs/>
                <w:color w:val="808080" w:themeColor="background1" w:themeShade="80"/>
                <w:sz w:val="24"/>
                <w:szCs w:val="24"/>
              </w:rPr>
            </w:pPr>
            <w:r>
              <w:rPr>
                <w:rFonts w:eastAsia="Calibri"/>
                <w:iCs/>
                <w:color w:val="808080" w:themeColor="background1" w:themeShade="80"/>
                <w:sz w:val="24"/>
                <w:szCs w:val="24"/>
              </w:rPr>
            </w:r>
          </w:p>
        </w:tc>
        <w:tc>
          <w:tcPr>
            <w:tcW w:w="401" w:type="dxa"/>
            <w:gridSpan w:val="2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 w:eastAsia="Calibri"/>
                <w:iCs/>
                <w:color w:val="808080" w:themeColor="background1" w:themeShade="80"/>
                <w:sz w:val="24"/>
                <w:szCs w:val="24"/>
              </w:rPr>
            </w:pPr>
            <w:r>
              <w:rPr>
                <w:rFonts w:eastAsia="Calibri"/>
                <w:iCs/>
                <w:color w:val="808080" w:themeColor="background1" w:themeShade="80"/>
                <w:sz w:val="24"/>
                <w:szCs w:val="24"/>
              </w:rPr>
            </w:r>
          </w:p>
        </w:tc>
        <w:tc>
          <w:tcPr>
            <w:tcW w:w="1181" w:type="dxa"/>
            <w:gridSpan w:val="2"/>
            <w:tcBorders/>
            <w:vAlign w:val="center"/>
          </w:tcPr>
          <w:p>
            <w:pPr>
              <w:pStyle w:val="ListParagraph"/>
              <w:widowControl w:val="false"/>
              <w:suppressAutoHyphens w:val="true"/>
              <w:spacing w:before="0" w:after="0"/>
              <w:ind w:left="178" w:hanging="0"/>
              <w:contextualSpacing/>
              <w:jc w:val="left"/>
              <w:rPr>
                <w:rFonts w:ascii="Times New Roman" w:hAnsi="Times New Roman" w:eastAsia="Calibri" w:eastAsiaTheme="minorHAnsi"/>
                <w:iCs/>
                <w:color w:val="808080" w:themeColor="background1" w:themeShade="80"/>
                <w:sz w:val="24"/>
                <w:szCs w:val="24"/>
              </w:rPr>
            </w:pPr>
            <w:r>
              <w:rPr>
                <w:rFonts w:eastAsia="Calibri" w:eastAsiaTheme="minorHAnsi"/>
                <w:iCs/>
                <w:color w:val="808080" w:themeColor="background1" w:themeShade="80"/>
                <w:sz w:val="24"/>
                <w:szCs w:val="24"/>
              </w:rPr>
            </w:r>
          </w:p>
        </w:tc>
        <w:tc>
          <w:tcPr>
            <w:tcW w:w="1216" w:type="dxa"/>
            <w:gridSpan w:val="2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 w:eastAsia="Calibri"/>
                <w:iCs/>
                <w:color w:val="808080" w:themeColor="background1" w:themeShade="80"/>
                <w:sz w:val="24"/>
                <w:szCs w:val="24"/>
              </w:rPr>
            </w:pPr>
            <w:r>
              <w:rPr>
                <w:rFonts w:eastAsia="Calibri"/>
                <w:iCs/>
                <w:color w:val="808080" w:themeColor="background1" w:themeShade="80"/>
                <w:sz w:val="24"/>
                <w:szCs w:val="24"/>
              </w:rPr>
            </w:r>
          </w:p>
        </w:tc>
      </w:tr>
      <w:tr>
        <w:trPr>
          <w:trHeight w:val="1695" w:hRule="atLeast"/>
        </w:trPr>
        <w:tc>
          <w:tcPr>
            <w:tcW w:w="618" w:type="dxa"/>
            <w:tcBorders>
              <w:top w:val="nil"/>
            </w:tcBorders>
            <w:vAlign w:val="center"/>
          </w:tcPr>
          <w:p>
            <w:pPr>
              <w:pStyle w:val="ListParagraph"/>
              <w:widowControl w:val="false"/>
              <w:suppressAutoHyphens w:val="true"/>
              <w:spacing w:before="0" w:after="0"/>
              <w:ind w:left="113" w:hanging="0"/>
              <w:contextualSpacing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4.</w:t>
            </w:r>
          </w:p>
        </w:tc>
        <w:tc>
          <w:tcPr>
            <w:tcW w:w="1543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/>
                <w:iCs/>
                <w:kern w:val="0"/>
                <w:lang w:val="ru-RU" w:eastAsia="en-US" w:bidi="ar-SA"/>
              </w:rPr>
              <w:t>Позиция 3</w:t>
            </w:r>
          </w:p>
        </w:tc>
        <w:tc>
          <w:tcPr>
            <w:tcW w:w="1817" w:type="dxa"/>
            <w:tcBorders>
              <w:top w:val="nil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/>
                <w:color w:val="000000"/>
                <w:kern w:val="0"/>
                <w:sz w:val="24"/>
                <w:szCs w:val="24"/>
                <w:lang w:val="ru-RU" w:eastAsia="en-US" w:bidi="ar-SA"/>
              </w:rPr>
              <w:t>Шкаф ШАВР</w:t>
            </w:r>
          </w:p>
        </w:tc>
        <w:tc>
          <w:tcPr>
            <w:tcW w:w="424" w:type="dxa"/>
            <w:tcBorders>
              <w:top w:val="nil"/>
            </w:tcBorders>
            <w:vAlign w:val="center"/>
          </w:tcPr>
          <w:p>
            <w:pPr>
              <w:pStyle w:val="Style35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 w:eastAsia="Calibri" w:cs=""/>
                <w:kern w:val="0"/>
                <w:sz w:val="24"/>
                <w:szCs w:val="24"/>
                <w:lang w:val="ru-RU" w:eastAsia="en-US" w:bidi="ar-SA"/>
              </w:rPr>
            </w:pPr>
            <w:r>
              <w:rPr>
                <w:rFonts w:eastAsia="Calibri" w:cs=""/>
                <w:kern w:val="0"/>
                <w:sz w:val="24"/>
                <w:szCs w:val="24"/>
                <w:lang w:val="ru-RU" w:eastAsia="en-US" w:bidi="ar-SA"/>
              </w:rPr>
            </w:r>
          </w:p>
        </w:tc>
        <w:tc>
          <w:tcPr>
            <w:tcW w:w="5874" w:type="dxa"/>
            <w:tcBorders>
              <w:top w:val="nil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1. Исполнение - Модульное, напольное, 19д. Стойка;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2. Номинальное входное/выходное 2 х 14 х 220В DC (АВР) / 13 х 220В напряжение DC;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3. Номинальный выходной ток 220В DC - 50 A;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4. Схема преобразования и распределения DС/DC - На базе системы из 13-ти парных модулей конвекторов 220В DC/220В DC с принудительным охлаждением. Блок распределения 220В DC, схема см. приложение 2;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5. Время переключения парных фидеров - Без разрыва питания нагрузки;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6. Загрузка ед. модуля DC/DC преобразователя в нормальном режиме работы, не более — 50%;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7. Номинальное выходное напряжение DC/DC преобразователя - 220 В;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8. Пульсация выходного напряжения DC/DC преобразователя от пика до пика, не более - 200 мВ для модулей 5-10А, 1000 мВ для модулей 15-75А;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9. Номинальный ток DC/DC преобразователя на выходе, А — см. приложения №2;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10. Максимальный потребляемый ток DC/DC преобразователя, %*Iном. - ≤160%;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11. Номинальный диапазон входного напряжения DC/DC преобразователя - 176-260 В;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12. Уставка защиты DC/DC преобразователя от перегрузки (ток ограничения), не более — 103%;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13. Уставка защиты DC/DC преобразователя от перегрева - Наличие функции, настраиваемая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установка;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14. КПД преобразования при токе нагрузки (0,5÷1,0) Iном. - ≥90%;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15. Защитные функции - –защита от токовых перегрузок, защита от перегрева;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16. Тип входного соединения - Клеммный терминал, двухпроводная система - + , - , 28 фидеров;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17. Тип выходного соединения - Клеммный терминал, двухпроводная система - + , - , 13 фидеров;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18. Дополнительная комплектация ШАВР (опции):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- датчик температуры;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- пофидерный контроль изоляции;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- антиконденсатный обогрев;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- устройство мигающего света;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- освещение шкафа;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- индикация состояния;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коммутационных аппаратов;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- индикация положения коммутационных аппаратов;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- наличие системы мониторинга и связи с АСУТП (локальный контроллер);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- интерфейс связи RS-485/ModBus RTU (для местного подключения);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- наличие документации на электронном носителе.</w:t>
            </w:r>
          </w:p>
        </w:tc>
        <w:tc>
          <w:tcPr>
            <w:tcW w:w="1627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/>
                <w:kern w:val="0"/>
                <w:sz w:val="24"/>
                <w:szCs w:val="24"/>
                <w:lang w:val="ru-RU" w:eastAsia="en-US" w:bidi="ar-SA"/>
              </w:rPr>
              <w:t>677004, РФ, Республика Саха (Якутия), г.Якутск, ул. Кржижановского, д. 2</w:t>
            </w:r>
          </w:p>
        </w:tc>
        <w:tc>
          <w:tcPr>
            <w:tcW w:w="882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 w:eastAsia="Calibri"/>
                <w:iCs/>
                <w:color w:val="808080" w:themeColor="background1" w:themeShade="80"/>
                <w:sz w:val="24"/>
                <w:szCs w:val="24"/>
              </w:rPr>
            </w:pPr>
            <w:r>
              <w:rPr>
                <w:rFonts w:eastAsia="Calibri"/>
                <w:iCs/>
                <w:color w:val="808080" w:themeColor="background1" w:themeShade="80"/>
                <w:sz w:val="24"/>
                <w:szCs w:val="24"/>
              </w:rPr>
            </w:r>
          </w:p>
        </w:tc>
        <w:tc>
          <w:tcPr>
            <w:tcW w:w="401" w:type="dxa"/>
            <w:gridSpan w:val="2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 w:eastAsia="Calibri"/>
                <w:iCs/>
                <w:color w:val="808080" w:themeColor="background1" w:themeShade="80"/>
                <w:sz w:val="24"/>
                <w:szCs w:val="24"/>
              </w:rPr>
            </w:pPr>
            <w:r>
              <w:rPr>
                <w:rFonts w:eastAsia="Calibri"/>
                <w:iCs/>
                <w:color w:val="808080" w:themeColor="background1" w:themeShade="80"/>
                <w:sz w:val="24"/>
                <w:szCs w:val="24"/>
              </w:rPr>
            </w:r>
          </w:p>
        </w:tc>
        <w:tc>
          <w:tcPr>
            <w:tcW w:w="1181" w:type="dxa"/>
            <w:gridSpan w:val="2"/>
            <w:tcBorders>
              <w:top w:val="nil"/>
            </w:tcBorders>
            <w:vAlign w:val="center"/>
          </w:tcPr>
          <w:p>
            <w:pPr>
              <w:pStyle w:val="ListParagraph"/>
              <w:widowControl w:val="false"/>
              <w:suppressAutoHyphens w:val="true"/>
              <w:spacing w:before="0" w:after="0"/>
              <w:ind w:left="178" w:hanging="0"/>
              <w:contextualSpacing/>
              <w:jc w:val="left"/>
              <w:rPr>
                <w:rFonts w:ascii="Times New Roman" w:hAnsi="Times New Roman" w:eastAsia="Calibri" w:eastAsiaTheme="minorHAnsi"/>
                <w:iCs/>
                <w:color w:val="808080" w:themeColor="background1" w:themeShade="80"/>
                <w:sz w:val="24"/>
                <w:szCs w:val="24"/>
              </w:rPr>
            </w:pPr>
            <w:r>
              <w:rPr>
                <w:rFonts w:eastAsia="Calibri" w:eastAsiaTheme="minorHAnsi"/>
                <w:iCs/>
                <w:color w:val="808080" w:themeColor="background1" w:themeShade="80"/>
                <w:sz w:val="24"/>
                <w:szCs w:val="24"/>
              </w:rPr>
            </w:r>
          </w:p>
        </w:tc>
        <w:tc>
          <w:tcPr>
            <w:tcW w:w="1216" w:type="dxa"/>
            <w:gridSpan w:val="2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 w:eastAsia="Calibri"/>
                <w:iCs/>
                <w:color w:val="808080" w:themeColor="background1" w:themeShade="80"/>
                <w:sz w:val="24"/>
                <w:szCs w:val="24"/>
              </w:rPr>
            </w:pPr>
            <w:r>
              <w:rPr>
                <w:rFonts w:eastAsia="Calibri"/>
                <w:iCs/>
                <w:color w:val="808080" w:themeColor="background1" w:themeShade="80"/>
                <w:sz w:val="24"/>
                <w:szCs w:val="24"/>
              </w:rPr>
            </w:r>
          </w:p>
        </w:tc>
      </w:tr>
    </w:tbl>
    <w:p>
      <w:pPr>
        <w:pStyle w:val="Normal"/>
        <w:spacing w:before="120" w:after="40"/>
        <w:ind w:left="1224" w:right="397" w:hanging="0"/>
        <w:jc w:val="both"/>
        <w:rPr>
          <w:sz w:val="24"/>
          <w:szCs w:val="24"/>
        </w:rPr>
      </w:pPr>
      <w:bookmarkStart w:id="44" w:name="__RefNumPara__25022_3612817740"/>
      <w:bookmarkEnd w:id="44"/>
      <w:r>
        <w:rPr>
          <w:sz w:val="24"/>
          <w:szCs w:val="24"/>
        </w:rPr>
        <w:t>*Указанные в настоящем ТТ ссылки на ТУ, марку (тип) продукции носят описательный, а не обязательный характер.</w:t>
      </w:r>
    </w:p>
    <w:p>
      <w:pPr>
        <w:pStyle w:val="Normal"/>
        <w:spacing w:before="40" w:after="120"/>
        <w:ind w:left="1224" w:right="-28" w:hanging="0"/>
        <w:jc w:val="both"/>
        <w:rPr/>
      </w:pPr>
      <w:r>
        <w:rPr>
          <w:b/>
          <w:bCs/>
          <w:sz w:val="24"/>
          <w:szCs w:val="24"/>
        </w:rPr>
        <w:t>В случае, если Участником предлагается эквивалентная продукция</w:t>
      </w:r>
      <w:r>
        <w:rPr>
          <w:sz w:val="24"/>
          <w:szCs w:val="24"/>
        </w:rPr>
        <w:t xml:space="preserve"> требуемой Заказчику продукции или ее составных частей, он должен в обязательном порядке в составе своего предложения предоставить подробное техническое описание предлагаемого к поставке эквивалента, в объеме не менее установленных в настоящем ТТ требований, обозначенных как «параметры эквивалентности.</w:t>
      </w:r>
    </w:p>
    <w:p>
      <w:pPr>
        <w:pStyle w:val="Normal"/>
        <w:spacing w:before="40" w:after="120"/>
        <w:ind w:left="1224" w:right="-28" w:hanging="0"/>
        <w:jc w:val="both"/>
        <w:rPr>
          <w:lang w:eastAsia="x-none"/>
        </w:rPr>
      </w:pPr>
      <w:r>
        <w:rPr>
          <w:sz w:val="24"/>
          <w:szCs w:val="24"/>
        </w:rPr>
        <w:t>Эквивалентная продукция – это продукция, которая по техническим и функциональным характеристикам не уступает характеристикам, заявленным в документации о закупке, в том числе, по гарантийным срокам и срокам эксплуатации</w:t>
      </w:r>
    </w:p>
    <w:p>
      <w:pPr>
        <w:pStyle w:val="Normal"/>
        <w:spacing w:before="40" w:after="120"/>
        <w:ind w:left="1224" w:right="-28" w:hanging="0"/>
        <w:jc w:val="both"/>
        <w:rPr>
          <w:sz w:val="24"/>
          <w:szCs w:val="24"/>
        </w:rPr>
      </w:pPr>
      <w:r>
        <w:rPr>
          <w:sz w:val="24"/>
          <w:szCs w:val="24"/>
        </w:rPr>
        <w:t>** Способ подтверждения участником соответствия требованиям указан в таблице в отношении каждой позиции закупаемой продукции.</w:t>
      </w:r>
    </w:p>
    <w:sectPr>
      <w:headerReference w:type="default" r:id="rId5"/>
      <w:headerReference w:type="first" r:id="rId6"/>
      <w:type w:val="nextPage"/>
      <w:pgSz w:orient="landscape" w:w="16838" w:h="11906"/>
      <w:pgMar w:left="851" w:right="567" w:gutter="0" w:header="680" w:top="851" w:footer="0" w:bottom="851"/>
      <w:pgNumType w:fmt="decimal"/>
      <w:formProt w:val="false"/>
      <w:titlePg/>
      <w:textDirection w:val="lrTb"/>
      <w:docGrid w:type="default" w:linePitch="381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Times New Roman">
    <w:charset w:val="01"/>
    <w:family w:val="roman"/>
    <w:pitch w:val="variable"/>
  </w:font>
  <w:font w:name="Cambria">
    <w:charset w:val="01"/>
    <w:family w:val="roman"/>
    <w:pitch w:val="variable"/>
  </w:font>
  <w:font w:name="Arial">
    <w:charset w:val="01"/>
    <w:family w:val="roman"/>
    <w:pitch w:val="variable"/>
  </w:font>
  <w:font w:name="Calibri">
    <w:charset w:val="01"/>
    <w:family w:val="roman"/>
    <w:pitch w:val="variable"/>
  </w:font>
  <w:font w:name="OpenSymbol">
    <w:altName w:val="Arial Unicode MS"/>
    <w:charset w:val="01"/>
    <w:family w:val="roman"/>
    <w:pitch w:val="variable"/>
  </w:font>
  <w:font w:name="Liberation Sans">
    <w:altName w:val="Arial"/>
    <w:charset w:val="01"/>
    <w:family w:val="roman"/>
    <w:pitch w:val="variable"/>
  </w:font>
  <w:font w:name="Tahoma">
    <w:charset w:val="01"/>
    <w:family w:val="roman"/>
    <w:pitch w:val="variable"/>
  </w:font>
  <w:font w:name="Arial Unicode MS">
    <w:charset w:val="01"/>
    <w:family w:val="roman"/>
    <w:pitch w:val="variable"/>
  </w:font>
  <w:font w:name="Verdana">
    <w:charset w:val="01"/>
    <w:family w:val="roman"/>
    <w:pitch w:val="variable"/>
  </w:font>
  <w:font w:name="Garamond">
    <w:charset w:val="01"/>
    <w:family w:val="roman"/>
    <w:pitch w:val="variable"/>
  </w:font>
  <w:font w:name="Liberation Mono">
    <w:altName w:val="Courier New"/>
    <w:charset w:val="01"/>
    <w:family w:val="roman"/>
    <w:pitch w:val="variable"/>
  </w:font>
  <w:font w:name="Courier New">
    <w:charset w:val="01"/>
    <w:family w:val="modern"/>
    <w:pitch w:val="fixed"/>
  </w:font>
  <w:font w:name="Wingdings">
    <w:charset w:val="02"/>
    <w:family w:val="auto"/>
    <w:pitch w:val="default"/>
  </w:font>
  <w:font w:name="Symbol">
    <w:charset w:val="02"/>
    <w:family w:val="auto"/>
    <w:pitch w:val="default"/>
  </w:font>
</w:fonts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  <mc:AlternateContent>
        <mc:Choice Requires="wps">
          <w:drawing>
            <wp:anchor behindDoc="1" distT="0" distB="0" distL="0" distR="0" simplePos="0" locked="0" layoutInCell="0" allowOverlap="1" relativeHeight="2" wp14:anchorId="580766CD">
              <wp:simplePos x="0" y="0"/>
              <wp:positionH relativeFrom="margin">
                <wp:align>center</wp:align>
              </wp:positionH>
              <wp:positionV relativeFrom="paragraph">
                <wp:posOffset>635</wp:posOffset>
              </wp:positionV>
              <wp:extent cx="14605" cy="14605"/>
              <wp:effectExtent l="0" t="0" r="0" b="0"/>
              <wp:wrapSquare wrapText="bothSides"/>
              <wp:docPr id="1" name="Врезка1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4760" cy="1476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Header"/>
                            <w:rPr>
                              <w:rStyle w:val="Pagenumber"/>
                            </w:rPr>
                          </w:pPr>
                          <w:r>
                            <w:rPr>
                              <w:rStyle w:val="Pagenumber"/>
                              <w:color w:val="000000"/>
                            </w:rPr>
                            <w:fldChar w:fldCharType="begin"/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instrText xml:space="preserve"> PAGE </w:instrText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fldChar w:fldCharType="separate"/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t>0</w:t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fldChar w:fldCharType="end"/>
                          </w:r>
                        </w:p>
                      </w:txbxContent>
                    </wps:txbx>
                    <wps:bodyPr lIns="0" rIns="0" t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Врезка1" path="m0,0l-2147483645,0l-2147483645,-2147483646l0,-2147483646xe" stroked="f" o:allowincell="f" style="position:absolute;margin-left:0pt;margin-top:0.05pt;width:1.1pt;height:1.1pt;mso-wrap-style:square;v-text-anchor:top;mso-position-horizontal:center;mso-position-horizontal-relative:margin" wp14:anchorId="580766CD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Header"/>
                      <w:rPr>
                        <w:rStyle w:val="Pagenumber"/>
                      </w:rPr>
                    </w:pPr>
                    <w:r>
                      <w:rPr>
                        <w:rStyle w:val="Pagenumber"/>
                        <w:color w:val="000000"/>
                      </w:rPr>
                      <w:fldChar w:fldCharType="begin"/>
                    </w:r>
                    <w:r>
                      <w:rPr>
                        <w:rStyle w:val="Pagenumber"/>
                        <w:color w:val="000000"/>
                      </w:rPr>
                      <w:instrText xml:space="preserve"> PAGE </w:instrText>
                    </w:r>
                    <w:r>
                      <w:rPr>
                        <w:rStyle w:val="Pagenumber"/>
                        <w:color w:val="000000"/>
                      </w:rPr>
                      <w:fldChar w:fldCharType="separate"/>
                    </w:r>
                    <w:r>
                      <w:rPr>
                        <w:rStyle w:val="Pagenumber"/>
                        <w:color w:val="000000"/>
                      </w:rPr>
                      <w:t>0</w:t>
                    </w:r>
                    <w:r>
                      <w:rPr>
                        <w:rStyle w:val="Pagenumber"/>
                        <w:color w:val="000000"/>
                      </w:rPr>
                      <w:fldChar w:fldCharType="end"/>
                    </w:r>
                  </w:p>
                </w:txbxContent>
              </v:textbox>
              <w10:wrap type="square"/>
            </v:rect>
          </w:pict>
        </mc:Fallback>
      </mc:AlternateContent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jc w:val="center"/>
      <w:rPr/>
    </w:pPr>
    <w:r>
      <w:rPr/>
      <w:fldChar w:fldCharType="begin"/>
    </w:r>
    <w:r>
      <w:rPr/>
      <w:instrText xml:space="preserve"> PAGE </w:instrText>
    </w:r>
    <w:r>
      <w:rPr/>
      <w:fldChar w:fldCharType="separate"/>
    </w:r>
    <w:r>
      <w:rPr/>
      <w:t>2</w:t>
    </w:r>
    <w:r>
      <w:rPr/>
      <w:fldChar w:fldCharType="end"/>
    </w:r>
  </w:p>
</w:hdr>
</file>

<file path=word/header3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jc w:val="center"/>
      <w:rPr/>
    </w:pPr>
    <w:r>
      <w:rPr/>
    </w:r>
  </w:p>
</w:hdr>
</file>

<file path=word/header4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jc w:val="center"/>
      <w:rPr/>
    </w:pPr>
    <w:r>
      <w:rPr/>
      <w:fldChar w:fldCharType="begin"/>
    </w:r>
    <w:r>
      <w:rPr/>
      <w:instrText xml:space="preserve"> PAGE </w:instrText>
    </w:r>
    <w:r>
      <w:rPr/>
      <w:fldChar w:fldCharType="separate"/>
    </w:r>
    <w:r>
      <w:rPr/>
      <w:t>7</w:t>
    </w:r>
    <w:r>
      <w:rPr/>
      <w:fldChar w:fldCharType="end"/>
    </w:r>
  </w:p>
</w:hdr>
</file>

<file path=word/header5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jc w:val="center"/>
      <w:rPr/>
    </w:pPr>
    <w:r>
      <w:rPr/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/>
    </w:lvl>
    <w:lvl w:ilvl="1">
      <w:start w:val="1"/>
      <w:numFmt w:val="decimal"/>
      <w:lvlText w:val="%1.%2."/>
      <w:lvlJc w:val="left"/>
      <w:pPr>
        <w:tabs>
          <w:tab w:val="num" w:pos="357"/>
        </w:tabs>
        <w:ind w:left="0" w:hanging="0"/>
      </w:pPr>
      <w:rPr/>
    </w:lvl>
    <w:lvl w:ilvl="2">
      <w:start w:val="1"/>
      <w:numFmt w:val="decimal"/>
      <w:lvlText w:val="%1.%2.%3."/>
      <w:lvlJc w:val="left"/>
      <w:pPr>
        <w:tabs>
          <w:tab w:val="num" w:pos="357"/>
        </w:tabs>
        <w:ind w:left="0" w:hanging="0"/>
      </w:pPr>
      <w:rPr/>
    </w:lvl>
    <w:lvl w:ilvl="3">
      <w:start w:val="1"/>
      <w:numFmt w:val="decimal"/>
      <w:lvlText w:val="%1.%2.%3.%4."/>
      <w:lvlJc w:val="left"/>
      <w:pPr>
        <w:tabs>
          <w:tab w:val="num" w:pos="357"/>
        </w:tabs>
        <w:ind w:left="0" w:hanging="0"/>
      </w:pPr>
      <w:rPr/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0" w:hanging="0"/>
      </w:pPr>
      <w:rPr/>
    </w:lvl>
    <w:lvl w:ilvl="5">
      <w:start w:val="1"/>
      <w:numFmt w:val="decimal"/>
      <w:lvlText w:val="%1.%2.%3.%4.%5.%6."/>
      <w:lvlJc w:val="left"/>
      <w:pPr>
        <w:tabs>
          <w:tab w:val="num" w:pos="357"/>
        </w:tabs>
        <w:ind w:left="0" w:hanging="0"/>
      </w:pPr>
      <w:rPr/>
    </w:lvl>
    <w:lvl w:ilvl="6">
      <w:start w:val="1"/>
      <w:numFmt w:val="decimal"/>
      <w:lvlText w:val="%1.%2.%3.%4.%5.%6.%7."/>
      <w:lvlJc w:val="left"/>
      <w:pPr>
        <w:tabs>
          <w:tab w:val="num" w:pos="357"/>
        </w:tabs>
        <w:ind w:left="0" w:hanging="0"/>
      </w:pPr>
      <w:rPr/>
    </w:lvl>
    <w:lvl w:ilvl="7">
      <w:start w:val="1"/>
      <w:numFmt w:val="decimal"/>
      <w:lvlText w:val="%1.%2.%3.%4.%5.%6.%7.%8."/>
      <w:lvlJc w:val="left"/>
      <w:pPr>
        <w:tabs>
          <w:tab w:val="num" w:pos="357"/>
        </w:tabs>
        <w:ind w:left="0" w:hanging="0"/>
      </w:pPr>
      <w:rPr/>
    </w:lvl>
    <w:lvl w:ilvl="8">
      <w:start w:val="1"/>
      <w:numFmt w:val="decimal"/>
      <w:lvlText w:val="%1.%2.%3.%4.%5.%6.%7.%8.%9."/>
      <w:lvlJc w:val="left"/>
      <w:pPr>
        <w:tabs>
          <w:tab w:val="num" w:pos="357"/>
        </w:tabs>
        <w:ind w:left="0" w:hanging="0"/>
      </w:pPr>
      <w:rPr/>
    </w:lvl>
  </w:abstractNum>
  <w:abstractNum w:abstractNumId="2">
    <w:lvl w:ilvl="0">
      <w:start w:val="4"/>
      <w:numFmt w:val="bullet"/>
      <w:lvlText w:val="-"/>
      <w:lvlJc w:val="left"/>
      <w:pPr>
        <w:tabs>
          <w:tab w:val="num" w:pos="0"/>
        </w:tabs>
        <w:ind w:left="-207" w:hanging="36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513"/>
        </w:tabs>
        <w:ind w:left="513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1233"/>
        </w:tabs>
        <w:ind w:left="1233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1953"/>
        </w:tabs>
        <w:ind w:left="1953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2673"/>
        </w:tabs>
        <w:ind w:left="2673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3393"/>
        </w:tabs>
        <w:ind w:left="3393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4113"/>
        </w:tabs>
        <w:ind w:left="4113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4833"/>
        </w:tabs>
        <w:ind w:left="4833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5553"/>
        </w:tabs>
        <w:ind w:left="5553" w:hanging="360"/>
      </w:pPr>
      <w:rPr>
        <w:rFonts w:ascii="Wingdings" w:hAnsi="Wingdings" w:cs="Wingdings" w:hint="default"/>
      </w:rPr>
    </w:lvl>
  </w:abstractNum>
  <w:abstractNum w:abstractNumId="3">
    <w:lvl w:ilvl="0">
      <w:start w:val="1"/>
      <w:numFmt w:val="decimal"/>
      <w:lvlText w:val="%1."/>
      <w:lvlJc w:val="left"/>
      <w:pPr>
        <w:tabs>
          <w:tab w:val="num" w:pos="0"/>
        </w:tabs>
        <w:ind w:left="5038" w:hanging="360"/>
      </w:pPr>
      <w:rPr>
        <w:smallCaps w:val="false"/>
        <w:caps w:val="false"/>
        <w:dstrike w:val="false"/>
        <w:strike w:val="false"/>
        <w:vertAlign w:val="baseline"/>
        <w:position w:val="0"/>
        <w:sz w:val="28"/>
        <w:sz w:val="28"/>
        <w:spacing w:val="0"/>
        <w:i w:val="false"/>
        <w:u w:val="none"/>
        <w:b/>
        <w:kern w:val="0"/>
        <w:effect w:val="none"/>
        <w:szCs w:val="28"/>
        <w:iCs w:val="false"/>
        <w:bCs w:val="false"/>
        <w:em w:val="none"/>
        <w:vanish w:val="false"/>
        <w:rFonts w:ascii="Times New Roman" w:hAnsi="Times New Roman" w:cs="Times New Roman"/>
        <w:color w:val="00000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432" w:hanging="432"/>
      </w:pPr>
      <w:rPr>
        <w:sz w:val="24"/>
        <w:i w:val="false"/>
        <w:b/>
        <w:szCs w:val="24"/>
        <w:iCs/>
        <w:bCs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  <w:rPr/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  <w:rPr/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  <w:rPr/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  <w:rPr/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  <w:rPr/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  <w:rPr/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  <w:rPr/>
    </w:lvl>
  </w:abstractNum>
  <w:abstractNum w:abstractNumId="4">
    <w:lvl w:ilvl="0">
      <w:start w:val="1"/>
      <w:numFmt w:val="decimal"/>
      <w:lvlText w:val="%1."/>
      <w:lvlJc w:val="left"/>
      <w:pPr>
        <w:tabs>
          <w:tab w:val="num" w:pos="0"/>
        </w:tabs>
        <w:ind w:left="1134" w:hanging="1134"/>
      </w:pPr>
      <w:rPr/>
    </w:lvl>
    <w:lvl w:ilvl="1">
      <w:start w:val="1"/>
      <w:numFmt w:val="decimal"/>
      <w:lvlText w:val="%1.%2."/>
      <w:lvlJc w:val="left"/>
      <w:pPr>
        <w:tabs>
          <w:tab w:val="num" w:pos="0"/>
        </w:tabs>
        <w:ind w:left="1134" w:hanging="1134"/>
      </w:pPr>
      <w:rPr/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134" w:hanging="1134"/>
      </w:pPr>
      <w:rPr/>
    </w:lvl>
    <w:lvl w:ilvl="3">
      <w:start w:val="1"/>
      <w:numFmt w:val="russianLower"/>
      <w:lvlText w:val="(%4)"/>
      <w:lvlJc w:val="left"/>
      <w:pPr>
        <w:tabs>
          <w:tab w:val="num" w:pos="0"/>
        </w:tabs>
        <w:ind w:left="1985" w:hanging="567"/>
      </w:pPr>
      <w:rPr/>
    </w:lvl>
    <w:lvl w:ilvl="4">
      <w:start w:val="1"/>
      <w:numFmt w:val="bullet"/>
      <w:lvlText w:val="–"/>
      <w:lvlJc w:val="left"/>
      <w:pPr>
        <w:tabs>
          <w:tab w:val="num" w:pos="0"/>
        </w:tabs>
        <w:ind w:left="2268" w:hanging="567"/>
      </w:pPr>
      <w:rPr>
        <w:rFonts w:ascii="Times New Roman" w:hAnsi="Times New Roman" w:cs="Times New Roman" w:hint="default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34" w:hanging="0"/>
      </w:pPr>
      <w:rPr/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701" w:hanging="0"/>
      </w:pPr>
      <w:rPr/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134" w:hanging="0"/>
      </w:pPr>
      <w:rPr/>
    </w:lvl>
  </w:abstractNum>
  <w:abstractNum w:abstractNumId="5">
    <w:lvl w:ilvl="0">
      <w:start w:val="1"/>
      <w:numFmt w:val="decimal"/>
      <w:lvlText w:val="1.%1"/>
      <w:lvlJc w:val="left"/>
      <w:pPr>
        <w:tabs>
          <w:tab w:val="num" w:pos="0"/>
        </w:tabs>
        <w:ind w:left="1429" w:hanging="360"/>
      </w:pPr>
      <w:rPr/>
    </w:lvl>
    <w:lvl w:ilvl="1">
      <w:start w:val="1"/>
      <w:numFmt w:val="lowerLetter"/>
      <w:lvlText w:val="%2."/>
      <w:lvlJc w:val="left"/>
      <w:pPr>
        <w:tabs>
          <w:tab w:val="num" w:pos="0"/>
        </w:tabs>
        <w:ind w:left="2149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2869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3589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4309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5029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749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6469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7189" w:hanging="180"/>
      </w:pPr>
      <w:rPr/>
    </w:lvl>
  </w:abstractNum>
  <w:abstractNum w:abstractNumId="6"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/>
    </w:lvl>
    <w:lvl w:ilvl="1">
      <w:start w:val="1"/>
      <w:numFmt w:val="decimal"/>
      <w:lvlText w:val="%1.%2."/>
      <w:lvlJc w:val="left"/>
      <w:pPr>
        <w:tabs>
          <w:tab w:val="num" w:pos="0"/>
        </w:tabs>
        <w:ind w:left="792" w:hanging="432"/>
      </w:pPr>
      <w:rPr/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  <w:rPr/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  <w:rPr/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  <w:rPr/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  <w:rPr/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  <w:rPr/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  <w:rPr/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  <w:rPr/>
    </w:lvl>
  </w:abstractNum>
  <w:abstractNum w:abstractNumId="7"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/>
    </w:lvl>
    <w:lvl w:ilvl="1">
      <w:start w:val="1"/>
      <w:numFmt w:val="decimal"/>
      <w:lvlText w:val="%1.%2."/>
      <w:lvlJc w:val="left"/>
      <w:pPr>
        <w:tabs>
          <w:tab w:val="num" w:pos="0"/>
        </w:tabs>
        <w:ind w:left="792" w:hanging="432"/>
      </w:pPr>
      <w:rPr/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  <w:rPr/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  <w:rPr/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  <w:rPr/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  <w:rPr/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  <w:rPr/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  <w:rPr/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  <w:rPr/>
    </w:lvl>
  </w:abstractNum>
  <w:abstractNum w:abstractNumId="8"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sz w:val="24"/>
        <w:b/>
        <w:szCs w:val="24"/>
        <w:bCs w:val="false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792" w:hanging="432"/>
      </w:pPr>
      <w:rPr>
        <w:sz w:val="24"/>
        <w:b w:val="false"/>
        <w:szCs w:val="24"/>
        <w:bCs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  <w:rPr>
        <w:sz w:val="24"/>
        <w:szCs w:val="24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  <w:rPr/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  <w:rPr/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  <w:rPr/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  <w:rPr/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  <w:rPr/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  <w:rPr/>
    </w:lvl>
  </w:abstractNum>
  <w:abstractNum w:abstractNumId="9"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/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/>
    </w:lvl>
  </w:abstractNum>
  <w:abstractNum w:abstractNumId="10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</w:numbering>
</file>

<file path=word/settings.xml><?xml version="1.0" encoding="utf-8"?>
<w:settings xmlns:w="http://schemas.openxmlformats.org/wordprocessingml/2006/main">
  <w:zoom w:percent="100"/>
  <w:defaultTabStop w:val="708"/>
  <w:autoHyphenation w:val="true"/>
  <w:compat>
    <w:compatSetting w:name="compatibilityMode" w:uri="http://schemas.microsoft.com/office/word" w:val="12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Times New Roman" w:cs="Times New Roman"/>
        <w:lang w:val="ru-RU" w:eastAsia="ru-RU" w:bidi="ar-SA"/>
      </w:rPr>
    </w:rPrDefault>
    <w:pPrDefault>
      <w:pPr>
        <w:suppressAutoHyphens w:val="true"/>
      </w:pPr>
    </w:pPrDefault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uiPriority="99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uiPriority="99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table of authorities" w:semiHidden="1" w:unhideWhenUsed="1"/>
    <w:lsdException w:name="macro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iPriority="99" w:semiHidden="1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uiPriority="99" w:semiHidden="1" w:unhideWhenUsed="1"/>
    <w:lsdException w:name="HTML Top of Form" w:semiHidden="1" w:unhideWhenUsed="1"/>
    <w:lsdException w:name="HTML Bottom of Form" w:semiHidden="1" w:unhideWhenUsed="1"/>
    <w:lsdException w:name="Normal (Web)" w:uiPriority="99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uiPriority="99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uiPriority="99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iPriority="99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rsid w:val="00a2166f"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auto"/>
      <w:kern w:val="0"/>
      <w:sz w:val="28"/>
      <w:szCs w:val="28"/>
      <w:lang w:val="ru-RU" w:eastAsia="ru-RU" w:bidi="ar-SA"/>
    </w:rPr>
  </w:style>
  <w:style w:type="paragraph" w:styleId="Heading1">
    <w:name w:val="Heading 1"/>
    <w:basedOn w:val="Heading3"/>
    <w:next w:val="Normal"/>
    <w:link w:val="12"/>
    <w:qFormat/>
    <w:rsid w:val="00353a27"/>
    <w:pPr>
      <w:outlineLvl w:val="0"/>
    </w:pPr>
    <w:rPr>
      <w:sz w:val="28"/>
      <w:szCs w:val="28"/>
    </w:rPr>
  </w:style>
  <w:style w:type="paragraph" w:styleId="Heading2">
    <w:name w:val="Heading 2"/>
    <w:basedOn w:val="Heading4"/>
    <w:next w:val="Normal"/>
    <w:link w:val="2"/>
    <w:qFormat/>
    <w:rsid w:val="00ea61a8"/>
    <w:pPr>
      <w:outlineLvl w:val="1"/>
    </w:pPr>
    <w:rPr/>
  </w:style>
  <w:style w:type="paragraph" w:styleId="Heading3">
    <w:name w:val="Heading 3"/>
    <w:basedOn w:val="Normal"/>
    <w:next w:val="Normal"/>
    <w:link w:val="3"/>
    <w:autoRedefine/>
    <w:qFormat/>
    <w:rsid w:val="00035e96"/>
    <w:pPr>
      <w:keepNext w:val="true"/>
      <w:tabs>
        <w:tab w:val="clear" w:pos="708"/>
        <w:tab w:val="left" w:pos="0" w:leader="none"/>
      </w:tabs>
      <w:spacing w:before="120" w:after="60"/>
      <w:ind w:left="1224" w:hanging="504"/>
      <w:outlineLvl w:val="2"/>
    </w:pPr>
    <w:rPr>
      <w:rFonts w:eastAsia="Calibri"/>
      <w:b/>
      <w:sz w:val="24"/>
      <w:szCs w:val="24"/>
      <w:lang w:val="x-none" w:eastAsia="x-none"/>
    </w:rPr>
  </w:style>
  <w:style w:type="paragraph" w:styleId="Heading4">
    <w:name w:val="Heading 4"/>
    <w:basedOn w:val="Heading3"/>
    <w:next w:val="Normal"/>
    <w:link w:val="4"/>
    <w:qFormat/>
    <w:rsid w:val="006629c9"/>
    <w:pPr>
      <w:outlineLvl w:val="3"/>
    </w:pPr>
    <w:rPr>
      <w:bCs/>
    </w:rPr>
  </w:style>
  <w:style w:type="paragraph" w:styleId="Heading5">
    <w:name w:val="Heading 5"/>
    <w:basedOn w:val="Normal"/>
    <w:next w:val="Normal"/>
    <w:link w:val="5"/>
    <w:uiPriority w:val="9"/>
    <w:qFormat/>
    <w:rsid w:val="0076353a"/>
    <w:pPr>
      <w:spacing w:before="240" w:after="60"/>
      <w:outlineLvl w:val="4"/>
    </w:pPr>
    <w:rPr>
      <w:b/>
      <w:bCs/>
      <w:i/>
      <w:iCs/>
      <w:sz w:val="26"/>
      <w:szCs w:val="26"/>
      <w:lang w:val="x-none" w:eastAsia="x-none"/>
    </w:rPr>
  </w:style>
  <w:style w:type="paragraph" w:styleId="Heading6">
    <w:name w:val="Heading 6"/>
    <w:basedOn w:val="Normal"/>
    <w:next w:val="Normal"/>
    <w:link w:val="6"/>
    <w:uiPriority w:val="9"/>
    <w:qFormat/>
    <w:rsid w:val="00d22f6d"/>
    <w:pPr>
      <w:keepNext w:val="true"/>
      <w:keepLines/>
      <w:spacing w:before="200" w:after="0"/>
      <w:outlineLvl w:val="5"/>
    </w:pPr>
    <w:rPr>
      <w:rFonts w:ascii="Cambria" w:hAnsi="Cambria"/>
      <w:i/>
      <w:iCs/>
      <w:color w:val="243F60"/>
      <w:sz w:val="20"/>
      <w:szCs w:val="20"/>
      <w:lang w:val="x-none" w:eastAsia="x-none"/>
    </w:rPr>
  </w:style>
  <w:style w:type="paragraph" w:styleId="Heading7">
    <w:name w:val="Heading 7"/>
    <w:basedOn w:val="Normal"/>
    <w:next w:val="Normal"/>
    <w:link w:val="7"/>
    <w:uiPriority w:val="9"/>
    <w:qFormat/>
    <w:rsid w:val="00d22f6d"/>
    <w:pPr>
      <w:keepNext w:val="true"/>
      <w:keepLines/>
      <w:spacing w:before="200" w:after="0"/>
      <w:outlineLvl w:val="6"/>
    </w:pPr>
    <w:rPr>
      <w:rFonts w:ascii="Cambria" w:hAnsi="Cambria"/>
      <w:i/>
      <w:iCs/>
      <w:color w:val="404040"/>
      <w:sz w:val="20"/>
      <w:szCs w:val="20"/>
      <w:lang w:val="x-none" w:eastAsia="x-none"/>
    </w:rPr>
  </w:style>
  <w:style w:type="paragraph" w:styleId="Heading8">
    <w:name w:val="Heading 8"/>
    <w:basedOn w:val="Normal"/>
    <w:next w:val="Normal"/>
    <w:link w:val="8"/>
    <w:uiPriority w:val="9"/>
    <w:qFormat/>
    <w:rsid w:val="00d22f6d"/>
    <w:pPr>
      <w:keepNext w:val="true"/>
      <w:keepLines/>
      <w:spacing w:before="200" w:after="0"/>
      <w:outlineLvl w:val="7"/>
    </w:pPr>
    <w:rPr>
      <w:rFonts w:ascii="Cambria" w:hAnsi="Cambria"/>
      <w:color w:val="4F81BD"/>
      <w:sz w:val="20"/>
      <w:szCs w:val="20"/>
      <w:lang w:val="x-none" w:eastAsia="x-none"/>
    </w:rPr>
  </w:style>
  <w:style w:type="paragraph" w:styleId="Heading9">
    <w:name w:val="Heading 9"/>
    <w:basedOn w:val="Normal"/>
    <w:next w:val="Normal"/>
    <w:link w:val="9"/>
    <w:uiPriority w:val="9"/>
    <w:qFormat/>
    <w:rsid w:val="0076353a"/>
    <w:pPr>
      <w:spacing w:before="240" w:after="60"/>
      <w:outlineLvl w:val="8"/>
    </w:pPr>
    <w:rPr>
      <w:rFonts w:ascii="Arial" w:hAnsi="Arial"/>
      <w:sz w:val="22"/>
      <w:szCs w:val="22"/>
      <w:lang w:val="x-none" w:eastAsia="x-none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1" w:customStyle="1">
    <w:name w:val="Знак сноски1"/>
    <w:qFormat/>
    <w:rPr>
      <w:vertAlign w:val="superscript"/>
    </w:rPr>
  </w:style>
  <w:style w:type="character" w:styleId="FootnoteCharacters" w:customStyle="1">
    <w:name w:val="Footnote Characters"/>
    <w:qFormat/>
    <w:rsid w:val="00d561d9"/>
    <w:rPr>
      <w:vertAlign w:val="superscript"/>
    </w:rPr>
  </w:style>
  <w:style w:type="character" w:styleId="Pagenumber">
    <w:name w:val="page number"/>
    <w:basedOn w:val="DefaultParagraphFont"/>
    <w:qFormat/>
    <w:rsid w:val="006c2f3f"/>
    <w:rPr/>
  </w:style>
  <w:style w:type="character" w:styleId="11" w:customStyle="1">
    <w:name w:val="Гиперссылка1"/>
    <w:uiPriority w:val="99"/>
    <w:qFormat/>
    <w:rsid w:val="006c2f3f"/>
    <w:rPr>
      <w:color w:val="0000FF"/>
      <w:u w:val="single"/>
    </w:rPr>
  </w:style>
  <w:style w:type="character" w:styleId="Annotationreference">
    <w:name w:val="annotation reference"/>
    <w:uiPriority w:val="99"/>
    <w:semiHidden/>
    <w:qFormat/>
    <w:rsid w:val="00b714b0"/>
    <w:rPr>
      <w:sz w:val="16"/>
      <w:szCs w:val="16"/>
    </w:rPr>
  </w:style>
  <w:style w:type="character" w:styleId="Strong">
    <w:name w:val="Strong"/>
    <w:qFormat/>
    <w:rsid w:val="00165965"/>
    <w:rPr>
      <w:b/>
      <w:bCs/>
    </w:rPr>
  </w:style>
  <w:style w:type="character" w:styleId="6" w:customStyle="1">
    <w:name w:val="Заголовок 6 Знак"/>
    <w:uiPriority w:val="9"/>
    <w:qFormat/>
    <w:rsid w:val="00d22f6d"/>
    <w:rPr>
      <w:rFonts w:ascii="Cambria" w:hAnsi="Cambria"/>
      <w:i/>
      <w:iCs/>
      <w:color w:val="243F60"/>
      <w:lang w:val="x-none" w:eastAsia="x-none"/>
    </w:rPr>
  </w:style>
  <w:style w:type="character" w:styleId="7" w:customStyle="1">
    <w:name w:val="Заголовок 7 Знак"/>
    <w:uiPriority w:val="9"/>
    <w:qFormat/>
    <w:rsid w:val="00d22f6d"/>
    <w:rPr>
      <w:rFonts w:ascii="Cambria" w:hAnsi="Cambria"/>
      <w:i/>
      <w:iCs/>
      <w:color w:val="404040"/>
      <w:lang w:val="x-none" w:eastAsia="x-none"/>
    </w:rPr>
  </w:style>
  <w:style w:type="character" w:styleId="8" w:customStyle="1">
    <w:name w:val="Заголовок 8 Знак"/>
    <w:uiPriority w:val="9"/>
    <w:qFormat/>
    <w:rsid w:val="00d22f6d"/>
    <w:rPr>
      <w:rFonts w:ascii="Cambria" w:hAnsi="Cambria"/>
      <w:color w:val="4F81BD"/>
      <w:lang w:val="x-none" w:eastAsia="x-none"/>
    </w:rPr>
  </w:style>
  <w:style w:type="character" w:styleId="12" w:customStyle="1">
    <w:name w:val="Заголовок 1 Знак"/>
    <w:qFormat/>
    <w:rsid w:val="00353a27"/>
    <w:rPr>
      <w:rFonts w:eastAsia="Calibri"/>
      <w:b/>
      <w:sz w:val="28"/>
      <w:szCs w:val="28"/>
      <w:lang w:val="x-none" w:eastAsia="x-none"/>
    </w:rPr>
  </w:style>
  <w:style w:type="character" w:styleId="2" w:customStyle="1">
    <w:name w:val="Заголовок 2 Знак"/>
    <w:qFormat/>
    <w:rsid w:val="00ea61a8"/>
    <w:rPr>
      <w:rFonts w:eastAsia="Calibri"/>
      <w:b/>
      <w:bCs/>
      <w:sz w:val="24"/>
      <w:szCs w:val="24"/>
      <w:lang w:val="x-none" w:eastAsia="x-none"/>
    </w:rPr>
  </w:style>
  <w:style w:type="character" w:styleId="3" w:customStyle="1">
    <w:name w:val="Заголовок 3 Знак"/>
    <w:qFormat/>
    <w:rsid w:val="00035e96"/>
    <w:rPr>
      <w:rFonts w:eastAsia="Calibri"/>
      <w:b/>
      <w:sz w:val="24"/>
      <w:szCs w:val="24"/>
      <w:lang w:val="x-none" w:eastAsia="x-none"/>
    </w:rPr>
  </w:style>
  <w:style w:type="character" w:styleId="4" w:customStyle="1">
    <w:name w:val="Заголовок 4 Знак"/>
    <w:qFormat/>
    <w:rsid w:val="006629c9"/>
    <w:rPr>
      <w:rFonts w:eastAsia="Calibri"/>
      <w:b/>
      <w:bCs/>
      <w:sz w:val="24"/>
      <w:szCs w:val="24"/>
      <w:lang w:val="x-none" w:eastAsia="x-none"/>
    </w:rPr>
  </w:style>
  <w:style w:type="character" w:styleId="5" w:customStyle="1">
    <w:name w:val="Заголовок 5 Знак"/>
    <w:uiPriority w:val="9"/>
    <w:qFormat/>
    <w:rsid w:val="00d22f6d"/>
    <w:rPr>
      <w:b/>
      <w:bCs/>
      <w:i/>
      <w:iCs/>
      <w:sz w:val="26"/>
      <w:szCs w:val="26"/>
    </w:rPr>
  </w:style>
  <w:style w:type="character" w:styleId="9" w:customStyle="1">
    <w:name w:val="Заголовок 9 Знак"/>
    <w:uiPriority w:val="9"/>
    <w:qFormat/>
    <w:rsid w:val="00d22f6d"/>
    <w:rPr>
      <w:rFonts w:ascii="Arial" w:hAnsi="Arial" w:cs="Arial"/>
      <w:sz w:val="22"/>
      <w:szCs w:val="22"/>
    </w:rPr>
  </w:style>
  <w:style w:type="character" w:styleId="Style" w:customStyle="1">
    <w:name w:val="Название Знак"/>
    <w:link w:val="19"/>
    <w:uiPriority w:val="10"/>
    <w:qFormat/>
    <w:rsid w:val="00d22f6d"/>
    <w:rPr>
      <w:sz w:val="28"/>
    </w:rPr>
  </w:style>
  <w:style w:type="character" w:styleId="Style1" w:customStyle="1">
    <w:name w:val="Подзаголовок Знак"/>
    <w:uiPriority w:val="11"/>
    <w:qFormat/>
    <w:rsid w:val="00d22f6d"/>
    <w:rPr>
      <w:rFonts w:ascii="Cambria" w:hAnsi="Cambria"/>
      <w:i/>
      <w:iCs/>
      <w:color w:val="4F81BD"/>
      <w:spacing w:val="15"/>
      <w:sz w:val="24"/>
      <w:szCs w:val="24"/>
      <w:lang w:val="x-none" w:eastAsia="x-none"/>
    </w:rPr>
  </w:style>
  <w:style w:type="character" w:styleId="Emphasis">
    <w:name w:val="Emphasis"/>
    <w:uiPriority w:val="20"/>
    <w:qFormat/>
    <w:rsid w:val="00d22f6d"/>
    <w:rPr>
      <w:i/>
      <w:iCs/>
    </w:rPr>
  </w:style>
  <w:style w:type="character" w:styleId="21" w:customStyle="1">
    <w:name w:val="Цитата 2 Знак"/>
    <w:link w:val="Quote"/>
    <w:uiPriority w:val="29"/>
    <w:qFormat/>
    <w:rsid w:val="00d22f6d"/>
    <w:rPr>
      <w:rFonts w:ascii="Calibri" w:hAnsi="Calibri" w:eastAsia="Calibri"/>
      <w:i/>
      <w:iCs/>
      <w:color w:val="000000"/>
      <w:lang w:val="x-none" w:eastAsia="x-none"/>
    </w:rPr>
  </w:style>
  <w:style w:type="character" w:styleId="Style2" w:customStyle="1">
    <w:name w:val="Выделенная цитата Знак"/>
    <w:link w:val="IntenseQuote"/>
    <w:uiPriority w:val="30"/>
    <w:qFormat/>
    <w:rsid w:val="00d22f6d"/>
    <w:rPr>
      <w:rFonts w:ascii="Calibri" w:hAnsi="Calibri" w:eastAsia="Calibri"/>
      <w:b/>
      <w:bCs/>
      <w:i/>
      <w:iCs/>
      <w:color w:val="4F81BD"/>
      <w:lang w:val="x-none" w:eastAsia="x-none"/>
    </w:rPr>
  </w:style>
  <w:style w:type="character" w:styleId="SubtleEmphasis">
    <w:name w:val="Subtle Emphasis"/>
    <w:uiPriority w:val="19"/>
    <w:qFormat/>
    <w:rsid w:val="00d22f6d"/>
    <w:rPr>
      <w:i/>
      <w:iCs/>
      <w:color w:val="808080"/>
    </w:rPr>
  </w:style>
  <w:style w:type="character" w:styleId="IntenseEmphasis">
    <w:name w:val="Intense Emphasis"/>
    <w:uiPriority w:val="21"/>
    <w:qFormat/>
    <w:rsid w:val="00d22f6d"/>
    <w:rPr>
      <w:b/>
      <w:bCs/>
      <w:i/>
      <w:iCs/>
      <w:color w:val="4F81BD"/>
    </w:rPr>
  </w:style>
  <w:style w:type="character" w:styleId="SubtleReference">
    <w:name w:val="Subtle Reference"/>
    <w:uiPriority w:val="31"/>
    <w:qFormat/>
    <w:rsid w:val="00d22f6d"/>
    <w:rPr>
      <w:smallCaps/>
      <w:color w:val="C0504D"/>
      <w:u w:val="single"/>
    </w:rPr>
  </w:style>
  <w:style w:type="character" w:styleId="IntenseReference">
    <w:name w:val="Intense Reference"/>
    <w:uiPriority w:val="32"/>
    <w:qFormat/>
    <w:rsid w:val="00d22f6d"/>
    <w:rPr>
      <w:b/>
      <w:bCs/>
      <w:smallCaps/>
      <w:color w:val="C0504D"/>
      <w:spacing w:val="5"/>
      <w:u w:val="single"/>
    </w:rPr>
  </w:style>
  <w:style w:type="character" w:styleId="BookTitle">
    <w:name w:val="Book Title"/>
    <w:uiPriority w:val="33"/>
    <w:qFormat/>
    <w:rsid w:val="00d22f6d"/>
    <w:rPr>
      <w:b/>
      <w:bCs/>
      <w:smallCaps/>
      <w:spacing w:val="5"/>
    </w:rPr>
  </w:style>
  <w:style w:type="character" w:styleId="Style3" w:customStyle="1">
    <w:name w:val="Электронная подпись Знак"/>
    <w:link w:val="E-mailSignature"/>
    <w:uiPriority w:val="99"/>
    <w:qFormat/>
    <w:rsid w:val="00d22f6d"/>
    <w:rPr>
      <w:rFonts w:eastAsia="Calibri"/>
      <w:sz w:val="24"/>
      <w:szCs w:val="24"/>
    </w:rPr>
  </w:style>
  <w:style w:type="character" w:styleId="13" w:customStyle="1">
    <w:name w:val="Подпункт Знак1"/>
    <w:link w:val="Style21"/>
    <w:qFormat/>
    <w:locked/>
    <w:rsid w:val="00d22f6d"/>
    <w:rPr>
      <w:sz w:val="28"/>
    </w:rPr>
  </w:style>
  <w:style w:type="character" w:styleId="Style4" w:customStyle="1">
    <w:name w:val="Текст сноски Знак"/>
    <w:uiPriority w:val="99"/>
    <w:qFormat/>
    <w:rsid w:val="00d22f6d"/>
    <w:rPr/>
  </w:style>
  <w:style w:type="character" w:styleId="Style5" w:customStyle="1">
    <w:name w:val="Основной текст Знак"/>
    <w:qFormat/>
    <w:rsid w:val="004459a5"/>
    <w:rPr>
      <w:sz w:val="28"/>
      <w:szCs w:val="28"/>
    </w:rPr>
  </w:style>
  <w:style w:type="character" w:styleId="Blk" w:customStyle="1">
    <w:name w:val="blk"/>
    <w:qFormat/>
    <w:rsid w:val="00431ace"/>
    <w:rPr/>
  </w:style>
  <w:style w:type="character" w:styleId="Style6" w:customStyle="1">
    <w:name w:val="Абзац списка Знак"/>
    <w:link w:val="ListParagraph"/>
    <w:uiPriority w:val="34"/>
    <w:qFormat/>
    <w:locked/>
    <w:rsid w:val="00310eb4"/>
    <w:rPr>
      <w:rFonts w:eastAsia="Calibri"/>
      <w:sz w:val="24"/>
      <w:szCs w:val="24"/>
    </w:rPr>
  </w:style>
  <w:style w:type="character" w:styleId="Style7" w:customStyle="1">
    <w:name w:val="комментарий"/>
    <w:qFormat/>
    <w:rsid w:val="0025139e"/>
    <w:rPr>
      <w:b/>
      <w:i/>
      <w:shd w:fill="FFFF99" w:val="clear"/>
    </w:rPr>
  </w:style>
  <w:style w:type="character" w:styleId="Style8" w:customStyle="1">
    <w:name w:val="Подподпункт Знак"/>
    <w:link w:val="Style29"/>
    <w:qFormat/>
    <w:locked/>
    <w:rsid w:val="0025139e"/>
    <w:rPr>
      <w:sz w:val="26"/>
      <w:szCs w:val="26"/>
    </w:rPr>
  </w:style>
  <w:style w:type="character" w:styleId="31" w:customStyle="1">
    <w:name w:val="УРОВЕНЬ_Абзац_тип3 Знак"/>
    <w:link w:val="36"/>
    <w:qFormat/>
    <w:rsid w:val="00b56f46"/>
    <w:rPr>
      <w:rFonts w:eastAsia="Calibri"/>
      <w:sz w:val="26"/>
      <w:szCs w:val="28"/>
      <w:lang w:eastAsia="en-US"/>
    </w:rPr>
  </w:style>
  <w:style w:type="character" w:styleId="Style9" w:customStyle="1">
    <w:name w:val="Верхний колонтитул Знак"/>
    <w:uiPriority w:val="99"/>
    <w:qFormat/>
    <w:rsid w:val="002f31af"/>
    <w:rPr>
      <w:sz w:val="24"/>
      <w:szCs w:val="24"/>
    </w:rPr>
  </w:style>
  <w:style w:type="character" w:styleId="Style10" w:customStyle="1">
    <w:name w:val="Текст примечания Знак"/>
    <w:link w:val="Annotationtext"/>
    <w:semiHidden/>
    <w:qFormat/>
    <w:rsid w:val="00dc0f7d"/>
    <w:rPr/>
  </w:style>
  <w:style w:type="character" w:styleId="Style11" w:customStyle="1">
    <w:name w:val="Текст концевой сноски Знак"/>
    <w:basedOn w:val="DefaultParagraphFont"/>
    <w:qFormat/>
    <w:rsid w:val="003879d4"/>
    <w:rPr/>
  </w:style>
  <w:style w:type="character" w:styleId="14" w:customStyle="1">
    <w:name w:val="Знак концевой сноски1"/>
    <w:qFormat/>
    <w:rPr>
      <w:vertAlign w:val="superscript"/>
    </w:rPr>
  </w:style>
  <w:style w:type="character" w:styleId="EndnoteCharacters" w:customStyle="1">
    <w:name w:val="Endnote Characters"/>
    <w:basedOn w:val="DefaultParagraphFont"/>
    <w:qFormat/>
    <w:rsid w:val="003879d4"/>
    <w:rPr>
      <w:vertAlign w:val="superscript"/>
    </w:rPr>
  </w:style>
  <w:style w:type="character" w:styleId="22" w:customStyle="1">
    <w:name w:val="Пункт2 Знак"/>
    <w:link w:val="24"/>
    <w:qFormat/>
    <w:rsid w:val="00de52bc"/>
    <w:rPr>
      <w:b/>
      <w:sz w:val="28"/>
    </w:rPr>
  </w:style>
  <w:style w:type="character" w:styleId="15" w:customStyle="1">
    <w:name w:val="УРОВЕНЬ_1. Знак"/>
    <w:link w:val="113"/>
    <w:qFormat/>
    <w:rsid w:val="004a17ae"/>
    <w:rPr>
      <w:rFonts w:eastAsia="Calibri"/>
      <w:caps/>
      <w:sz w:val="28"/>
      <w:szCs w:val="28"/>
      <w:lang w:eastAsia="en-US"/>
    </w:rPr>
  </w:style>
  <w:style w:type="character" w:styleId="16" w:customStyle="1">
    <w:name w:val="Неразрешенное упоминание1"/>
    <w:basedOn w:val="DefaultParagraphFont"/>
    <w:uiPriority w:val="99"/>
    <w:semiHidden/>
    <w:unhideWhenUsed/>
    <w:qFormat/>
    <w:rsid w:val="00c36f30"/>
    <w:rPr>
      <w:color w:val="605E5C"/>
      <w:shd w:fill="E1DFDD" w:val="clear"/>
    </w:rPr>
  </w:style>
  <w:style w:type="character" w:styleId="32" w:customStyle="1">
    <w:name w:val="Основной текст с отступом 3 Знак"/>
    <w:link w:val="BodyTextIndent3"/>
    <w:qFormat/>
    <w:rsid w:val="00c36f30"/>
    <w:rPr>
      <w:sz w:val="16"/>
      <w:szCs w:val="16"/>
    </w:rPr>
  </w:style>
  <w:style w:type="character" w:styleId="Style12" w:customStyle="1">
    <w:name w:val="Ссылка указателя"/>
    <w:qFormat/>
    <w:rPr/>
  </w:style>
  <w:style w:type="character" w:styleId="Hyperlink">
    <w:name w:val="Hyperlink"/>
    <w:rPr>
      <w:color w:val="000080"/>
      <w:u w:val="single"/>
    </w:rPr>
  </w:style>
  <w:style w:type="character" w:styleId="Style13" w:customStyle="1">
    <w:name w:val="Маркеры"/>
    <w:qFormat/>
    <w:rPr>
      <w:rFonts w:ascii="OpenSymbol" w:hAnsi="OpenSymbol" w:eastAsia="OpenSymbol" w:cs="OpenSymbol"/>
    </w:rPr>
  </w:style>
  <w:style w:type="character" w:styleId="Style14" w:customStyle="1">
    <w:name w:val="Символ нумерации"/>
    <w:qFormat/>
    <w:rPr/>
  </w:style>
  <w:style w:type="paragraph" w:styleId="Style15">
    <w:name w:val="Заголовок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Noto Sans CJK SC" w:cs="Arial Unicode MS"/>
      <w:sz w:val="28"/>
      <w:szCs w:val="28"/>
    </w:rPr>
  </w:style>
  <w:style w:type="paragraph" w:styleId="BodyText">
    <w:name w:val="Body Text"/>
    <w:basedOn w:val="Normal"/>
    <w:link w:val="Style5"/>
    <w:rsid w:val="0076353a"/>
    <w:pPr>
      <w:spacing w:before="0" w:after="120"/>
    </w:pPr>
    <w:rPr/>
  </w:style>
  <w:style w:type="paragraph" w:styleId="List">
    <w:name w:val="List"/>
    <w:basedOn w:val="BodyText"/>
    <w:pPr/>
    <w:rPr>
      <w:rFonts w:cs="Lucida 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 Unicode MS"/>
      <w:i/>
      <w:iCs/>
      <w:sz w:val="24"/>
      <w:szCs w:val="24"/>
    </w:rPr>
  </w:style>
  <w:style w:type="paragraph" w:styleId="Style16">
    <w:name w:val="Указатель"/>
    <w:basedOn w:val="Normal"/>
    <w:qFormat/>
    <w:pPr>
      <w:suppressLineNumbers/>
    </w:pPr>
    <w:rPr>
      <w:rFonts w:cs="Arial Unicode MS"/>
    </w:rPr>
  </w:style>
  <w:style w:type="paragraph" w:styleId="Title">
    <w:name w:val="Title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Lucida Sans"/>
    </w:rPr>
  </w:style>
  <w:style w:type="paragraph" w:styleId="Caption1">
    <w:name w:val="caption1"/>
    <w:basedOn w:val="Normal"/>
    <w:qFormat/>
    <w:pPr>
      <w:suppressLineNumbers/>
      <w:spacing w:before="120" w:after="120"/>
    </w:pPr>
    <w:rPr>
      <w:rFonts w:cs="Arial Unicode MS"/>
      <w:i/>
      <w:iCs/>
      <w:sz w:val="24"/>
      <w:szCs w:val="24"/>
    </w:rPr>
  </w:style>
  <w:style w:type="paragraph" w:styleId="Indexheading1">
    <w:name w:val="index heading1"/>
    <w:basedOn w:val="Title"/>
    <w:qFormat/>
    <w:pPr/>
    <w:rPr/>
  </w:style>
  <w:style w:type="paragraph" w:styleId="Caption11" w:customStyle="1">
    <w:name w:val="caption11"/>
    <w:basedOn w:val="Normal"/>
    <w:qFormat/>
    <w:pPr>
      <w:suppressLineNumbers/>
      <w:spacing w:before="120" w:after="120"/>
    </w:pPr>
    <w:rPr>
      <w:rFonts w:cs="Arial Unicode MS"/>
      <w:i/>
      <w:iCs/>
      <w:sz w:val="24"/>
      <w:szCs w:val="24"/>
    </w:rPr>
  </w:style>
  <w:style w:type="paragraph" w:styleId="Indexheading11" w:customStyle="1">
    <w:name w:val="index heading11"/>
    <w:basedOn w:val="Title"/>
    <w:qFormat/>
    <w:pPr/>
    <w:rPr/>
  </w:style>
  <w:style w:type="paragraph" w:styleId="Caption111" w:customStyle="1">
    <w:name w:val="caption111"/>
    <w:basedOn w:val="Normal"/>
    <w:qFormat/>
    <w:pPr>
      <w:suppressLineNumbers/>
      <w:spacing w:before="120" w:after="120"/>
    </w:pPr>
    <w:rPr>
      <w:rFonts w:cs="Arial Unicode MS"/>
      <w:i/>
      <w:iCs/>
      <w:sz w:val="24"/>
      <w:szCs w:val="24"/>
    </w:rPr>
  </w:style>
  <w:style w:type="paragraph" w:styleId="Indexheading111" w:customStyle="1">
    <w:name w:val="index heading111"/>
    <w:basedOn w:val="Title"/>
    <w:qFormat/>
    <w:pPr/>
    <w:rPr/>
  </w:style>
  <w:style w:type="paragraph" w:styleId="Caption1111" w:customStyle="1">
    <w:name w:val="caption1111"/>
    <w:basedOn w:val="Normal"/>
    <w:qFormat/>
    <w:pPr>
      <w:suppressLineNumbers/>
      <w:spacing w:before="120" w:after="120"/>
    </w:pPr>
    <w:rPr>
      <w:rFonts w:cs="Arial Unicode MS"/>
      <w:i/>
      <w:iCs/>
      <w:sz w:val="24"/>
      <w:szCs w:val="24"/>
    </w:rPr>
  </w:style>
  <w:style w:type="paragraph" w:styleId="Indexheading1111" w:customStyle="1">
    <w:name w:val="index heading1111"/>
    <w:basedOn w:val="Title"/>
    <w:qFormat/>
    <w:pPr/>
    <w:rPr/>
  </w:style>
  <w:style w:type="paragraph" w:styleId="Caption11111" w:customStyle="1">
    <w:name w:val="caption11111"/>
    <w:basedOn w:val="Normal"/>
    <w:qFormat/>
    <w:pPr>
      <w:suppressLineNumbers/>
      <w:spacing w:before="120" w:after="120"/>
    </w:pPr>
    <w:rPr>
      <w:rFonts w:cs="Arial Unicode MS"/>
      <w:i/>
      <w:iCs/>
      <w:sz w:val="24"/>
      <w:szCs w:val="24"/>
    </w:rPr>
  </w:style>
  <w:style w:type="paragraph" w:styleId="Indexheading11111" w:customStyle="1">
    <w:name w:val="index heading11111"/>
    <w:basedOn w:val="Title"/>
    <w:qFormat/>
    <w:pPr/>
    <w:rPr/>
  </w:style>
  <w:style w:type="paragraph" w:styleId="Caption111111" w:customStyle="1">
    <w:name w:val="caption111111"/>
    <w:basedOn w:val="Normal"/>
    <w:qFormat/>
    <w:pPr>
      <w:suppressLineNumbers/>
      <w:spacing w:before="120" w:after="120"/>
    </w:pPr>
    <w:rPr>
      <w:rFonts w:cs="Arial Unicode MS"/>
      <w:i/>
      <w:iCs/>
      <w:sz w:val="24"/>
      <w:szCs w:val="24"/>
    </w:rPr>
  </w:style>
  <w:style w:type="paragraph" w:styleId="Indexheading111111" w:customStyle="1">
    <w:name w:val="index heading111111"/>
    <w:basedOn w:val="Title"/>
    <w:qFormat/>
    <w:pPr/>
    <w:rPr/>
  </w:style>
  <w:style w:type="paragraph" w:styleId="Caption1111111" w:customStyle="1">
    <w:name w:val="caption1111111"/>
    <w:basedOn w:val="Normal"/>
    <w:qFormat/>
    <w:pPr>
      <w:suppressLineNumbers/>
      <w:spacing w:before="120" w:after="120"/>
    </w:pPr>
    <w:rPr>
      <w:rFonts w:cs="Arial Unicode MS"/>
      <w:i/>
      <w:iCs/>
      <w:sz w:val="24"/>
      <w:szCs w:val="24"/>
    </w:rPr>
  </w:style>
  <w:style w:type="paragraph" w:styleId="Indexheading1111111" w:customStyle="1">
    <w:name w:val="index heading1111111"/>
    <w:basedOn w:val="Title"/>
    <w:qFormat/>
    <w:pPr/>
    <w:rPr/>
  </w:style>
  <w:style w:type="paragraph" w:styleId="Caption11111111" w:customStyle="1">
    <w:name w:val="caption11111111"/>
    <w:basedOn w:val="Normal"/>
    <w:qFormat/>
    <w:pPr>
      <w:suppressLineNumbers/>
      <w:spacing w:before="120" w:after="120"/>
    </w:pPr>
    <w:rPr>
      <w:rFonts w:cs="Arial Unicode MS"/>
      <w:i/>
      <w:iCs/>
      <w:sz w:val="24"/>
      <w:szCs w:val="24"/>
    </w:rPr>
  </w:style>
  <w:style w:type="paragraph" w:styleId="Indexheading11111111" w:customStyle="1">
    <w:name w:val="index heading11111111"/>
    <w:basedOn w:val="Title"/>
    <w:qFormat/>
    <w:pPr/>
    <w:rPr/>
  </w:style>
  <w:style w:type="paragraph" w:styleId="Caption111111111" w:customStyle="1">
    <w:name w:val="caption111111111"/>
    <w:basedOn w:val="Normal"/>
    <w:qFormat/>
    <w:pPr>
      <w:suppressLineNumbers/>
      <w:spacing w:before="120" w:after="120"/>
    </w:pPr>
    <w:rPr>
      <w:i/>
      <w:iCs/>
      <w:sz w:val="24"/>
      <w:szCs w:val="24"/>
    </w:rPr>
  </w:style>
  <w:style w:type="paragraph" w:styleId="Indexheading111111111" w:customStyle="1">
    <w:name w:val="index heading111111111"/>
    <w:basedOn w:val="Title"/>
    <w:qFormat/>
    <w:pPr/>
    <w:rPr/>
  </w:style>
  <w:style w:type="paragraph" w:styleId="17" w:customStyle="1">
    <w:name w:val="Заголовок1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Arial Unicode MS" w:cs="Arial Unicode MS"/>
    </w:rPr>
  </w:style>
  <w:style w:type="paragraph" w:styleId="Caption1111111111" w:customStyle="1">
    <w:name w:val="caption1111111111"/>
    <w:basedOn w:val="Normal"/>
    <w:qFormat/>
    <w:pPr>
      <w:suppressLineNumbers/>
      <w:spacing w:before="120" w:after="120"/>
    </w:pPr>
    <w:rPr>
      <w:i/>
      <w:iCs/>
      <w:sz w:val="24"/>
      <w:szCs w:val="24"/>
    </w:rPr>
  </w:style>
  <w:style w:type="paragraph" w:styleId="Indexheading1111111111" w:customStyle="1">
    <w:name w:val="index heading1111111111"/>
    <w:basedOn w:val="17"/>
    <w:qFormat/>
    <w:pPr/>
    <w:rPr/>
  </w:style>
  <w:style w:type="paragraph" w:styleId="Caption11111111111" w:customStyle="1">
    <w:name w:val="caption11111111111"/>
    <w:basedOn w:val="Normal"/>
    <w:next w:val="Normal"/>
    <w:uiPriority w:val="35"/>
    <w:qFormat/>
    <w:rsid w:val="00d22f6d"/>
    <w:pPr/>
    <w:rPr>
      <w:rFonts w:eastAsia="Calibri"/>
      <w:b/>
      <w:bCs/>
      <w:color w:val="4F81BD"/>
      <w:sz w:val="18"/>
      <w:szCs w:val="18"/>
    </w:rPr>
  </w:style>
  <w:style w:type="paragraph" w:styleId="Indexheading11111111111" w:customStyle="1">
    <w:name w:val="index heading11111111111"/>
    <w:basedOn w:val="17"/>
    <w:qFormat/>
    <w:pPr/>
    <w:rPr/>
  </w:style>
  <w:style w:type="paragraph" w:styleId="Style17" w:customStyle="1">
    <w:name w:val="Название раздела инструкции"/>
    <w:basedOn w:val="Normal"/>
    <w:autoRedefine/>
    <w:qFormat/>
    <w:rsid w:val="00275328"/>
    <w:pPr>
      <w:jc w:val="center"/>
    </w:pPr>
    <w:rPr>
      <w:b/>
    </w:rPr>
  </w:style>
  <w:style w:type="paragraph" w:styleId="Style18" w:customStyle="1">
    <w:name w:val="Раздел положения"/>
    <w:basedOn w:val="Normal"/>
    <w:autoRedefine/>
    <w:qFormat/>
    <w:rsid w:val="007475ee"/>
    <w:pPr>
      <w:numPr>
        <w:ilvl w:val="0"/>
        <w:numId w:val="1"/>
      </w:numPr>
      <w:spacing w:before="80" w:after="80"/>
      <w:jc w:val="center"/>
    </w:pPr>
    <w:rPr>
      <w:b/>
      <w:sz w:val="32"/>
      <w:szCs w:val="32"/>
    </w:rPr>
  </w:style>
  <w:style w:type="paragraph" w:styleId="Style19" w:customStyle="1">
    <w:name w:val="Подраздел раздела положения"/>
    <w:basedOn w:val="Normal"/>
    <w:autoRedefine/>
    <w:qFormat/>
    <w:rsid w:val="007475ee"/>
    <w:pPr>
      <w:numPr>
        <w:ilvl w:val="1"/>
        <w:numId w:val="1"/>
      </w:numPr>
      <w:spacing w:before="80" w:after="80"/>
      <w:jc w:val="both"/>
    </w:pPr>
    <w:rPr/>
  </w:style>
  <w:style w:type="paragraph" w:styleId="FootnoteText">
    <w:name w:val="Footnote Text"/>
    <w:basedOn w:val="Normal"/>
    <w:link w:val="Style4"/>
    <w:uiPriority w:val="99"/>
    <w:rsid w:val="00d561d9"/>
    <w:pPr/>
    <w:rPr>
      <w:sz w:val="20"/>
      <w:szCs w:val="20"/>
    </w:rPr>
  </w:style>
  <w:style w:type="paragraph" w:styleId="18" w:customStyle="1">
    <w:name w:val="Шапка 1"/>
    <w:basedOn w:val="Normal"/>
    <w:qFormat/>
    <w:rsid w:val="00d561d9"/>
    <w:pPr>
      <w:pBdr>
        <w:bottom w:val="thickThinSmallGap" w:sz="24" w:space="1" w:color="000000"/>
      </w:pBdr>
      <w:spacing w:before="0" w:after="240"/>
      <w:jc w:val="center"/>
    </w:pPr>
    <w:rPr>
      <w:sz w:val="22"/>
      <w:szCs w:val="22"/>
    </w:rPr>
  </w:style>
  <w:style w:type="paragraph" w:styleId="23" w:customStyle="1">
    <w:name w:val="Шапка 2"/>
    <w:basedOn w:val="Normal"/>
    <w:qFormat/>
    <w:rsid w:val="00d561d9"/>
    <w:pPr>
      <w:pBdr>
        <w:bottom w:val="thickThinSmallGap" w:sz="24" w:space="1" w:color="000000"/>
      </w:pBdr>
      <w:spacing w:before="0" w:after="120"/>
      <w:jc w:val="center"/>
    </w:pPr>
    <w:rPr>
      <w:b/>
      <w:sz w:val="22"/>
      <w:szCs w:val="22"/>
    </w:rPr>
  </w:style>
  <w:style w:type="paragraph" w:styleId="33" w:customStyle="1">
    <w:name w:val="Шапка 3"/>
    <w:basedOn w:val="Normal"/>
    <w:qFormat/>
    <w:rsid w:val="00d561d9"/>
    <w:pPr>
      <w:pBdr>
        <w:bottom w:val="thickThinSmallGap" w:sz="24" w:space="1" w:color="000000"/>
      </w:pBdr>
      <w:spacing w:before="240" w:after="360"/>
      <w:jc w:val="center"/>
    </w:pPr>
    <w:rPr>
      <w:b/>
      <w:sz w:val="24"/>
      <w:szCs w:val="24"/>
    </w:rPr>
  </w:style>
  <w:style w:type="paragraph" w:styleId="19" w:customStyle="1">
    <w:name w:val="Название1"/>
    <w:basedOn w:val="Normal"/>
    <w:link w:val="Style"/>
    <w:uiPriority w:val="10"/>
    <w:qFormat/>
    <w:rsid w:val="00bd4014"/>
    <w:pPr>
      <w:jc w:val="center"/>
    </w:pPr>
    <w:rPr>
      <w:szCs w:val="20"/>
      <w:lang w:val="x-none" w:eastAsia="x-none"/>
    </w:rPr>
  </w:style>
  <w:style w:type="paragraph" w:styleId="Style20" w:customStyle="1">
    <w:name w:val="Колонтитул"/>
    <w:basedOn w:val="Normal"/>
    <w:qFormat/>
    <w:pPr/>
    <w:rPr/>
  </w:style>
  <w:style w:type="paragraph" w:styleId="Header">
    <w:name w:val="Header"/>
    <w:basedOn w:val="Normal"/>
    <w:link w:val="Style9"/>
    <w:rsid w:val="0076353a"/>
    <w:pPr>
      <w:tabs>
        <w:tab w:val="clear" w:pos="708"/>
        <w:tab w:val="center" w:pos="4677" w:leader="none"/>
        <w:tab w:val="right" w:pos="9355" w:leader="none"/>
      </w:tabs>
    </w:pPr>
    <w:rPr>
      <w:sz w:val="24"/>
      <w:szCs w:val="24"/>
    </w:rPr>
  </w:style>
  <w:style w:type="paragraph" w:styleId="BodyTextIndent">
    <w:name w:val="Body Text Indent"/>
    <w:basedOn w:val="Normal"/>
    <w:rsid w:val="0076353a"/>
    <w:pPr>
      <w:ind w:left="360" w:hanging="0"/>
    </w:pPr>
    <w:rPr>
      <w:sz w:val="24"/>
      <w:szCs w:val="24"/>
    </w:rPr>
  </w:style>
  <w:style w:type="paragraph" w:styleId="Footer">
    <w:name w:val="Footer"/>
    <w:basedOn w:val="Normal"/>
    <w:rsid w:val="0076353a"/>
    <w:pPr>
      <w:tabs>
        <w:tab w:val="clear" w:pos="708"/>
        <w:tab w:val="center" w:pos="4677" w:leader="none"/>
        <w:tab w:val="right" w:pos="9355" w:leader="none"/>
      </w:tabs>
    </w:pPr>
    <w:rPr/>
  </w:style>
  <w:style w:type="paragraph" w:styleId="BodyTextIndent2">
    <w:name w:val="Body Text Indent 2"/>
    <w:basedOn w:val="Normal"/>
    <w:qFormat/>
    <w:rsid w:val="0076353a"/>
    <w:pPr>
      <w:spacing w:lineRule="auto" w:line="480" w:before="0" w:after="120"/>
      <w:ind w:left="283" w:hanging="0"/>
    </w:pPr>
    <w:rPr/>
  </w:style>
  <w:style w:type="paragraph" w:styleId="BodyText3">
    <w:name w:val="Body Text 3"/>
    <w:basedOn w:val="Normal"/>
    <w:qFormat/>
    <w:rsid w:val="0076353a"/>
    <w:pPr>
      <w:spacing w:before="0" w:after="120"/>
    </w:pPr>
    <w:rPr>
      <w:sz w:val="16"/>
      <w:szCs w:val="16"/>
    </w:rPr>
  </w:style>
  <w:style w:type="paragraph" w:styleId="BodyTextIndent3">
    <w:name w:val="Body Text Indent 3"/>
    <w:basedOn w:val="Normal"/>
    <w:link w:val="32"/>
    <w:qFormat/>
    <w:rsid w:val="0076353a"/>
    <w:pPr>
      <w:spacing w:before="0" w:after="120"/>
      <w:ind w:left="283" w:hanging="0"/>
    </w:pPr>
    <w:rPr>
      <w:sz w:val="16"/>
      <w:szCs w:val="16"/>
    </w:rPr>
  </w:style>
  <w:style w:type="paragraph" w:styleId="BodyText2">
    <w:name w:val="Body Text 2"/>
    <w:basedOn w:val="Normal"/>
    <w:qFormat/>
    <w:rsid w:val="0076353a"/>
    <w:pPr>
      <w:spacing w:lineRule="auto" w:line="480" w:before="0" w:after="120"/>
    </w:pPr>
    <w:rPr/>
  </w:style>
  <w:style w:type="paragraph" w:styleId="BlockText">
    <w:name w:val="Block Text"/>
    <w:basedOn w:val="Normal"/>
    <w:qFormat/>
    <w:rsid w:val="0076353a"/>
    <w:pPr>
      <w:ind w:left="-567" w:right="-766" w:hanging="0"/>
      <w:jc w:val="center"/>
    </w:pPr>
    <w:rPr>
      <w:b/>
      <w:bCs/>
      <w:sz w:val="24"/>
      <w:szCs w:val="20"/>
    </w:rPr>
  </w:style>
  <w:style w:type="paragraph" w:styleId="Style21" w:customStyle="1">
    <w:name w:val="Подпункт"/>
    <w:basedOn w:val="Normal"/>
    <w:link w:val="13"/>
    <w:qFormat/>
    <w:rsid w:val="0076353a"/>
    <w:pPr>
      <w:tabs>
        <w:tab w:val="clear" w:pos="708"/>
        <w:tab w:val="left" w:pos="1134" w:leader="none"/>
      </w:tabs>
      <w:snapToGrid w:val="false"/>
      <w:spacing w:lineRule="auto" w:line="360"/>
      <w:ind w:left="1134" w:hanging="1134"/>
      <w:jc w:val="both"/>
    </w:pPr>
    <w:rPr>
      <w:szCs w:val="20"/>
      <w:lang w:val="x-none" w:eastAsia="x-none"/>
    </w:rPr>
  </w:style>
  <w:style w:type="paragraph" w:styleId="24" w:customStyle="1">
    <w:name w:val="Пункт2"/>
    <w:basedOn w:val="Normal"/>
    <w:link w:val="22"/>
    <w:qFormat/>
    <w:rsid w:val="0076353a"/>
    <w:pPr>
      <w:keepNext w:val="true"/>
      <w:tabs>
        <w:tab w:val="clear" w:pos="708"/>
        <w:tab w:val="left" w:pos="1134" w:leader="none"/>
      </w:tabs>
      <w:snapToGrid w:val="false"/>
      <w:spacing w:before="240" w:after="120"/>
      <w:ind w:left="1134" w:hanging="1134"/>
      <w:outlineLvl w:val="2"/>
    </w:pPr>
    <w:rPr>
      <w:b/>
      <w:szCs w:val="20"/>
    </w:rPr>
  </w:style>
  <w:style w:type="paragraph" w:styleId="TOC1">
    <w:name w:val="TOC 1"/>
    <w:basedOn w:val="Normal"/>
    <w:next w:val="Normal"/>
    <w:autoRedefine/>
    <w:uiPriority w:val="39"/>
    <w:rsid w:val="00421b6b"/>
    <w:pPr>
      <w:shd w:val="clear" w:color="auto" w:fill="FFFFFF"/>
      <w:spacing w:before="120" w:after="0"/>
    </w:pPr>
    <w:rPr>
      <w:rFonts w:cs="Calibri Light (Заголовки)"/>
      <w:b/>
      <w:bCs/>
      <w:sz w:val="24"/>
      <w:szCs w:val="24"/>
    </w:rPr>
  </w:style>
  <w:style w:type="paragraph" w:styleId="TOC3">
    <w:name w:val="TOC 3"/>
    <w:basedOn w:val="Normal"/>
    <w:next w:val="Normal"/>
    <w:autoRedefine/>
    <w:uiPriority w:val="39"/>
    <w:rsid w:val="001e7cb7"/>
    <w:pPr>
      <w:shd w:val="clear" w:color="auto" w:fill="FFFFFF"/>
      <w:tabs>
        <w:tab w:val="clear" w:pos="708"/>
        <w:tab w:val="right" w:pos="10204" w:leader="dot"/>
      </w:tabs>
      <w:ind w:left="280" w:hanging="0"/>
    </w:pPr>
    <w:rPr>
      <w:rFonts w:cs="Calibri" w:cstheme="minorHAnsi"/>
      <w:sz w:val="20"/>
      <w:szCs w:val="20"/>
    </w:rPr>
  </w:style>
  <w:style w:type="paragraph" w:styleId="Style22" w:customStyle="1">
    <w:name w:val="Раздел регламента"/>
    <w:basedOn w:val="Normal"/>
    <w:qFormat/>
    <w:rsid w:val="00e228fa"/>
    <w:pPr/>
    <w:rPr/>
  </w:style>
  <w:style w:type="paragraph" w:styleId="Style23" w:customStyle="1">
    <w:name w:val="Приложение к регламенту"/>
    <w:basedOn w:val="Normal"/>
    <w:qFormat/>
    <w:rsid w:val="00e228fa"/>
    <w:pPr>
      <w:jc w:val="right"/>
    </w:pPr>
    <w:rPr/>
  </w:style>
  <w:style w:type="paragraph" w:styleId="TOC2">
    <w:name w:val="TOC 2"/>
    <w:basedOn w:val="Normal"/>
    <w:next w:val="Normal"/>
    <w:autoRedefine/>
    <w:uiPriority w:val="39"/>
    <w:rsid w:val="00c01756"/>
    <w:pPr>
      <w:spacing w:before="240" w:after="0"/>
    </w:pPr>
    <w:rPr>
      <w:rFonts w:cs="Calibri" w:cstheme="minorHAnsi"/>
      <w:b/>
      <w:bCs/>
      <w:sz w:val="20"/>
      <w:szCs w:val="20"/>
    </w:rPr>
  </w:style>
  <w:style w:type="paragraph" w:styleId="BalloonText">
    <w:name w:val="Balloon Text"/>
    <w:basedOn w:val="Normal"/>
    <w:semiHidden/>
    <w:qFormat/>
    <w:rsid w:val="00197c91"/>
    <w:pPr/>
    <w:rPr>
      <w:rFonts w:ascii="Tahoma" w:hAnsi="Tahoma" w:cs="Tahoma"/>
      <w:sz w:val="16"/>
      <w:szCs w:val="16"/>
    </w:rPr>
  </w:style>
  <w:style w:type="paragraph" w:styleId="Annotationtext">
    <w:name w:val="annotation text"/>
    <w:basedOn w:val="Normal"/>
    <w:link w:val="Style10"/>
    <w:semiHidden/>
    <w:qFormat/>
    <w:rsid w:val="00b714b0"/>
    <w:pPr/>
    <w:rPr>
      <w:sz w:val="20"/>
      <w:szCs w:val="20"/>
    </w:rPr>
  </w:style>
  <w:style w:type="paragraph" w:styleId="Annotationsubject">
    <w:name w:val="annotation subject"/>
    <w:basedOn w:val="Annotationtext"/>
    <w:next w:val="Annotationtext"/>
    <w:semiHidden/>
    <w:qFormat/>
    <w:rsid w:val="00b714b0"/>
    <w:pPr/>
    <w:rPr>
      <w:b/>
      <w:bCs/>
    </w:rPr>
  </w:style>
  <w:style w:type="paragraph" w:styleId="110" w:customStyle="1">
    <w:name w:val="Обычный (веб)1"/>
    <w:basedOn w:val="Normal"/>
    <w:uiPriority w:val="99"/>
    <w:qFormat/>
    <w:rsid w:val="002f559a"/>
    <w:pPr>
      <w:spacing w:beforeAutospacing="1" w:afterAutospacing="1"/>
    </w:pPr>
    <w:rPr>
      <w:rFonts w:ascii="Arial Unicode MS" w:hAnsi="Arial Unicode MS" w:eastAsia="Arial Unicode MS" w:cs="Arial Unicode MS"/>
      <w:sz w:val="24"/>
      <w:szCs w:val="24"/>
    </w:rPr>
  </w:style>
  <w:style w:type="paragraph" w:styleId="TOC9">
    <w:name w:val="TOC 9"/>
    <w:basedOn w:val="Normal"/>
    <w:next w:val="Normal"/>
    <w:autoRedefine/>
    <w:semiHidden/>
    <w:rsid w:val="00f57628"/>
    <w:pPr>
      <w:ind w:left="1960" w:hanging="0"/>
    </w:pPr>
    <w:rPr>
      <w:rFonts w:ascii="Calibri" w:hAnsi="Calibri" w:cs="Calibri" w:asciiTheme="minorHAnsi" w:cstheme="minorHAnsi" w:hAnsiTheme="minorHAnsi"/>
      <w:sz w:val="20"/>
      <w:szCs w:val="20"/>
    </w:rPr>
  </w:style>
  <w:style w:type="paragraph" w:styleId="TOC5">
    <w:name w:val="TOC 5"/>
    <w:basedOn w:val="Normal"/>
    <w:next w:val="Normal"/>
    <w:autoRedefine/>
    <w:semiHidden/>
    <w:rsid w:val="00f57628"/>
    <w:pPr>
      <w:ind w:left="840" w:hanging="0"/>
    </w:pPr>
    <w:rPr>
      <w:rFonts w:ascii="Calibri" w:hAnsi="Calibri" w:cs="Calibri" w:asciiTheme="minorHAnsi" w:cstheme="minorHAnsi" w:hAnsiTheme="minorHAnsi"/>
      <w:sz w:val="20"/>
      <w:szCs w:val="20"/>
    </w:rPr>
  </w:style>
  <w:style w:type="paragraph" w:styleId="TOC4">
    <w:name w:val="TOC 4"/>
    <w:basedOn w:val="Normal"/>
    <w:next w:val="Normal"/>
    <w:autoRedefine/>
    <w:uiPriority w:val="39"/>
    <w:rsid w:val="00211fe6"/>
    <w:pPr>
      <w:shd w:val="clear" w:color="auto" w:fill="FFFFFF"/>
      <w:tabs>
        <w:tab w:val="clear" w:pos="708"/>
        <w:tab w:val="right" w:pos="10204" w:leader="dot"/>
      </w:tabs>
      <w:ind w:left="560" w:hanging="0"/>
    </w:pPr>
    <w:rPr>
      <w:rFonts w:cs="Calibri" w:cstheme="minorHAnsi"/>
      <w:sz w:val="20"/>
      <w:szCs w:val="20"/>
    </w:rPr>
  </w:style>
  <w:style w:type="paragraph" w:styleId="25" w:customStyle="1">
    <w:name w:val="Раздел положения 2"/>
    <w:basedOn w:val="Normal"/>
    <w:qFormat/>
    <w:rsid w:val="002c1e0e"/>
    <w:pPr>
      <w:pageBreakBefore/>
      <w:jc w:val="both"/>
      <w:outlineLvl w:val="0"/>
    </w:pPr>
    <w:rPr>
      <w:b/>
    </w:rPr>
  </w:style>
  <w:style w:type="paragraph" w:styleId="Style24" w:customStyle="1">
    <w:name w:val="Знак Знак Знак Знак Знак Знак Знак Знак Знак"/>
    <w:basedOn w:val="Normal"/>
    <w:qFormat/>
    <w:rsid w:val="00d22f6d"/>
    <w:pPr>
      <w:spacing w:lineRule="exact" w:line="240" w:before="0" w:after="160"/>
      <w:jc w:val="both"/>
    </w:pPr>
    <w:rPr>
      <w:rFonts w:ascii="Verdana" w:hAnsi="Verdana" w:cs="Verdana"/>
      <w:sz w:val="22"/>
      <w:szCs w:val="22"/>
      <w:lang w:val="en-US" w:eastAsia="en-US"/>
    </w:rPr>
  </w:style>
  <w:style w:type="paragraph" w:styleId="NoSpacing">
    <w:name w:val="No Spacing"/>
    <w:basedOn w:val="Normal"/>
    <w:uiPriority w:val="1"/>
    <w:qFormat/>
    <w:rsid w:val="00d22f6d"/>
    <w:pPr>
      <w:spacing w:lineRule="auto" w:line="360"/>
    </w:pPr>
    <w:rPr>
      <w:rFonts w:eastAsia="Calibri"/>
      <w:sz w:val="24"/>
      <w:szCs w:val="24"/>
    </w:rPr>
  </w:style>
  <w:style w:type="paragraph" w:styleId="Subtitle">
    <w:name w:val="Subtitle"/>
    <w:basedOn w:val="Normal"/>
    <w:next w:val="Normal"/>
    <w:link w:val="Style1"/>
    <w:uiPriority w:val="11"/>
    <w:qFormat/>
    <w:rsid w:val="00d22f6d"/>
    <w:pPr>
      <w:ind w:left="1066" w:firstLine="709"/>
    </w:pPr>
    <w:rPr>
      <w:rFonts w:ascii="Cambria" w:hAnsi="Cambria"/>
      <w:i/>
      <w:iCs/>
      <w:color w:val="4F81BD"/>
      <w:spacing w:val="15"/>
      <w:sz w:val="24"/>
      <w:szCs w:val="24"/>
      <w:lang w:val="x-none" w:eastAsia="x-none"/>
    </w:rPr>
  </w:style>
  <w:style w:type="paragraph" w:styleId="ListParagraph">
    <w:name w:val="List Paragraph"/>
    <w:basedOn w:val="Normal"/>
    <w:link w:val="Style6"/>
    <w:uiPriority w:val="34"/>
    <w:qFormat/>
    <w:rsid w:val="00d22f6d"/>
    <w:pPr>
      <w:spacing w:before="0" w:after="0"/>
      <w:ind w:left="720" w:hanging="0"/>
      <w:contextualSpacing/>
    </w:pPr>
    <w:rPr>
      <w:rFonts w:eastAsia="Calibri"/>
      <w:sz w:val="24"/>
      <w:szCs w:val="24"/>
    </w:rPr>
  </w:style>
  <w:style w:type="paragraph" w:styleId="Quote">
    <w:name w:val="Quote"/>
    <w:basedOn w:val="Normal"/>
    <w:next w:val="Normal"/>
    <w:link w:val="21"/>
    <w:uiPriority w:val="29"/>
    <w:qFormat/>
    <w:rsid w:val="00d22f6d"/>
    <w:pPr/>
    <w:rPr>
      <w:rFonts w:ascii="Calibri" w:hAnsi="Calibri" w:eastAsia="Calibri"/>
      <w:i/>
      <w:iCs/>
      <w:color w:val="000000"/>
      <w:sz w:val="20"/>
      <w:szCs w:val="20"/>
      <w:lang w:val="x-none" w:eastAsia="x-none"/>
    </w:rPr>
  </w:style>
  <w:style w:type="paragraph" w:styleId="IntenseQuote">
    <w:name w:val="Intense Quote"/>
    <w:basedOn w:val="Normal"/>
    <w:next w:val="Normal"/>
    <w:link w:val="Style2"/>
    <w:uiPriority w:val="30"/>
    <w:qFormat/>
    <w:rsid w:val="00d22f6d"/>
    <w:pPr>
      <w:pBdr>
        <w:bottom w:val="single" w:sz="4" w:space="4" w:color="4F81BD"/>
      </w:pBdr>
      <w:spacing w:before="200" w:after="280"/>
      <w:ind w:left="936" w:right="936" w:hanging="0"/>
    </w:pPr>
    <w:rPr>
      <w:rFonts w:ascii="Calibri" w:hAnsi="Calibri" w:eastAsia="Calibri"/>
      <w:b/>
      <w:bCs/>
      <w:i/>
      <w:iCs/>
      <w:color w:val="4F81BD"/>
      <w:sz w:val="20"/>
      <w:szCs w:val="20"/>
      <w:lang w:val="x-none" w:eastAsia="x-none"/>
    </w:rPr>
  </w:style>
  <w:style w:type="paragraph" w:styleId="IndexHeading">
    <w:name w:val="Index Heading"/>
    <w:basedOn w:val="Style15"/>
    <w:pPr/>
    <w:rPr/>
  </w:style>
  <w:style w:type="paragraph" w:styleId="TOCHeading">
    <w:name w:val="TOC Heading"/>
    <w:basedOn w:val="Heading1"/>
    <w:next w:val="Normal"/>
    <w:uiPriority w:val="39"/>
    <w:qFormat/>
    <w:rsid w:val="00d22f6d"/>
    <w:pPr>
      <w:keepLines/>
      <w:spacing w:before="480" w:after="60"/>
      <w:outlineLvl w:val="9"/>
    </w:pPr>
    <w:rPr>
      <w:rFonts w:ascii="Cambria" w:hAnsi="Cambria"/>
      <w:bCs/>
      <w:color w:val="365F91"/>
    </w:rPr>
  </w:style>
  <w:style w:type="paragraph" w:styleId="E-mailSignature">
    <w:name w:val="E-mail Signature"/>
    <w:basedOn w:val="Normal"/>
    <w:link w:val="Style3"/>
    <w:uiPriority w:val="99"/>
    <w:unhideWhenUsed/>
    <w:qFormat/>
    <w:rsid w:val="00d22f6d"/>
    <w:pPr/>
    <w:rPr>
      <w:rFonts w:eastAsia="Calibri"/>
      <w:sz w:val="24"/>
      <w:szCs w:val="24"/>
      <w:lang w:val="x-none" w:eastAsia="x-none"/>
    </w:rPr>
  </w:style>
  <w:style w:type="paragraph" w:styleId="Style25" w:customStyle="1">
    <w:name w:val="Знак"/>
    <w:basedOn w:val="Normal"/>
    <w:qFormat/>
    <w:rsid w:val="00d22f6d"/>
    <w:pPr>
      <w:spacing w:lineRule="exact" w:line="240" w:before="0" w:after="160"/>
    </w:pPr>
    <w:rPr>
      <w:rFonts w:ascii="Verdana" w:hAnsi="Verdana" w:cs="Verdana"/>
      <w:sz w:val="20"/>
      <w:szCs w:val="20"/>
      <w:lang w:val="en-US" w:eastAsia="en-US"/>
    </w:rPr>
  </w:style>
  <w:style w:type="paragraph" w:styleId="34" w:customStyle="1">
    <w:name w:val="Нумерованный список ур3"/>
    <w:basedOn w:val="Normal"/>
    <w:qFormat/>
    <w:rsid w:val="00d22f6d"/>
    <w:pPr>
      <w:numPr>
        <w:ilvl w:val="2"/>
        <w:numId w:val="2"/>
      </w:numPr>
      <w:jc w:val="both"/>
    </w:pPr>
    <w:rPr>
      <w:rFonts w:ascii="Garamond" w:hAnsi="Garamond"/>
      <w:sz w:val="24"/>
      <w:szCs w:val="20"/>
    </w:rPr>
  </w:style>
  <w:style w:type="paragraph" w:styleId="311" w:customStyle="1">
    <w:name w:val="Список 31"/>
    <w:basedOn w:val="Normal"/>
    <w:qFormat/>
    <w:rsid w:val="00d22f6d"/>
    <w:pPr>
      <w:numPr>
        <w:ilvl w:val="0"/>
        <w:numId w:val="2"/>
      </w:numPr>
      <w:spacing w:before="120" w:after="0"/>
      <w:jc w:val="both"/>
    </w:pPr>
    <w:rPr>
      <w:rFonts w:ascii="Garamond" w:hAnsi="Garamond"/>
      <w:sz w:val="24"/>
      <w:szCs w:val="20"/>
    </w:rPr>
  </w:style>
  <w:style w:type="paragraph" w:styleId="26" w:customStyle="1">
    <w:name w:val="Нумерованный список ур2"/>
    <w:basedOn w:val="Normal"/>
    <w:qFormat/>
    <w:rsid w:val="00d22f6d"/>
    <w:pPr>
      <w:numPr>
        <w:ilvl w:val="1"/>
        <w:numId w:val="2"/>
      </w:numPr>
      <w:spacing w:before="120" w:after="0"/>
      <w:jc w:val="both"/>
    </w:pPr>
    <w:rPr>
      <w:rFonts w:ascii="Garamond" w:hAnsi="Garamond"/>
      <w:sz w:val="24"/>
      <w:szCs w:val="20"/>
    </w:rPr>
  </w:style>
  <w:style w:type="paragraph" w:styleId="Revision">
    <w:name w:val="Revision"/>
    <w:uiPriority w:val="99"/>
    <w:semiHidden/>
    <w:qFormat/>
    <w:rsid w:val="00d22f6d"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Calibri" w:cs="Times New Roman"/>
      <w:color w:val="auto"/>
      <w:kern w:val="0"/>
      <w:sz w:val="24"/>
      <w:szCs w:val="24"/>
      <w:lang w:val="ru-RU" w:eastAsia="ru-RU" w:bidi="ar-SA"/>
    </w:rPr>
  </w:style>
  <w:style w:type="paragraph" w:styleId="ConsPlusNormal" w:customStyle="1">
    <w:name w:val="ConsPlusNormal"/>
    <w:qFormat/>
    <w:rsid w:val="00d22f6d"/>
    <w:pPr>
      <w:widowControl w:val="false"/>
      <w:suppressAutoHyphens w:val="true"/>
      <w:bidi w:val="0"/>
      <w:spacing w:before="0" w:after="0"/>
      <w:ind w:firstLine="720"/>
      <w:jc w:val="left"/>
    </w:pPr>
    <w:rPr>
      <w:rFonts w:ascii="Arial" w:hAnsi="Arial" w:eastAsia="Times New Roman" w:cs="Arial"/>
      <w:color w:val="auto"/>
      <w:kern w:val="0"/>
      <w:sz w:val="20"/>
      <w:szCs w:val="20"/>
      <w:lang w:val="ru-RU" w:eastAsia="ru-RU" w:bidi="ar-SA"/>
    </w:rPr>
  </w:style>
  <w:style w:type="paragraph" w:styleId="35" w:customStyle="1">
    <w:name w:val="Знак Знак3 Знак Знак"/>
    <w:basedOn w:val="Normal"/>
    <w:qFormat/>
    <w:rsid w:val="00d22f6d"/>
    <w:pPr>
      <w:spacing w:lineRule="exact" w:line="240" w:before="0" w:after="160"/>
      <w:jc w:val="both"/>
    </w:pPr>
    <w:rPr>
      <w:rFonts w:ascii="Verdana" w:hAnsi="Verdana" w:cs="Verdana"/>
      <w:sz w:val="22"/>
      <w:szCs w:val="22"/>
      <w:lang w:val="en-US" w:eastAsia="en-US"/>
    </w:rPr>
  </w:style>
  <w:style w:type="paragraph" w:styleId="Style26" w:customStyle="1">
    <w:name w:val="Пункт"/>
    <w:basedOn w:val="Normal"/>
    <w:qFormat/>
    <w:rsid w:val="00d22f6d"/>
    <w:pPr>
      <w:widowControl w:val="false"/>
      <w:tabs>
        <w:tab w:val="clear" w:pos="708"/>
        <w:tab w:val="left" w:pos="1134" w:leader="none"/>
      </w:tabs>
      <w:spacing w:lineRule="auto" w:line="360" w:before="120" w:after="0"/>
      <w:ind w:left="1134" w:right="800" w:hanging="1134"/>
      <w:jc w:val="both"/>
    </w:pPr>
    <w:rPr>
      <w:rFonts w:ascii="Arial" w:hAnsi="Arial"/>
      <w:b/>
      <w:i/>
      <w:szCs w:val="20"/>
    </w:rPr>
  </w:style>
  <w:style w:type="paragraph" w:styleId="111" w:customStyle="1">
    <w:name w:val="Абзац списка1"/>
    <w:basedOn w:val="Normal"/>
    <w:qFormat/>
    <w:rsid w:val="00d22f6d"/>
    <w:pPr>
      <w:spacing w:lineRule="auto" w:line="276" w:before="0" w:after="200"/>
      <w:ind w:left="720" w:hanging="0"/>
      <w:contextualSpacing/>
    </w:pPr>
    <w:rPr>
      <w:rFonts w:ascii="Calibri" w:hAnsi="Calibri"/>
      <w:sz w:val="22"/>
      <w:szCs w:val="22"/>
      <w:lang w:eastAsia="en-US"/>
    </w:rPr>
  </w:style>
  <w:style w:type="paragraph" w:styleId="Style27" w:customStyle="1">
    <w:name w:val="Таблица"/>
    <w:basedOn w:val="Normal"/>
    <w:qFormat/>
    <w:rsid w:val="0041356c"/>
    <w:pPr>
      <w:keepNext w:val="true"/>
      <w:spacing w:before="60" w:after="60"/>
      <w:jc w:val="center"/>
    </w:pPr>
    <w:rPr>
      <w:rFonts w:eastAsia="Calibri"/>
      <w:b/>
      <w:sz w:val="24"/>
      <w:szCs w:val="24"/>
      <w:lang w:val="x-none" w:eastAsia="x-none"/>
    </w:rPr>
  </w:style>
  <w:style w:type="paragraph" w:styleId="Style28" w:customStyle="1">
    <w:name w:val="Таблица шапка"/>
    <w:basedOn w:val="Normal"/>
    <w:qFormat/>
    <w:rsid w:val="00f64089"/>
    <w:pPr>
      <w:keepNext w:val="true"/>
      <w:spacing w:before="40" w:after="40"/>
      <w:ind w:left="57" w:right="57" w:hanging="0"/>
    </w:pPr>
    <w:rPr>
      <w:sz w:val="22"/>
      <w:szCs w:val="26"/>
    </w:rPr>
  </w:style>
  <w:style w:type="paragraph" w:styleId="Style29" w:customStyle="1">
    <w:name w:val="Подподпункт"/>
    <w:basedOn w:val="Style21"/>
    <w:link w:val="Style8"/>
    <w:qFormat/>
    <w:rsid w:val="0025139e"/>
    <w:pPr>
      <w:tabs>
        <w:tab w:val="clear" w:pos="1134"/>
        <w:tab w:val="left" w:pos="5104" w:leader="none"/>
      </w:tabs>
      <w:snapToGrid w:val="true"/>
      <w:spacing w:lineRule="auto" w:line="240" w:before="120" w:after="0"/>
      <w:ind w:left="5104" w:hanging="567"/>
    </w:pPr>
    <w:rPr>
      <w:sz w:val="26"/>
      <w:szCs w:val="26"/>
      <w:lang w:val="ru-RU" w:eastAsia="ru-RU"/>
    </w:rPr>
  </w:style>
  <w:style w:type="paragraph" w:styleId="Style30" w:customStyle="1">
    <w:name w:val="УРОВЕНЬ_(а)"/>
    <w:basedOn w:val="ListParagraph"/>
    <w:qFormat/>
    <w:rsid w:val="00b56f46"/>
    <w:pPr>
      <w:numPr>
        <w:ilvl w:val="3"/>
        <w:numId w:val="4"/>
      </w:numPr>
      <w:spacing w:lineRule="exact" w:line="360" w:before="120" w:after="0"/>
      <w:contextualSpacing w:val="false"/>
      <w:jc w:val="both"/>
      <w:outlineLvl w:val="3"/>
    </w:pPr>
    <w:rPr>
      <w:sz w:val="26"/>
      <w:szCs w:val="28"/>
      <w:lang w:eastAsia="en-US"/>
    </w:rPr>
  </w:style>
  <w:style w:type="paragraph" w:styleId="-" w:customStyle="1">
    <w:name w:val="УРОВЕНЬ_-"/>
    <w:basedOn w:val="ListParagraph"/>
    <w:qFormat/>
    <w:rsid w:val="00b56f46"/>
    <w:pPr>
      <w:numPr>
        <w:ilvl w:val="4"/>
        <w:numId w:val="4"/>
      </w:numPr>
      <w:spacing w:lineRule="exact" w:line="360" w:before="120" w:after="0"/>
      <w:contextualSpacing w:val="false"/>
      <w:jc w:val="both"/>
      <w:outlineLvl w:val="4"/>
    </w:pPr>
    <w:rPr>
      <w:sz w:val="26"/>
      <w:szCs w:val="28"/>
      <w:lang w:eastAsia="en-US"/>
    </w:rPr>
  </w:style>
  <w:style w:type="paragraph" w:styleId="27" w:customStyle="1">
    <w:name w:val="УРОВЕНЬ_Абзац_тип2"/>
    <w:basedOn w:val="ListParagraph"/>
    <w:qFormat/>
    <w:rsid w:val="00b56f46"/>
    <w:pPr>
      <w:numPr>
        <w:ilvl w:val="6"/>
        <w:numId w:val="4"/>
      </w:numPr>
      <w:spacing w:lineRule="exact" w:line="360" w:before="120" w:after="0"/>
      <w:contextualSpacing w:val="false"/>
      <w:jc w:val="both"/>
    </w:pPr>
    <w:rPr>
      <w:sz w:val="26"/>
      <w:szCs w:val="28"/>
      <w:lang w:eastAsia="en-US"/>
    </w:rPr>
  </w:style>
  <w:style w:type="paragraph" w:styleId="36" w:customStyle="1">
    <w:name w:val="УРОВЕНЬ_Абзац_тип3"/>
    <w:basedOn w:val="ListParagraph"/>
    <w:link w:val="31"/>
    <w:qFormat/>
    <w:rsid w:val="00b56f46"/>
    <w:pPr>
      <w:numPr>
        <w:ilvl w:val="7"/>
        <w:numId w:val="4"/>
      </w:numPr>
      <w:spacing w:lineRule="exact" w:line="360" w:before="120" w:after="0"/>
      <w:contextualSpacing w:val="false"/>
      <w:jc w:val="both"/>
    </w:pPr>
    <w:rPr>
      <w:sz w:val="26"/>
      <w:szCs w:val="28"/>
      <w:lang w:eastAsia="en-US"/>
    </w:rPr>
  </w:style>
  <w:style w:type="paragraph" w:styleId="Style31" w:customStyle="1">
    <w:name w:val="УРОВЕНЬ_Подпись"/>
    <w:basedOn w:val="ListParagraph"/>
    <w:qFormat/>
    <w:rsid w:val="00b56f46"/>
    <w:pPr>
      <w:keepNext w:val="true"/>
      <w:numPr>
        <w:ilvl w:val="5"/>
        <w:numId w:val="4"/>
      </w:numPr>
      <w:spacing w:lineRule="exact" w:line="360" w:before="120" w:after="120"/>
      <w:contextualSpacing w:val="false"/>
      <w:jc w:val="right"/>
      <w:outlineLvl w:val="3"/>
    </w:pPr>
    <w:rPr>
      <w:sz w:val="26"/>
      <w:szCs w:val="28"/>
      <w:lang w:eastAsia="en-US"/>
    </w:rPr>
  </w:style>
  <w:style w:type="paragraph" w:styleId="112" w:customStyle="1">
    <w:name w:val="Стиль Заголовок 1 + по ширине"/>
    <w:basedOn w:val="Heading1"/>
    <w:qFormat/>
    <w:rsid w:val="005773b2"/>
    <w:pPr>
      <w:keepLines/>
      <w:tabs>
        <w:tab w:val="clear" w:pos="0"/>
        <w:tab w:val="left" w:pos="567" w:leader="none"/>
      </w:tabs>
      <w:spacing w:before="480" w:after="240"/>
      <w:ind w:left="567" w:hanging="567"/>
      <w:jc w:val="both"/>
    </w:pPr>
    <w:rPr>
      <w:rFonts w:ascii="Arial" w:hAnsi="Arial" w:eastAsia="Times New Roman"/>
      <w:bCs/>
      <w:kern w:val="2"/>
      <w:sz w:val="40"/>
      <w:szCs w:val="20"/>
      <w:lang w:val="ru-RU" w:eastAsia="ru-RU"/>
    </w:rPr>
  </w:style>
  <w:style w:type="paragraph" w:styleId="EndnoteText">
    <w:name w:val="Endnote Text"/>
    <w:basedOn w:val="Normal"/>
    <w:link w:val="Style11"/>
    <w:rsid w:val="003879d4"/>
    <w:pPr/>
    <w:rPr>
      <w:sz w:val="20"/>
      <w:szCs w:val="20"/>
    </w:rPr>
  </w:style>
  <w:style w:type="paragraph" w:styleId="28" w:customStyle="1">
    <w:name w:val="Заголовок 2 КВВ"/>
    <w:basedOn w:val="Normal"/>
    <w:qFormat/>
    <w:rsid w:val="00cb35e8"/>
    <w:pPr>
      <w:keepNext w:val="true"/>
      <w:numPr>
        <w:ilvl w:val="0"/>
        <w:numId w:val="5"/>
      </w:numPr>
      <w:spacing w:before="120" w:after="120"/>
      <w:jc w:val="both"/>
      <w:outlineLvl w:val="0"/>
    </w:pPr>
    <w:rPr>
      <w:b/>
      <w:kern w:val="2"/>
      <w:sz w:val="24"/>
      <w:szCs w:val="20"/>
      <w:lang w:eastAsia="x-none"/>
    </w:rPr>
  </w:style>
  <w:style w:type="paragraph" w:styleId="Style32" w:customStyle="1">
    <w:name w:val="Таблица текст"/>
    <w:basedOn w:val="Normal"/>
    <w:qFormat/>
    <w:rsid w:val="00343e95"/>
    <w:pPr>
      <w:spacing w:before="40" w:after="40"/>
      <w:ind w:left="57" w:right="57" w:hanging="0"/>
    </w:pPr>
    <w:rPr>
      <w:sz w:val="24"/>
      <w:szCs w:val="26"/>
    </w:rPr>
  </w:style>
  <w:style w:type="paragraph" w:styleId="NormalWeb">
    <w:name w:val="Normal (Web)"/>
    <w:basedOn w:val="Normal"/>
    <w:uiPriority w:val="99"/>
    <w:unhideWhenUsed/>
    <w:qFormat/>
    <w:rsid w:val="00265d9f"/>
    <w:pPr>
      <w:spacing w:beforeAutospacing="1" w:afterAutospacing="1"/>
    </w:pPr>
    <w:rPr>
      <w:sz w:val="24"/>
      <w:szCs w:val="24"/>
    </w:rPr>
  </w:style>
  <w:style w:type="paragraph" w:styleId="113" w:customStyle="1">
    <w:name w:val="УРОВЕНЬ_1."/>
    <w:basedOn w:val="ListParagraph"/>
    <w:link w:val="15"/>
    <w:qFormat/>
    <w:rsid w:val="004a17ae"/>
    <w:pPr>
      <w:keepNext w:val="true"/>
      <w:keepLines/>
      <w:spacing w:lineRule="auto" w:line="276" w:before="240" w:after="120"/>
      <w:ind w:left="0" w:hanging="0"/>
      <w:contextualSpacing w:val="false"/>
      <w:jc w:val="both"/>
      <w:outlineLvl w:val="0"/>
    </w:pPr>
    <w:rPr>
      <w:caps/>
      <w:sz w:val="28"/>
      <w:szCs w:val="28"/>
      <w:lang w:eastAsia="en-US"/>
    </w:rPr>
  </w:style>
  <w:style w:type="paragraph" w:styleId="TOC6">
    <w:name w:val="TOC 6"/>
    <w:basedOn w:val="Normal"/>
    <w:next w:val="Normal"/>
    <w:autoRedefine/>
    <w:unhideWhenUsed/>
    <w:rsid w:val="00d849aa"/>
    <w:pPr>
      <w:ind w:left="1120" w:hanging="0"/>
    </w:pPr>
    <w:rPr>
      <w:rFonts w:ascii="Calibri" w:hAnsi="Calibri" w:cs="Calibri" w:asciiTheme="minorHAnsi" w:cstheme="minorHAnsi" w:hAnsiTheme="minorHAnsi"/>
      <w:sz w:val="20"/>
      <w:szCs w:val="20"/>
    </w:rPr>
  </w:style>
  <w:style w:type="paragraph" w:styleId="TOC7">
    <w:name w:val="TOC 7"/>
    <w:basedOn w:val="Normal"/>
    <w:next w:val="Normal"/>
    <w:autoRedefine/>
    <w:unhideWhenUsed/>
    <w:rsid w:val="00d849aa"/>
    <w:pPr>
      <w:ind w:left="1400" w:hanging="0"/>
    </w:pPr>
    <w:rPr>
      <w:rFonts w:ascii="Calibri" w:hAnsi="Calibri" w:cs="Calibri" w:asciiTheme="minorHAnsi" w:cstheme="minorHAnsi" w:hAnsiTheme="minorHAnsi"/>
      <w:sz w:val="20"/>
      <w:szCs w:val="20"/>
    </w:rPr>
  </w:style>
  <w:style w:type="paragraph" w:styleId="TOC8">
    <w:name w:val="TOC 8"/>
    <w:basedOn w:val="Normal"/>
    <w:next w:val="Normal"/>
    <w:autoRedefine/>
    <w:unhideWhenUsed/>
    <w:rsid w:val="00d849aa"/>
    <w:pPr>
      <w:ind w:left="1680" w:hanging="0"/>
    </w:pPr>
    <w:rPr>
      <w:rFonts w:ascii="Calibri" w:hAnsi="Calibri" w:cs="Calibri" w:asciiTheme="minorHAnsi" w:cstheme="minorHAnsi" w:hAnsiTheme="minorHAnsi"/>
      <w:sz w:val="20"/>
      <w:szCs w:val="20"/>
    </w:rPr>
  </w:style>
  <w:style w:type="paragraph" w:styleId="Western" w:customStyle="1">
    <w:name w:val="western"/>
    <w:basedOn w:val="Normal"/>
    <w:qFormat/>
    <w:rsid w:val="00404a99"/>
    <w:pPr>
      <w:spacing w:beforeAutospacing="1" w:after="119"/>
    </w:pPr>
    <w:rPr>
      <w:color w:val="000000"/>
    </w:rPr>
  </w:style>
  <w:style w:type="paragraph" w:styleId="Style33" w:customStyle="1">
    <w:name w:val="Содержимое врезки"/>
    <w:basedOn w:val="Normal"/>
    <w:qFormat/>
    <w:pPr/>
    <w:rPr/>
  </w:style>
  <w:style w:type="paragraph" w:styleId="Style34" w:customStyle="1">
    <w:name w:val="Текст в заданном формате"/>
    <w:basedOn w:val="Normal"/>
    <w:qFormat/>
    <w:pPr/>
    <w:rPr>
      <w:rFonts w:ascii="Liberation Mono" w:hAnsi="Liberation Mono" w:eastAsia="Liberation Mono" w:cs="Liberation Mono"/>
      <w:sz w:val="20"/>
      <w:szCs w:val="20"/>
    </w:rPr>
  </w:style>
  <w:style w:type="paragraph" w:styleId="Style35" w:customStyle="1">
    <w:name w:val="Содержимое таблицы"/>
    <w:basedOn w:val="Normal"/>
    <w:qFormat/>
    <w:pPr>
      <w:widowControl w:val="false"/>
      <w:suppressLineNumbers/>
    </w:pPr>
    <w:rPr/>
  </w:style>
  <w:style w:type="paragraph" w:styleId="Style36" w:customStyle="1">
    <w:name w:val="Заголовок таблицы"/>
    <w:basedOn w:val="Style35"/>
    <w:qFormat/>
    <w:pPr>
      <w:jc w:val="center"/>
    </w:pPr>
    <w:rPr>
      <w:b/>
      <w:bCs/>
    </w:rPr>
  </w:style>
  <w:style w:type="numbering" w:styleId="NoList" w:default="1">
    <w:name w:val="No List"/>
    <w:uiPriority w:val="99"/>
    <w:semiHidden/>
    <w:unhideWhenUsed/>
    <w:qFormat/>
  </w:style>
  <w:style w:type="numbering" w:styleId="114" w:customStyle="1">
    <w:name w:val="Стиль1"/>
    <w:uiPriority w:val="99"/>
    <w:qFormat/>
    <w:rsid w:val="00f001e4"/>
  </w:style>
  <w:style w:type="numbering" w:styleId="29" w:customStyle="1">
    <w:name w:val="Стиль2"/>
    <w:uiPriority w:val="99"/>
    <w:qFormat/>
    <w:rsid w:val="006629c9"/>
  </w:style>
  <w:style w:type="numbering" w:styleId="41560843471" w:customStyle="1">
    <w:name w:val="41560843471"/>
    <w:qFormat/>
  </w:style>
  <w:style w:type="numbering" w:styleId="41799677781" w:customStyle="1">
    <w:name w:val="41799677781"/>
    <w:qFormat/>
  </w:style>
  <w:style w:type="numbering" w:styleId="24849932081" w:customStyle="1">
    <w:name w:val="24849932081"/>
    <w:qFormat/>
  </w:style>
  <w:style w:type="numbering" w:styleId="42373485241" w:customStyle="1">
    <w:name w:val="42373485241"/>
    <w:qFormat/>
  </w:style>
  <w:style w:type="numbering" w:styleId="36104310911" w:customStyle="1">
    <w:name w:val="36104310911"/>
    <w:qFormat/>
  </w:style>
  <w:style w:type="numbering" w:styleId="359910211" w:customStyle="1">
    <w:name w:val="359910211"/>
    <w:qFormat/>
  </w:style>
  <w:style w:type="table" w:default="1" w:styleId="a5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affff6">
    <w:name w:val="Table Grid"/>
    <w:basedOn w:val="a5"/>
    <w:uiPriority w:val="39"/>
    <w:rsid w:val="0076353a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customStyle="1" w:styleId="1f0">
    <w:name w:val="Сетка таблицы1"/>
    <w:basedOn w:val="a5"/>
    <w:uiPriority w:val="39"/>
    <w:rsid w:val="00214b9f"/>
    <w:rPr>
      <w:rFonts w:asciiTheme="minorHAnsi" w:hAnsiTheme="minorHAnsi" w:eastAsiaTheme="minorHAnsi" w:cstheme="minorBidi"/>
      <w:lang w:eastAsia="en-US"/>
      <w:sz w:val="24"/>
      <w:szCs w:val="24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customStyle="1" w:styleId="ListTable4-Accent1">
    <w:name w:val="List Table 4 - Accent 1"/>
    <w:basedOn w:val="a5"/>
    <w:uiPriority w:val="99"/>
    <w:rsid w:val="002b76ca"/>
    <w:tblPr>
      <w:tblStyleRowBandSize w:val="1"/>
      <w:tblStyleColBandSize w:val="1"/>
      <w:tblBorders>
        <w:top w:val="single" w:color="95AFDD" w:themeColor="accent1" w:themeTint="90" w:sz="4" w:space="0"/>
        <w:left w:val="single" w:color="95AFDD" w:themeColor="accent1" w:themeTint="90" w:sz="4" w:space="0"/>
        <w:bottom w:val="single" w:color="95AFDD" w:themeColor="accent1" w:themeTint="90" w:sz="4" w:space="0"/>
        <w:right w:val="single" w:color="95AFDD" w:themeColor="accent1" w:themeTint="90" w:sz="4" w:space="0"/>
        <w:insideH w:val="single" w:color="95AFDD" w:themeColor="accent1" w:themeTint="90" w:sz="4" w:space="0"/>
      </w:tblBorders>
    </w:tblPr>
    <w:tblStylePr w:type="firstRow">
      <w:rPr>
        <w:b/>
        <w:color w:val="FFFFFF"/>
        <w:sz w:val="22"/>
      </w:rPr>
      <w:tblPr/>
      <w:tcPr>
        <w:shd w:val="clear" w:color="4472C4" w:fill="4472C4" w:themeFill="accent1"/>
      </w:tcPr>
    </w:tblStylePr>
    <w:tblStylePr w:type="lastRow">
      <w:rPr>
        <w:b/>
        <w:color w:val="404040"/>
      </w:rPr>
      <w:tblPr/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rPr>
        <w:color w:val="404040"/>
        <w:sz w:val="22"/>
      </w:rPr>
      <w:tblPr/>
      <w:tcPr>
        <w:shd w:val="clear" w:color="CFDBF0" w:fill="CFDBF0" w:themeFill="accent1" w:themeFillTint="40"/>
      </w:tcPr>
    </w:tblStylePr>
    <w:tblStylePr w:type="band1Horz">
      <w:rPr>
        <w:color w:val="404040"/>
        <w:sz w:val="22"/>
      </w:rPr>
      <w:tblPr/>
      <w:tcPr>
        <w:shd w:val="clear" w:color="CFDBF0" w:fill="CFDBF0" w:themeFill="accent1" w:themeFillTint="40"/>
      </w:tcPr>
    </w:tblStyle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header" Target="header2.xml"/><Relationship Id="rId4" Type="http://schemas.openxmlformats.org/officeDocument/2006/relationships/header" Target="header3.xml"/><Relationship Id="rId5" Type="http://schemas.openxmlformats.org/officeDocument/2006/relationships/header" Target="header4.xml"/><Relationship Id="rId6" Type="http://schemas.openxmlformats.org/officeDocument/2006/relationships/header" Target="header5.xml"/><Relationship Id="rId7" Type="http://schemas.openxmlformats.org/officeDocument/2006/relationships/numbering" Target="numbering.xml"/><Relationship Id="rId8" Type="http://schemas.openxmlformats.org/officeDocument/2006/relationships/fontTable" Target="fontTable.xml"/><Relationship Id="rId9" Type="http://schemas.openxmlformats.org/officeDocument/2006/relationships/settings" Target="settings.xml"/><Relationship Id="rId10" Type="http://schemas.openxmlformats.org/officeDocument/2006/relationships/theme" Target="theme/theme1.xml"/><Relationship Id="rId11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0CE2DC6-0886-429F-A97B-FA131484B5A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720</TotalTime>
  <Application>AlterOffice/3.4.0.9$Linux_X86_64 LibreOffice_project/b8daf9e823b1a5463a2f48435ddc2e8696e7d4fc</Application>
  <AppVersion>15.0000</AppVersion>
  <Pages>14</Pages>
  <Words>2285</Words>
  <Characters>14595</Characters>
  <CharactersWithSpaces>16516</CharactersWithSpaces>
  <Paragraphs>393</Paragraphs>
  <Company>Microsoft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2026-06-03T05:17:00Z</dcterms:created>
  <dc:creator>Быстров Олег Геннадьевич</dc:creator>
  <dc:description/>
  <dc:language>ru-RU</dc:language>
  <cp:lastModifiedBy>gabyshevinin</cp:lastModifiedBy>
  <cp:lastPrinted>2026-03-02T02:07:00Z</cp:lastPrinted>
  <dcterms:modified xsi:type="dcterms:W3CDTF">2026-08-03T13:26:51Z</dcterms:modified>
  <cp:revision>52</cp:revision>
  <dc:subject/>
  <dc:title>Российское открытое акционерное общество энергетики и электрификации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