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20.xml" ContentType="application/vnd.openxmlformats-officedocument.wordprocessingml.header+xml"/>
  <Override PartName="/word/header11.xml" ContentType="application/vnd.openxmlformats-officedocument.wordprocessingml.header+xml"/>
  <Override PartName="/word/header8.xml" ContentType="application/vnd.openxmlformats-officedocument.wordprocessingml.header+xml"/>
  <Override PartName="/word/header10.xml" ContentType="application/vnd.openxmlformats-officedocument.wordprocessingml.header+xml"/>
  <Override PartName="/word/header7.xml" ContentType="application/vnd.openxmlformats-officedocument.wordprocessingml.header+xml"/>
  <Override PartName="/word/theme/theme1.xml" ContentType="application/vnd.openxmlformats-officedocument.theme+xml"/>
  <Override PartName="/word/header6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9.xml" ContentType="application/vnd.openxmlformats-officedocument.wordprocessingml.header+xml"/>
  <Override PartName="/word/header18.xml" ContentType="application/vnd.openxmlformats-officedocument.wordprocessingml.header+xml"/>
  <Override PartName="/word/header17.xml" ContentType="application/vnd.openxmlformats-officedocument.wordprocessingml.header+xml"/>
  <Override PartName="/word/header16.xml" ContentType="application/vnd.openxmlformats-officedocument.wordprocessingml.header+xml"/>
  <Override PartName="/word/header15.xml" ContentType="application/vnd.openxmlformats-officedocument.wordprocessingml.header+xml"/>
  <Override PartName="/word/header14.xml" ContentType="application/vnd.openxmlformats-officedocument.wordprocessingml.header+xml"/>
  <Override PartName="/word/header21.xml" ContentType="application/vnd.openxmlformats-officedocument.wordprocessingml.header+xml"/>
  <Override PartName="/word/header13.xml" ContentType="application/vnd.openxmlformats-officedocument.wordprocessingml.header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7655" w:leader="none"/>
        </w:tabs>
        <w:jc w:val="right"/>
        <w:rPr>
          <w:bCs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</w:t>
      </w:r>
      <w:r>
        <w:rPr>
          <w:rFonts w:eastAsia="Calibri"/>
          <w:b/>
        </w:rPr>
        <w:t>Техническое задание</w:t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 </w:t>
      </w:r>
      <w:r>
        <w:rPr>
          <w:rFonts w:eastAsia="Calibri"/>
          <w:b/>
          <w:lang w:eastAsia="zh-CN"/>
        </w:rPr>
        <w:t>Испытания на механическую и сдвиговую прочность с показателями по морозостойкости материалов упорных призм, подвергающихся сезонному замораживанию и оттаиванию в грунтовых сооружениях МГУ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ОКПД2 71.12.</w:t>
      </w:r>
      <w:r>
        <w:rPr>
          <w:rFonts w:eastAsia="Calibri"/>
          <w:b/>
          <w:sz w:val="26"/>
          <w:szCs w:val="26"/>
          <w:lang w:val="en-US"/>
        </w:rPr>
        <w:t>39</w:t>
      </w:r>
      <w:r>
        <w:rPr>
          <w:rFonts w:eastAsia="Calibri"/>
          <w:b/>
          <w:sz w:val="26"/>
          <w:szCs w:val="26"/>
        </w:rPr>
        <w:t>— НПК Выполнение работ по специальным исследованиям характеристик грунтов по отдельным программам для нестандартных. в том числе нелинейных методов расчета оснований фундаментов и конструкций зданий и сооружений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bookmarkStart w:id="0" w:name="_GoBack"/>
      <w:bookmarkStart w:id="1" w:name="_GoBack"/>
      <w:bookmarkEnd w:id="1"/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2" w:name="_Toc51339692"/>
      <w:bookmarkStart w:id="3" w:name="_Toc209683168"/>
      <w:r>
        <w:rPr>
          <w:lang w:val="ru-RU"/>
        </w:rPr>
        <w:t>Общие сведения</w:t>
      </w:r>
      <w:bookmarkEnd w:id="2"/>
      <w:bookmarkEnd w:id="3"/>
    </w:p>
    <w:p>
      <w:pPr>
        <w:pStyle w:val="Heading4"/>
        <w:numPr>
          <w:ilvl w:val="1"/>
          <w:numId w:val="3"/>
        </w:numPr>
        <w:rPr/>
      </w:pPr>
      <w:bookmarkStart w:id="4" w:name="_Toc46743505"/>
      <w:bookmarkStart w:id="5" w:name="_Toc209683169"/>
      <w:r>
        <w:rPr/>
        <w:t>Обозначения и сокращения</w:t>
      </w:r>
      <w:bookmarkEnd w:id="4"/>
      <w:bookmarkEnd w:id="5"/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МГУ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Майнский гидроузел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ГТС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Гидротехнические сооружения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НИР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Научно-</w:t>
            </w:r>
            <w:r>
              <w:rPr>
                <w:rFonts w:eastAsia="Calibri"/>
                <w:sz w:val="24"/>
                <w:szCs w:val="24"/>
                <w:lang w:val="en-US"/>
              </w:rPr>
              <w:t>исследовательск</w:t>
            </w:r>
            <w:r>
              <w:rPr>
                <w:rFonts w:eastAsia="Calibri"/>
                <w:sz w:val="24"/>
                <w:szCs w:val="24"/>
              </w:rPr>
              <w:t>ие работы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ТЗ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Техническое задание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ТЗ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Техническое задание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КИА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Контрольно-измерительная аппаратура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Филиал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Филиал ПАО «РусГидро» - «Саяно-Шушенская ГЭС имени П.С. Непорожнего»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СМГТС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Служба мониторинга гидротехнических сооружений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rPr/>
      </w:pPr>
      <w:bookmarkStart w:id="6" w:name="_Toc46743506"/>
      <w:bookmarkStart w:id="7" w:name="_Toc209683170"/>
      <w:r>
        <w:rPr/>
        <w:t>Наименование закупаемой продукции</w:t>
      </w:r>
      <w:bookmarkEnd w:id="6"/>
      <w:bookmarkEnd w:id="7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 w:val="false"/>
          <w:bCs/>
          <w:sz w:val="24"/>
          <w:szCs w:val="24"/>
        </w:rPr>
      </w:pPr>
      <w:r>
        <w:rPr>
          <w:rFonts w:eastAsia="Calibri"/>
          <w:sz w:val="24"/>
          <w:szCs w:val="24"/>
          <w:lang w:eastAsia="zh-CN"/>
        </w:rPr>
        <w:t>Испытания на механическую и сдвиговую прочность с показателями по морозостойкости материалов упорных призм, подвергающихся сезонному замораживанию и оттаиванию в грунтовых сооружениях МГУ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>
          <w:lang w:val="ru-RU"/>
        </w:rPr>
      </w:pPr>
      <w:bookmarkStart w:id="8" w:name="_Toc209683171"/>
      <w:bookmarkStart w:id="9" w:name="_Toc46743507"/>
      <w:r>
        <w:rPr/>
        <w:t xml:space="preserve">Цель </w:t>
      </w:r>
      <w:bookmarkEnd w:id="9"/>
      <w:r>
        <w:rPr>
          <w:lang w:val="ru-RU"/>
        </w:rPr>
        <w:t>выполнения работ</w:t>
      </w:r>
      <w:bookmarkEnd w:id="8"/>
    </w:p>
    <w:p>
      <w:pPr>
        <w:pStyle w:val="ListParagraph"/>
        <w:numPr>
          <w:ilvl w:val="0"/>
          <w:numId w:val="17"/>
        </w:numPr>
        <w:jc w:val="both"/>
        <w:rPr/>
      </w:pPr>
      <w:r>
        <w:rPr>
          <w:lang w:eastAsia="x-none"/>
        </w:rPr>
        <w:t>Определение физико-механических характеристик грунтов с показателями по морозостойкости пород низовых упорных призм грунтовых плотин МГУ.</w:t>
      </w:r>
    </w:p>
    <w:p>
      <w:pPr>
        <w:pStyle w:val="ListParagraph"/>
        <w:numPr>
          <w:ilvl w:val="0"/>
          <w:numId w:val="17"/>
        </w:numPr>
        <w:jc w:val="both"/>
        <w:rPr>
          <w:lang w:eastAsia="x-none"/>
        </w:rPr>
      </w:pPr>
      <w:r>
        <w:rPr>
          <w:lang w:eastAsia="x-none"/>
        </w:rPr>
        <w:t>Оценка современного состояния грунтов низовых упорных призм грунтовых плотин МГУ по результатам испытаний образцов материалов и определения их физико-механических свойств.</w:t>
      </w:r>
    </w:p>
    <w:p>
      <w:pPr>
        <w:pStyle w:val="Heading4"/>
        <w:numPr>
          <w:ilvl w:val="1"/>
          <w:numId w:val="3"/>
        </w:numPr>
        <w:rPr/>
      </w:pPr>
      <w:bookmarkStart w:id="10" w:name="_Toc46743508"/>
      <w:bookmarkStart w:id="11" w:name="_Toc209683172"/>
      <w:r>
        <w:rPr/>
        <w:t>Существующее положение</w:t>
      </w:r>
      <w:bookmarkEnd w:id="10"/>
      <w:bookmarkEnd w:id="11"/>
    </w:p>
    <w:p>
      <w:pPr>
        <w:pStyle w:val="Style35"/>
        <w:keepNext w:val="false"/>
        <w:keepLines w:val="false"/>
        <w:widowControl w:val="false"/>
        <w:spacing w:lineRule="auto" w:line="240" w:before="120" w:after="0"/>
        <w:ind w:firstLine="709"/>
        <w:rPr>
          <w:i/>
          <w:i/>
          <w:szCs w:val="26"/>
        </w:rPr>
      </w:pPr>
      <w:r>
        <w:rPr>
          <w:i/>
          <w:szCs w:val="26"/>
        </w:rPr>
        <w:t>В состав Майнского гидроузла входят:</w:t>
      </w:r>
    </w:p>
    <w:p>
      <w:pPr>
        <w:pStyle w:val="Style35"/>
        <w:widowControl w:val="false"/>
        <w:spacing w:lineRule="auto" w:line="240" w:before="120" w:after="0"/>
        <w:ind w:firstLine="709"/>
        <w:rPr>
          <w:i/>
          <w:i/>
          <w:szCs w:val="26"/>
        </w:rPr>
      </w:pPr>
      <w:r>
        <w:rPr>
          <w:i/>
          <w:szCs w:val="26"/>
        </w:rPr>
        <w:t>Характеристики сооружений, входящих в комплекс обследуемого ГТС</w:t>
      </w:r>
    </w:p>
    <w:p>
      <w:pPr>
        <w:pStyle w:val="Style34"/>
        <w:widowControl w:val="false"/>
        <w:spacing w:before="0" w:after="0"/>
        <w:ind w:firstLine="709"/>
        <w:rPr/>
      </w:pPr>
      <w:r>
        <w:rPr>
          <w:i/>
          <w:u w:val="single"/>
        </w:rPr>
        <w:t>Правобережная грунтовая плотина</w:t>
      </w:r>
      <w:r>
        <w:rPr/>
        <w:t xml:space="preserve"> протяженностью 294 м расположена на правобережной пойме и первой надпойменной террасе и непосредственно примыкает к правобережному склону. Основанием плотины служат аллювиальные отложения мощностью 4.5÷10.5 м, подстилаемые сланцами. Упорные призмы отсыпаны из гравийно-галечниковых грунтов с переходными слоями из гравийно-песчаного грунта. Противофильтрационным элементом в теле плотины является ядро из суглинисто-супесчаного грунта с отметкой подошвы 310 м. Сопряжение ядра с коренными скальными породами выполнено в виде трехрядной инъекционной завесы из бентонитового глинопорошка и цемента. Ширина плотины по гребню 12 м, наибольшая высота плотины 26.0 м. Верховой откос закреплен монолитными железобетонными плитами толщиной 30 см, низовой откос - каменной наброской. По гребню плотины проходит автомобильная дорога с шириной проезжей части 7 м.</w:t>
      </w:r>
    </w:p>
    <w:p>
      <w:pPr>
        <w:pStyle w:val="Style34"/>
        <w:widowControl w:val="false"/>
        <w:spacing w:before="0" w:after="0"/>
        <w:ind w:firstLine="709"/>
        <w:rPr/>
      </w:pPr>
      <w:r>
        <w:rPr>
          <w:i/>
          <w:u w:val="single"/>
        </w:rPr>
        <w:t>Русловая грунтовая плотина</w:t>
      </w:r>
      <w:r>
        <w:rPr/>
        <w:t xml:space="preserve"> протяженностью 210 м является продолжением правобережной грунтовой плотины и имеет аналогичную конструкцию поперечного профиля. Сопряжение русловой плотины с водосбросной осуществляется с помощью сопрягающего устоя и примыкающих к нему верховой и низовой подпорных стенок. Для исключения контактной фильтрации сопрягающий устой имеет железобетонную шпору длиной 2.85 м, высотой 24.15 м. Основанием русловой плотины служат коренные породы (сланцы) в переуглублениях (отм. 295-305 м), покрытые слоем аллювия. В цокольной части, отсыпанной из гравийно-галечниковых грунтов и находящейся между подошвой ядра и основанием плотины, выполнена противофильтрационная завеса, аналогичная завесе правобережной плотины.</w:t>
      </w:r>
    </w:p>
    <w:p>
      <w:pPr>
        <w:pStyle w:val="Style35"/>
        <w:keepNext w:val="false"/>
        <w:keepLines w:val="false"/>
        <w:widowControl w:val="false"/>
        <w:spacing w:lineRule="auto" w:line="240" w:before="120" w:after="0"/>
        <w:ind w:firstLine="709"/>
        <w:rPr>
          <w:b w:val="false"/>
          <w:szCs w:val="26"/>
        </w:rPr>
      </w:pPr>
      <w:r>
        <w:rPr>
          <w:b w:val="false"/>
          <w:i/>
          <w:szCs w:val="26"/>
          <w:u w:val="single"/>
        </w:rPr>
        <w:t>Левобережная грунтовая плотина</w:t>
      </w:r>
      <w:r>
        <w:rPr>
          <w:b w:val="false"/>
          <w:szCs w:val="26"/>
        </w:rPr>
        <w:t xml:space="preserve"> протяженностью 126 м примыкает с одной стороны к левобережному склону долины, а с другой – к блоку монтажной площадки и левобережной верховой стенке. С низовой стороны на большей части длины плотина ограничена бетонной стенкой служебно-технологического комплекса (СТК). Конструкция поперечного профиля левобережной плотины аналогична конструкции правобережной плотины. Основанием плотины являются коренные скальные породы, в которых выполнена однорядная цементационная завеса, заглубленная под ядро до 5 м.</w:t>
      </w:r>
    </w:p>
    <w:p>
      <w:pPr>
        <w:pStyle w:val="Style35"/>
        <w:widowControl w:val="false"/>
        <w:spacing w:lineRule="auto" w:line="240" w:before="120" w:after="0"/>
        <w:ind w:firstLine="709"/>
        <w:rPr>
          <w:b w:val="false"/>
          <w:szCs w:val="26"/>
        </w:rPr>
      </w:pPr>
      <w:r>
        <w:rPr>
          <w:b w:val="false"/>
          <w:szCs w:val="26"/>
        </w:rPr>
        <w:t xml:space="preserve">В соответствии с нормативными документами: </w:t>
      </w:r>
    </w:p>
    <w:p>
      <w:pPr>
        <w:pStyle w:val="Style35"/>
        <w:keepNext w:val="false"/>
        <w:keepLines w:val="false"/>
        <w:widowControl w:val="false"/>
        <w:spacing w:lineRule="auto" w:line="240" w:before="120" w:after="0"/>
        <w:ind w:firstLine="709"/>
        <w:rPr>
          <w:b w:val="false"/>
          <w:szCs w:val="26"/>
        </w:rPr>
      </w:pPr>
      <w:r>
        <w:rPr>
          <w:b w:val="false"/>
          <w:szCs w:val="26"/>
        </w:rPr>
        <w:t>1. Приказ Ростехнадзора от 08.05.2024 г № 151 Об утверждении федеральных норм и правил в области безопасности гидротехнических сооружений «Требования к обеспечению безопасности гидротехнических сооружений (за исключением судоходных и портовых гидротехнических сооружений» п.32.</w:t>
      </w:r>
    </w:p>
    <w:p>
      <w:pPr>
        <w:pStyle w:val="Style35"/>
        <w:widowControl w:val="false"/>
        <w:spacing w:lineRule="auto" w:line="240" w:before="120" w:after="0"/>
        <w:ind w:firstLine="709"/>
        <w:rPr>
          <w:b w:val="false"/>
          <w:szCs w:val="26"/>
        </w:rPr>
      </w:pPr>
      <w:r>
        <w:rPr>
          <w:b w:val="false"/>
          <w:szCs w:val="26"/>
        </w:rPr>
        <w:t>2. СП 58.13330.2019. Свод правил. Гидротехнические сооружения. Основные положения. СНИП 33-01-2003 п. 6.20  (утв. и введён в действие Приказом Минстроя России от 16.12.2019 № 811/пр) и приказ Федеральной службы по экологическому‚ технологическому и атомному надзору (Ростехнадзор) от 08.05.2024 № 151 Об утверждении федеральных норм и правил в области безопасности гидротехнических сооружений «Требования по обеспечению безопасности гидротехнических сооружений (за исключением судоходных и портовых гидротехнических сооружений)</w:t>
      </w:r>
      <w:r>
        <w:rPr>
          <w:rFonts w:eastAsia="Calibri"/>
          <w:b w:val="false"/>
          <w:lang w:eastAsia="x-none"/>
        </w:rPr>
        <w:t>»,</w:t>
      </w:r>
      <w:r>
        <w:rPr>
          <w:b w:val="false"/>
          <w:szCs w:val="26"/>
        </w:rPr>
        <w:t xml:space="preserve"> п. 32 - «крупнообломочный материал упорных призм в зонах, подвергающихся сезонному замораживанию и оттаиванию, должен отвечать нормативным(проектным) показателям по морозостойкости</w:t>
      </w:r>
      <w:r>
        <w:rPr>
          <w:rFonts w:eastAsia="Calibri"/>
          <w:b w:val="false"/>
          <w:lang w:eastAsia="x-none"/>
        </w:rPr>
        <w:t>»</w:t>
      </w:r>
      <w:r>
        <w:rPr>
          <w:b w:val="false"/>
          <w:szCs w:val="26"/>
        </w:rPr>
        <w:t>.</w:t>
      </w:r>
    </w:p>
    <w:p>
      <w:pPr>
        <w:pStyle w:val="Style35"/>
        <w:keepNext w:val="false"/>
        <w:keepLines w:val="false"/>
        <w:widowControl w:val="false"/>
        <w:spacing w:lineRule="auto" w:line="240" w:before="120" w:after="0"/>
        <w:ind w:firstLine="709"/>
        <w:rPr>
          <w:b w:val="false"/>
          <w:szCs w:val="26"/>
        </w:rPr>
      </w:pPr>
      <w:r>
        <w:rPr>
          <w:b w:val="false"/>
          <w:szCs w:val="26"/>
        </w:rPr>
        <w:t xml:space="preserve">3. </w:t>
      </w:r>
      <w:r>
        <w:rPr/>
        <w:t xml:space="preserve"> </w:t>
      </w:r>
      <w:r>
        <w:rPr>
          <w:b w:val="false"/>
        </w:rPr>
        <w:t>СТО 02.01.80-2012</w:t>
      </w:r>
      <w:r>
        <w:rPr/>
        <w:t xml:space="preserve"> </w:t>
      </w:r>
      <w:r>
        <w:rPr>
          <w:b w:val="false"/>
          <w:szCs w:val="26"/>
        </w:rPr>
        <w:t>п.5.4.3.18 где указывается, что крупнообломочный материал упорных призм грунтовых плотин, подвергающийся сезонному замораживанию и оттаиванию, должен отвечать нормативным (проектным) показателям по морозостойкости и через каждые 10-15 лет эксплуатации испытываться на механическую и сдвиговую прочность.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ind w:firstLine="709"/>
        <w:jc w:val="both"/>
        <w:rPr>
          <w:rFonts w:eastAsia="Calibri"/>
          <w:sz w:val="24"/>
          <w:szCs w:val="26"/>
        </w:rPr>
      </w:pPr>
      <w:r>
        <w:rPr>
          <w:rFonts w:eastAsia="Calibri"/>
          <w:sz w:val="24"/>
          <w:szCs w:val="26"/>
        </w:rPr>
      </w:r>
    </w:p>
    <w:p>
      <w:pPr>
        <w:pStyle w:val="Normal"/>
        <w:keepLines/>
        <w:spacing w:before="240" w:after="60"/>
        <w:rPr>
          <w:sz w:val="24"/>
          <w:szCs w:val="24"/>
        </w:rPr>
      </w:pPr>
      <w:bookmarkStart w:id="12" w:name="_Toc209683173"/>
      <w:r>
        <w:rPr>
          <w:sz w:val="24"/>
          <w:szCs w:val="24"/>
        </w:rPr>
        <w:t>Таблица 1. Перечень объектов Заказчика</w:t>
      </w:r>
      <w:bookmarkEnd w:id="12"/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939"/>
        <w:gridCol w:w="3279"/>
        <w:gridCol w:w="3583"/>
        <w:gridCol w:w="2119"/>
      </w:tblGrid>
      <w:tr>
        <w:trPr/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производства работ)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выполняются работы)</w:t>
            </w:r>
          </w:p>
        </w:tc>
      </w:tr>
      <w:tr>
        <w:trPr/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881" w:hRule="atLeast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/>
            </w:pPr>
            <w:r>
              <w:rPr/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Плотина МГУ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 xml:space="preserve">Филиал ПАО «РусГидро» - «Саяно-Шушенская ГЭС имени П.С. Непорожнего», РФ, Республика Хакасия, </w:t>
            </w:r>
            <w:r>
              <w:rPr>
                <w:i/>
                <w:sz w:val="24"/>
                <w:szCs w:val="24"/>
              </w:rPr>
              <w:t>рп. Майна, «Майнский гидроузел»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802</w:t>
            </w:r>
          </w:p>
        </w:tc>
      </w:tr>
    </w:tbl>
    <w:p>
      <w:pPr>
        <w:pStyle w:val="Heading4"/>
        <w:numPr>
          <w:ilvl w:val="1"/>
          <w:numId w:val="3"/>
        </w:numPr>
        <w:jc w:val="both"/>
        <w:rPr/>
      </w:pPr>
      <w:bookmarkStart w:id="13" w:name="_Toc209683174"/>
      <w:bookmarkStart w:id="14" w:name="_Hlk49857604"/>
      <w:bookmarkStart w:id="15" w:name="_Toc46743509"/>
      <w:r>
        <w:rPr/>
        <w:t xml:space="preserve">Информация в отношении исполнения договора, </w:t>
      </w:r>
      <w:bookmarkStart w:id="16" w:name="_Hlk46492347"/>
      <w:r>
        <w:rPr/>
        <w:t xml:space="preserve">которая должна быть учтена при подготовке заявки </w:t>
      </w:r>
      <w:bookmarkEnd w:id="16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</w:t>
      </w:r>
      <w:bookmarkEnd w:id="14"/>
      <w:bookmarkEnd w:id="15"/>
      <w:r>
        <w:rPr/>
        <w:t>.</w:t>
      </w:r>
      <w:bookmarkEnd w:id="13"/>
    </w:p>
    <w:p>
      <w:pPr>
        <w:pStyle w:val="Normal"/>
        <w:tabs>
          <w:tab w:val="clear" w:pos="708"/>
          <w:tab w:val="left" w:pos="567" w:leader="none"/>
        </w:tabs>
        <w:ind w:firstLine="426"/>
        <w:jc w:val="both"/>
        <w:rPr>
          <w:bCs/>
          <w:sz w:val="24"/>
          <w:szCs w:val="24"/>
        </w:rPr>
      </w:pPr>
      <w:bookmarkStart w:id="17" w:name="_Hlk48209761"/>
      <w:bookmarkEnd w:id="17"/>
      <w:r>
        <w:rPr>
          <w:bCs/>
          <w:sz w:val="24"/>
          <w:szCs w:val="24"/>
        </w:rPr>
        <w:t>1. Заказчик предоставляет в порядке, предусмотренном Договором, следующую документацию:</w:t>
      </w:r>
    </w:p>
    <w:p>
      <w:pPr>
        <w:pStyle w:val="ListParagraph"/>
        <w:ind w:left="737" w:hanging="0"/>
        <w:jc w:val="both"/>
        <w:rPr/>
      </w:pPr>
      <w:r>
        <w:rPr>
          <w:lang w:eastAsia="x-none"/>
        </w:rPr>
        <w:t>1.1 Планы и разрезы по грунтовым плотинам МГУ.</w:t>
      </w:r>
    </w:p>
    <w:p>
      <w:pPr>
        <w:pStyle w:val="ListParagraph"/>
        <w:ind w:left="737" w:hanging="0"/>
        <w:jc w:val="both"/>
        <w:rPr/>
      </w:pPr>
      <w:r>
        <w:rPr>
          <w:lang w:eastAsia="x-none"/>
        </w:rPr>
        <w:t>1.2 Сведения о проектных характеристиках грунтов тела и основания плотин.</w:t>
      </w:r>
    </w:p>
    <w:p>
      <w:pPr>
        <w:pStyle w:val="ListParagraph"/>
        <w:ind w:left="737" w:hanging="0"/>
        <w:jc w:val="both"/>
        <w:rPr/>
      </w:pPr>
      <w:r>
        <w:rPr>
          <w:lang w:eastAsia="x-none"/>
        </w:rPr>
        <w:t xml:space="preserve">1.3 Данные о современных характеристиках грунтов, полученные по результатам исследований, проведенных в 2013-2021 гг. </w:t>
      </w:r>
    </w:p>
    <w:p>
      <w:pPr>
        <w:pStyle w:val="ListParagraph"/>
        <w:tabs>
          <w:tab w:val="clear" w:pos="708"/>
          <w:tab w:val="left" w:pos="738" w:leader="none"/>
        </w:tabs>
        <w:ind w:left="397" w:hanging="0"/>
        <w:jc w:val="both"/>
        <w:rPr/>
      </w:pPr>
      <w:r>
        <w:rPr>
          <w:lang w:eastAsia="x-none"/>
        </w:rPr>
        <w:t>2. Следующие виды ресурсов:</w:t>
      </w:r>
    </w:p>
    <w:p>
      <w:pPr>
        <w:pStyle w:val="ListParagraph"/>
        <w:ind w:left="1151" w:hanging="0"/>
        <w:jc w:val="both"/>
        <w:rPr/>
      </w:pPr>
      <w:r>
        <w:rPr>
          <w:lang w:eastAsia="x-none"/>
        </w:rPr>
        <w:t>2.1 Электроэнергия.</w:t>
      </w:r>
    </w:p>
    <w:p>
      <w:pPr>
        <w:pStyle w:val="ListParagraph"/>
        <w:ind w:left="1151" w:hanging="0"/>
        <w:jc w:val="both"/>
        <w:rPr>
          <w:lang w:eastAsia="x-none"/>
        </w:rPr>
      </w:pPr>
      <w:r>
        <w:rPr>
          <w:lang w:eastAsia="x-none"/>
        </w:rPr>
        <w:t>2.2 Вода.</w:t>
      </w:r>
    </w:p>
    <w:p>
      <w:pPr>
        <w:pStyle w:val="ListParagraph"/>
        <w:ind w:left="1151" w:hanging="0"/>
        <w:jc w:val="both"/>
        <w:rPr>
          <w:lang w:eastAsia="x-none"/>
        </w:rPr>
      </w:pPr>
      <w:r>
        <w:rPr>
          <w:lang w:eastAsia="x-none"/>
        </w:rPr>
        <w:t>2.3 Обеспечение санитарно-гигиенических и бытовых условий.</w:t>
      </w:r>
    </w:p>
    <w:p>
      <w:pPr>
        <w:pStyle w:val="ListParagraph"/>
        <w:ind w:left="1151" w:hanging="0"/>
        <w:jc w:val="both"/>
        <w:rPr/>
      </w:pPr>
      <w:r>
        <w:rPr>
          <w:lang w:eastAsia="x-none"/>
        </w:rPr>
        <w:t>2.4 Складские помещения и / или площадки для погрузки / разгрузки / / складирования / хранения МТР, оборудования подрядчика.</w:t>
      </w:r>
    </w:p>
    <w:p>
      <w:pPr>
        <w:pStyle w:val="Normal"/>
        <w:spacing w:before="120" w:after="120"/>
        <w:jc w:val="both"/>
        <w:rPr>
          <w:bCs/>
          <w:i/>
          <w:i/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Заказчик</w:t>
      </w:r>
      <w:r>
        <w:rPr>
          <w:bCs/>
          <w:sz w:val="24"/>
          <w:szCs w:val="24"/>
          <w:lang w:eastAsia="x-none"/>
        </w:rPr>
        <w:t xml:space="preserve"> не предоставляет жилые помещения для проживания персонала подрядчика</w:t>
      </w:r>
      <w:r>
        <w:rPr>
          <w:bCs/>
          <w:i/>
          <w:sz w:val="24"/>
          <w:szCs w:val="24"/>
          <w:lang w:eastAsia="x-none"/>
        </w:rPr>
        <w:t>.</w:t>
      </w:r>
    </w:p>
    <w:p>
      <w:pPr>
        <w:pStyle w:val="Normal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18" w:name="_Toc209683175"/>
      <w:bookmarkStart w:id="19" w:name="_Toc51339693"/>
      <w:bookmarkStart w:id="20" w:name="_Toc50125126"/>
      <w:bookmarkStart w:id="21" w:name="_Toc46743510"/>
      <w:bookmarkStart w:id="22" w:name="_Hlk48209761_Копия_1"/>
      <w:bookmarkEnd w:id="20"/>
      <w:bookmarkEnd w:id="21"/>
      <w:bookmarkEnd w:id="22"/>
      <w:r>
        <w:rPr>
          <w:iCs/>
        </w:rPr>
        <w:t>Требования к продукции</w:t>
      </w:r>
      <w:bookmarkEnd w:id="18"/>
      <w:bookmarkEnd w:id="19"/>
    </w:p>
    <w:p>
      <w:pPr>
        <w:pStyle w:val="Heading4"/>
        <w:numPr>
          <w:ilvl w:val="1"/>
          <w:numId w:val="3"/>
        </w:numPr>
        <w:rPr/>
      </w:pPr>
      <w:bookmarkStart w:id="23" w:name="_Toc209683176"/>
      <w:r>
        <w:rPr/>
        <w:t xml:space="preserve">Требования к объемам и срокам </w:t>
      </w:r>
      <w:r>
        <w:rPr>
          <w:lang w:val="ru-RU"/>
        </w:rPr>
        <w:t>выполнения работ</w:t>
      </w:r>
      <w:bookmarkEnd w:id="23"/>
    </w:p>
    <w:p>
      <w:pPr>
        <w:pStyle w:val="Heading3"/>
        <w:numPr>
          <w:ilvl w:val="2"/>
          <w:numId w:val="3"/>
        </w:numPr>
        <w:rPr/>
      </w:pPr>
      <w:bookmarkStart w:id="24" w:name="_Toc209683177"/>
      <w:r>
        <w:rPr>
          <w:lang w:val="ru-RU"/>
        </w:rPr>
        <w:t>Требования к видам и объемам работ</w:t>
      </w:r>
      <w:bookmarkEnd w:id="24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25" w:name="_Toc209683178"/>
      <w:bookmarkStart w:id="26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6"/>
      <w:r>
        <w:rPr>
          <w:sz w:val="24"/>
          <w:szCs w:val="24"/>
          <w:lang w:val="ru-RU"/>
        </w:rPr>
        <w:t>и объем выполняемых работ</w:t>
      </w:r>
      <w:bookmarkEnd w:id="25"/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1313"/>
        <w:gridCol w:w="8607"/>
      </w:tblGrid>
      <w:tr>
        <w:trPr/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8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работ / этапа работ</w:t>
            </w:r>
          </w:p>
        </w:tc>
      </w:tr>
      <w:tr>
        <w:trPr/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8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1"/>
                <w:numId w:val="8"/>
              </w:numPr>
              <w:jc w:val="both"/>
              <w:rPr/>
            </w:pPr>
            <w:r>
              <w:rPr/>
              <w:t>Разработка Программы исследований и согласование её с Заказчиком.</w:t>
            </w:r>
          </w:p>
          <w:p>
            <w:pPr>
              <w:pStyle w:val="ListParagraph"/>
              <w:widowControl w:val="false"/>
              <w:numPr>
                <w:ilvl w:val="1"/>
                <w:numId w:val="8"/>
              </w:numPr>
              <w:jc w:val="both"/>
              <w:rPr>
                <w:i/>
                <w:i/>
              </w:rPr>
            </w:pPr>
            <w:r>
              <w:rPr/>
              <w:t>Изучение проектной документации и результатов ранее проведенных исследований современных характеристик грунтов на грунтовых плотинах МГУ;</w:t>
            </w:r>
          </w:p>
          <w:p>
            <w:pPr>
              <w:pStyle w:val="ListParagraph"/>
              <w:widowControl w:val="false"/>
              <w:numPr>
                <w:ilvl w:val="1"/>
                <w:numId w:val="8"/>
              </w:numPr>
              <w:jc w:val="both"/>
              <w:rPr>
                <w:i/>
                <w:i/>
              </w:rPr>
            </w:pPr>
            <w:r>
              <w:rPr/>
              <w:t>Выполнение работ на низовом откосе русловой и правобережной грунтовых плотин МГУ (Приложение 1): отбор проб и определение плотности сложения грунтов призм в естественном состоянии (метод замещения объёма), отбор проб грунтов в количестве необходимом для выполнения лабораторных испытаний, упаковка грунтов и транспортировка их в стационарную лабораторию. Замещение изъятого для исследований грунта низовой призмы плотины аналогичным по составу грунтом.</w:t>
            </w:r>
          </w:p>
          <w:p>
            <w:pPr>
              <w:pStyle w:val="ListParagraph"/>
              <w:widowControl w:val="false"/>
              <w:numPr>
                <w:ilvl w:val="1"/>
                <w:numId w:val="8"/>
              </w:numPr>
              <w:jc w:val="both"/>
              <w:rPr>
                <w:i/>
                <w:i/>
              </w:rPr>
            </w:pPr>
            <w:r>
              <w:rPr/>
              <w:t>Лабораторные исследования;</w:t>
            </w:r>
          </w:p>
          <w:p>
            <w:pPr>
              <w:pStyle w:val="ListParagraph"/>
              <w:widowControl w:val="false"/>
              <w:numPr>
                <w:ilvl w:val="1"/>
                <w:numId w:val="8"/>
              </w:numPr>
              <w:jc w:val="both"/>
              <w:rPr>
                <w:i/>
                <w:i/>
              </w:rPr>
            </w:pPr>
            <w:r>
              <w:rPr/>
              <w:t xml:space="preserve">Обработка результатов полевых и лабораторных исследований; </w:t>
            </w:r>
          </w:p>
          <w:p>
            <w:pPr>
              <w:pStyle w:val="ListParagraph"/>
              <w:widowControl w:val="false"/>
              <w:numPr>
                <w:ilvl w:val="1"/>
                <w:numId w:val="8"/>
              </w:numPr>
              <w:jc w:val="both"/>
              <w:rPr>
                <w:i/>
                <w:i/>
              </w:rPr>
            </w:pPr>
            <w:r>
              <w:rPr/>
              <w:t xml:space="preserve">Выпуск технического отчёта по результатам исследований, расчёт основных физико-механических характеристик и характеристик по морозостойкости проб грунта плотин . </w:t>
            </w:r>
          </w:p>
          <w:p>
            <w:pPr>
              <w:pStyle w:val="ListParagraph"/>
              <w:widowControl w:val="false"/>
              <w:ind w:left="792" w:hanging="0"/>
              <w:jc w:val="both"/>
              <w:rPr>
                <w:i/>
                <w:i/>
              </w:rPr>
            </w:pPr>
            <w:r>
              <w:rPr>
                <w:i/>
              </w:rPr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27" w:name="_Toc209683179"/>
      <w:bookmarkStart w:id="28" w:name="_Toc51339696"/>
      <w:r>
        <w:rPr>
          <w:lang w:val="ru-RU"/>
        </w:rPr>
        <w:t xml:space="preserve">Требования </w:t>
      </w:r>
      <w:bookmarkEnd w:id="28"/>
      <w:r>
        <w:rPr>
          <w:lang w:val="ru-RU"/>
        </w:rPr>
        <w:t>к срокам выполнения работ</w:t>
      </w:r>
      <w:bookmarkEnd w:id="27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29" w:name="_Toc209683180"/>
      <w:bookmarkStart w:id="30" w:name="_Toc51339697"/>
      <w:bookmarkStart w:id="31" w:name="_Toc50125127"/>
      <w:bookmarkStart w:id="32" w:name="_Toc50125126_Копия_1"/>
      <w:bookmarkEnd w:id="32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33" w:name="_Hlk50465284"/>
      <w:r>
        <w:rPr>
          <w:sz w:val="24"/>
          <w:szCs w:val="24"/>
        </w:rPr>
        <w:t xml:space="preserve">Требования по срокам </w:t>
      </w:r>
      <w:bookmarkEnd w:id="30"/>
      <w:bookmarkEnd w:id="31"/>
      <w:bookmarkEnd w:id="33"/>
      <w:r>
        <w:rPr>
          <w:sz w:val="24"/>
          <w:szCs w:val="24"/>
          <w:lang w:val="ru-RU"/>
        </w:rPr>
        <w:t>выполнения работ</w:t>
      </w:r>
      <w:bookmarkEnd w:id="29"/>
    </w:p>
    <w:p>
      <w:pPr>
        <w:pStyle w:val="Normal"/>
        <w:spacing w:before="240" w:after="60"/>
        <w:rPr>
          <w:sz w:val="24"/>
          <w:szCs w:val="24"/>
        </w:rPr>
      </w:pPr>
      <w:r>
        <w:rPr>
          <w:sz w:val="24"/>
          <w:szCs w:val="24"/>
        </w:rPr>
        <w:t>Работы выполняются в один этап.</w:t>
      </w:r>
    </w:p>
    <w:p>
      <w:pPr>
        <w:pStyle w:val="Normal"/>
        <w:spacing w:before="240" w:after="60"/>
        <w:rPr>
          <w:sz w:val="24"/>
          <w:szCs w:val="24"/>
        </w:rPr>
      </w:pPr>
      <w:r>
        <w:rPr>
          <w:sz w:val="24"/>
          <w:szCs w:val="24"/>
        </w:rPr>
        <w:t>Сроки выполнения работ:</w:t>
      </w:r>
    </w:p>
    <w:p>
      <w:pPr>
        <w:pStyle w:val="Normal"/>
        <w:spacing w:before="240" w:after="60"/>
        <w:rPr>
          <w:sz w:val="24"/>
          <w:szCs w:val="24"/>
        </w:rPr>
      </w:pPr>
      <w:r>
        <w:rPr>
          <w:sz w:val="24"/>
          <w:szCs w:val="24"/>
        </w:rPr>
        <w:t xml:space="preserve">Начало: с даты, следующей за датой заключения Договора; окончание: 30.03.2027.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9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18"/>
        <w:gridCol w:w="4408"/>
        <w:gridCol w:w="2123"/>
        <w:gridCol w:w="2268"/>
      </w:tblGrid>
      <w:tr>
        <w:trPr/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работ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выполнения работ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окончанию срока выполнения работ </w:t>
            </w:r>
          </w:p>
        </w:tc>
      </w:tr>
      <w:tr>
        <w:trPr/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jc w:val="center"/>
              <w:rPr/>
            </w:pPr>
            <w:r>
              <w:rPr/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7"/>
              </w:numPr>
              <w:jc w:val="both"/>
              <w:rPr>
                <w:i/>
                <w:i/>
              </w:rPr>
            </w:pPr>
            <w:r>
              <w:rPr/>
              <w:t>Изучение проектной документации и результатов ранее проведенных исследований современных характеристик грунтов на грунтовых плотинах  МГУ.</w:t>
            </w:r>
          </w:p>
          <w:p>
            <w:pPr>
              <w:pStyle w:val="ListParagraph"/>
              <w:widowControl w:val="false"/>
              <w:numPr>
                <w:ilvl w:val="0"/>
                <w:numId w:val="17"/>
              </w:numPr>
              <w:jc w:val="both"/>
              <w:rPr>
                <w:i/>
                <w:i/>
              </w:rPr>
            </w:pPr>
            <w:r>
              <w:rPr/>
              <w:t>Составление программы исследований и утверждение у Заказчика.</w:t>
            </w:r>
          </w:p>
          <w:p>
            <w:pPr>
              <w:pStyle w:val="Normal"/>
              <w:widowControl w:val="false"/>
              <w:ind w:left="360" w:hanging="0"/>
              <w:jc w:val="center"/>
              <w:rPr>
                <w:i/>
                <w:i/>
              </w:rPr>
            </w:pPr>
            <w:r>
              <w:rPr>
                <w:i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даты, следующей за датой заключения договора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24</w:t>
            </w:r>
            <w:r>
              <w:rPr>
                <w:sz w:val="24"/>
                <w:szCs w:val="24"/>
                <w:lang w:val="en-US"/>
              </w:rPr>
              <w:t>.0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>.2026</w:t>
            </w:r>
          </w:p>
        </w:tc>
      </w:tr>
      <w:tr>
        <w:trPr/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jc w:val="center"/>
              <w:rPr/>
            </w:pPr>
            <w:r>
              <w:rPr/>
            </w:r>
            <w:bookmarkStart w:id="34" w:name="_Toc46743510_Копия_1"/>
            <w:bookmarkStart w:id="35" w:name="_Toc46743510_Копия_1"/>
            <w:bookmarkEnd w:id="35"/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36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Полевые работы: </w:t>
            </w:r>
          </w:p>
          <w:p>
            <w:pPr>
              <w:pStyle w:val="Normal"/>
              <w:widowControl w:val="false"/>
              <w:ind w:left="36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отбор проб и определение плотности сложения грунтов призм в естественном состоянии (метод замещения объёма);</w:t>
            </w:r>
          </w:p>
          <w:p>
            <w:pPr>
              <w:pStyle w:val="Normal"/>
              <w:widowControl w:val="false"/>
              <w:ind w:left="360" w:hanging="0"/>
              <w:jc w:val="both"/>
              <w:rPr>
                <w:i/>
                <w:i/>
              </w:rPr>
            </w:pPr>
            <w:r>
              <w:rPr>
                <w:sz w:val="24"/>
                <w:szCs w:val="24"/>
              </w:rPr>
              <w:t xml:space="preserve">- отбор проб грунтов в количестве необходимом для выполнения лабораторных испытаний, упаковку грунтов и транспортировку их в стационарную лабораторию.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25.08.2026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09.10.2026</w:t>
            </w:r>
          </w:p>
        </w:tc>
      </w:tr>
      <w:tr>
        <w:trPr/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jc w:val="center"/>
              <w:rPr/>
            </w:pPr>
            <w:r>
              <w:rPr/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360" w:hanging="0"/>
              <w:jc w:val="both"/>
              <w:rPr>
                <w:i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Лабораторные исследования </w:t>
            </w:r>
          </w:p>
          <w:p>
            <w:pPr>
              <w:pStyle w:val="Normal"/>
              <w:widowControl w:val="false"/>
              <w:ind w:left="36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12.10.2026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13.11.2026</w:t>
            </w:r>
          </w:p>
        </w:tc>
      </w:tr>
      <w:tr>
        <w:trPr/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jc w:val="center"/>
              <w:rPr/>
            </w:pPr>
            <w:r>
              <w:rPr/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36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Обработка результатов полевых и лабораторных исследований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16.11.2026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21.12.2026</w:t>
            </w:r>
          </w:p>
        </w:tc>
      </w:tr>
      <w:tr>
        <w:trPr/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jc w:val="center"/>
              <w:rPr/>
            </w:pPr>
            <w:r>
              <w:rPr/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36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технического отчёта по результатам исследований, расчёт основных физико-механических характеристик и характеристик по морозостойкости проб грунта плотин и сравнение их с проектными значениями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21.1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01.02.2027</w:t>
            </w:r>
          </w:p>
        </w:tc>
      </w:tr>
      <w:tr>
        <w:trPr/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jc w:val="center"/>
              <w:rPr/>
            </w:pPr>
            <w:r>
              <w:rPr/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36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и согласование отчета с Заказчиком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01.02.2027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30.03.2027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36" w:name="_Toc51339698"/>
      <w:bookmarkStart w:id="37" w:name="_Toc209683181"/>
      <w:r>
        <w:rPr/>
        <w:t xml:space="preserve">Требования к </w:t>
      </w:r>
      <w:r>
        <w:rPr>
          <w:lang w:val="ru-RU"/>
        </w:rPr>
        <w:t>качеству работ</w:t>
      </w:r>
      <w:bookmarkEnd w:id="37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</w:rPr>
      </w:pPr>
      <w:bookmarkStart w:id="38" w:name="_Toc20968318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36"/>
      <w:r>
        <w:rPr>
          <w:sz w:val="24"/>
          <w:szCs w:val="24"/>
          <w:lang w:val="ru-RU"/>
        </w:rPr>
        <w:t>качеству работ</w:t>
      </w:r>
      <w:bookmarkEnd w:id="38"/>
      <w:r>
        <w:rPr>
          <w:sz w:val="24"/>
          <w:szCs w:val="24"/>
        </w:rPr>
        <w:t xml:space="preserve"> </w:t>
      </w:r>
    </w:p>
    <w:p>
      <w:pPr>
        <w:pStyle w:val="Normal"/>
        <w:snapToGrid w:val="false"/>
        <w:spacing w:before="0" w:after="120"/>
        <w:rPr>
          <w:rStyle w:val="Style8"/>
          <w:iCs/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работ: </w:t>
      </w:r>
      <w:r>
        <w:rPr>
          <w:rFonts w:eastAsia="Calibri"/>
          <w:lang w:eastAsia="zh-CN"/>
        </w:rPr>
        <w:t>Испытания на механическую и сдвиговую прочность с показателями по морозостойкости материалов упорных призм, подвергающихся сезонному замораживанию и оттаиванию в грунтовых сооружениях МГУ</w:t>
      </w:r>
    </w:p>
    <w:tbl>
      <w:tblPr>
        <w:tblStyle w:val="affffc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503"/>
        <w:gridCol w:w="4452"/>
        <w:gridCol w:w="9324"/>
      </w:tblGrid>
      <w:tr>
        <w:trPr>
          <w:trHeight w:val="276" w:hRule="atLeast"/>
        </w:trPr>
        <w:tc>
          <w:tcPr>
            <w:tcW w:w="150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445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932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</w:tr>
      <w:tr>
        <w:trPr>
          <w:trHeight w:val="276" w:hRule="atLeast"/>
        </w:trPr>
        <w:tc>
          <w:tcPr>
            <w:tcW w:w="150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45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32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15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44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93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150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77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выполнению работ </w:t>
            </w:r>
          </w:p>
        </w:tc>
      </w:tr>
      <w:tr>
        <w:trPr/>
        <w:tc>
          <w:tcPr>
            <w:tcW w:w="150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rFonts w:cs="Times New Roman"/>
                <w:b/>
                <w:bCs/>
                <w:kern w:val="0"/>
                <w:lang w:val="ru-RU" w:eastAsia="ru-RU" w:bidi="ar-SA"/>
              </w:rPr>
            </w:r>
          </w:p>
        </w:tc>
        <w:tc>
          <w:tcPr>
            <w:tcW w:w="1377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выполнению работ</w:t>
            </w:r>
          </w:p>
        </w:tc>
      </w:tr>
      <w:tr>
        <w:trPr/>
        <w:tc>
          <w:tcPr>
            <w:tcW w:w="150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45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Содержание Работ</w:t>
            </w:r>
          </w:p>
        </w:tc>
        <w:tc>
          <w:tcPr>
            <w:tcW w:w="932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Работы выполняются в один этап:</w:t>
            </w:r>
          </w:p>
          <w:p>
            <w:pPr>
              <w:pStyle w:val="ListParagraph"/>
              <w:widowControl w:val="false"/>
              <w:numPr>
                <w:ilvl w:val="2"/>
                <w:numId w:val="16"/>
              </w:numPr>
              <w:suppressAutoHyphens w:val="true"/>
              <w:spacing w:before="0" w:after="0"/>
              <w:contextualSpacing/>
              <w:jc w:val="both"/>
              <w:rPr>
                <w:i/>
                <w:i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Ознакомление с проектной документацией, проектными показателями физико-механических характеристик грунтов и показателей. Разработка и утверждение программы работ с указанием мест отбора проб.</w:t>
            </w:r>
          </w:p>
          <w:p>
            <w:pPr>
              <w:pStyle w:val="ListParagraph"/>
              <w:widowControl w:val="false"/>
              <w:numPr>
                <w:ilvl w:val="2"/>
                <w:numId w:val="16"/>
              </w:numPr>
              <w:suppressAutoHyphens w:val="true"/>
              <w:spacing w:before="0" w:after="0"/>
              <w:contextualSpacing/>
              <w:jc w:val="both"/>
              <w:rPr>
                <w:i/>
                <w:i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Полевые работы: На русловой и правобережной плотинах в районе пьезометрических створов №№2,4,5,6,7,8 (Приложение 1) проводится отбор проб в количестве 12 шт. общим объёмом около 5 м</w:t>
            </w:r>
            <w:r>
              <w:rPr>
                <w:rFonts w:cs="Times New Roman"/>
                <w:kern w:val="0"/>
                <w:vertAlign w:val="superscript"/>
                <w:lang w:val="ru-RU" w:eastAsia="ru-RU" w:bidi="ar-SA"/>
              </w:rPr>
              <w:t>3,</w:t>
            </w:r>
            <w:r>
              <w:rPr>
                <w:rFonts w:cs="Times New Roman"/>
                <w:kern w:val="0"/>
                <w:lang w:val="ru-RU" w:eastAsia="ru-RU" w:bidi="ar-SA"/>
              </w:rPr>
              <w:t xml:space="preserve"> а также нужно определить плотность сложения грунтов призм в естественном состоянии (метод замещения объёма). Определение объёмного веса в естественном залегании. Провести отбор проб грунтов в количестве необходимом для выполнения лабораторных испытаний. Замещение изъятого для исследований грунта низовой призмы плотины аналогичным грунтом по составу.  Упаковка грунтов и транспортировка их в стационарную лабораторию.</w:t>
            </w:r>
          </w:p>
          <w:p>
            <w:pPr>
              <w:pStyle w:val="ListParagraph"/>
              <w:widowControl w:val="false"/>
              <w:numPr>
                <w:ilvl w:val="2"/>
                <w:numId w:val="16"/>
              </w:numPr>
              <w:suppressAutoHyphens w:val="true"/>
              <w:spacing w:before="0" w:after="0"/>
              <w:contextualSpacing/>
              <w:jc w:val="left"/>
              <w:rPr>
                <w:i/>
                <w:i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Лабораторные исследования: Испытания крупнообломочных грунтов в приборе трёхосного сжатия. Обработка и грохочение валовых проб валунно-галечных и гравийно-галечных отложений (отборка валунов, квартование, сокращение, грохочение, рассев пробы и взвешивание по фракциям, составление гранулометрического описания по фракциям). Определение гранулометрического состава грунтов ситовым методом. Определение общей весовой влажности грунтов. Определение влажности заполнителя грунтов. Определение показателей морозостойкости грунтов. Подготовка отчета с прочностными и физическими-механическими характеристиками грунтов, в том числе с показателями морозостойкости крупнообломочного материала, уложенных в упорные призмы грунтовых плотин МГУ и выводами об современном состоянии по сравнению с данными в проекте.</w:t>
            </w:r>
          </w:p>
        </w:tc>
      </w:tr>
      <w:tr>
        <w:trPr/>
        <w:tc>
          <w:tcPr>
            <w:tcW w:w="150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45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Область исследований</w:t>
            </w:r>
          </w:p>
        </w:tc>
        <w:tc>
          <w:tcPr>
            <w:tcW w:w="932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/>
                <w:sz w:val="24"/>
              </w:rPr>
            </w:pPr>
            <w:r>
              <w:rPr>
                <w:rFonts w:eastAsia="Calibri" w:cs="Times New Roman"/>
                <w:kern w:val="0"/>
                <w:sz w:val="24"/>
                <w:lang w:val="ru-RU" w:eastAsia="ru-RU" w:bidi="ar-SA"/>
              </w:rPr>
              <w:t>Низовая призма русловой и правобережной грунтовых плотин МГУ. На русловой плотине 6 точек отбора грунта в пьезометрических створах №№2,4,5. На правобережной плотине 6 точек отбора проб в пьезометрических створах №№ 6,7,8 (Приложение 1)</w:t>
            </w:r>
          </w:p>
        </w:tc>
      </w:tr>
      <w:tr>
        <w:trPr/>
        <w:tc>
          <w:tcPr>
            <w:tcW w:w="150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45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конфиденциальности</w:t>
            </w:r>
          </w:p>
        </w:tc>
        <w:tc>
          <w:tcPr>
            <w:tcW w:w="932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lang w:val="ru-RU" w:eastAsia="ru-RU" w:bidi="ar-SA"/>
              </w:rPr>
              <w:t>Соблюдать меры конфиденциальности в соответствии с Договором и законодательством РФ в области защиты информации ограниченного и для служебного пользования по отношению к исходным данным предоставляемым Заказчиком, а также данным полученным в результате выполнения Работы.</w:t>
            </w:r>
          </w:p>
        </w:tc>
      </w:tr>
      <w:tr>
        <w:trPr/>
        <w:tc>
          <w:tcPr>
            <w:tcW w:w="150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77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</w:tr>
      <w:tr>
        <w:trPr/>
        <w:tc>
          <w:tcPr>
            <w:tcW w:w="15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lang w:val="ru-RU" w:eastAsia="ru-RU" w:bidi="ar-SA"/>
              </w:rPr>
              <w:t>1.3.1</w:t>
            </w:r>
          </w:p>
        </w:tc>
        <w:tc>
          <w:tcPr>
            <w:tcW w:w="445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Квалификация</w:t>
            </w:r>
          </w:p>
        </w:tc>
        <w:tc>
          <w:tcPr>
            <w:tcW w:w="932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 начала выполнения работ по договору Исполнитель должен представить список персонала, который будет привлечен для выполнения работ на территории Филиала (Приложение 3), с указанием ФИО, должности, образования и групп по электробезопасности.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состав лиц, привлекаемых для выполнения Работ обязательно должны входить: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uppressAutoHyphens w:val="true"/>
              <w:spacing w:before="0" w:after="0"/>
              <w:jc w:val="both"/>
              <w:rPr>
                <w:rStyle w:val="Annotationreference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- ведущий специалист (ведущий научный сотрудник) по направлению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руководитель работ;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сотрудники (ИТР), имеющие соответствующую квалификацию в области исследований грунтовых гидротехнических сооружений.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специалисты, привлекаемые для проведения обследования на объекте должны быть обеспечены СИЗ, соответствующими характеру выполняемой работы, а также быть годными по состоянию здоровья (Приложене 4,5,6).</w:t>
            </w:r>
          </w:p>
        </w:tc>
      </w:tr>
      <w:tr>
        <w:trPr/>
        <w:tc>
          <w:tcPr>
            <w:tcW w:w="15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lang w:val="ru-RU" w:eastAsia="ru-RU" w:bidi="ar-SA"/>
              </w:rPr>
              <w:t>1.3.2</w:t>
            </w:r>
          </w:p>
        </w:tc>
        <w:tc>
          <w:tcPr>
            <w:tcW w:w="445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Опыт</w:t>
            </w:r>
          </w:p>
        </w:tc>
        <w:tc>
          <w:tcPr>
            <w:tcW w:w="932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uppressAutoHyphens w:val="true"/>
              <w:spacing w:before="0" w:after="0"/>
              <w:jc w:val="both"/>
              <w:rPr>
                <w:rFonts w:eastAsia="Calibri"/>
                <w:sz w:val="24"/>
              </w:rPr>
            </w:pPr>
            <w:r>
              <w:rPr>
                <w:rFonts w:eastAsia="Calibri" w:cs="Times New Roman"/>
                <w:kern w:val="0"/>
                <w:sz w:val="24"/>
                <w:lang w:val="ru-RU" w:eastAsia="ru-RU" w:bidi="ar-SA"/>
              </w:rPr>
              <w:t>Приложение 7 к ТТ</w:t>
            </w:r>
          </w:p>
        </w:tc>
      </w:tr>
      <w:tr>
        <w:trPr/>
        <w:tc>
          <w:tcPr>
            <w:tcW w:w="15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lang w:val="ru-RU" w:eastAsia="ru-RU" w:bidi="ar-SA"/>
              </w:rPr>
              <w:t>1.3.3</w:t>
            </w:r>
          </w:p>
        </w:tc>
        <w:tc>
          <w:tcPr>
            <w:tcW w:w="445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Требования к аттестации </w:t>
            </w:r>
          </w:p>
        </w:tc>
        <w:tc>
          <w:tcPr>
            <w:tcW w:w="932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uppressAutoHyphens w:val="true"/>
              <w:spacing w:before="0" w:after="0"/>
              <w:jc w:val="both"/>
              <w:rPr>
                <w:rFonts w:eastAsia="Calibri"/>
                <w:sz w:val="24"/>
              </w:rPr>
            </w:pPr>
            <w:r>
              <w:rPr>
                <w:rFonts w:eastAsia="Calibri" w:cs="Times New Roman"/>
                <w:kern w:val="0"/>
                <w:sz w:val="24"/>
                <w:lang w:val="ru-RU" w:eastAsia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lang w:val="ru-RU" w:eastAsia="ru-RU" w:bidi="ar-SA"/>
              </w:rPr>
              <w:t>Приложение 3, 7 к ТТ</w:t>
            </w:r>
          </w:p>
        </w:tc>
      </w:tr>
      <w:tr>
        <w:trPr/>
        <w:tc>
          <w:tcPr>
            <w:tcW w:w="150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77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работ</w:t>
            </w:r>
          </w:p>
        </w:tc>
      </w:tr>
      <w:tr>
        <w:trPr/>
        <w:tc>
          <w:tcPr>
            <w:tcW w:w="150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77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работ</w:t>
            </w:r>
          </w:p>
        </w:tc>
      </w:tr>
      <w:tr>
        <w:trPr/>
        <w:tc>
          <w:tcPr>
            <w:tcW w:w="15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lang w:val="ru-RU" w:eastAsia="ru-RU" w:bidi="ar-SA"/>
              </w:rPr>
              <w:t>2.1.1</w:t>
            </w:r>
          </w:p>
        </w:tc>
        <w:tc>
          <w:tcPr>
            <w:tcW w:w="445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Отчет о выполнении</w:t>
            </w:r>
          </w:p>
        </w:tc>
        <w:tc>
          <w:tcPr>
            <w:tcW w:w="93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lang w:val="ru-RU" w:eastAsia="en-US" w:bidi="ar-SA"/>
              </w:rPr>
              <w:t>По итогам проведенной НИР составляется Технический отчет о результатах выполненной Работы, включающий:</w:t>
            </w:r>
          </w:p>
          <w:p>
            <w:pPr>
              <w:pStyle w:val="ListParagraph"/>
              <w:widowControl w:val="false"/>
              <w:numPr>
                <w:ilvl w:val="0"/>
                <w:numId w:val="18"/>
              </w:numPr>
              <w:suppressAutoHyphens w:val="true"/>
              <w:spacing w:before="0" w:after="0"/>
              <w:contextualSpacing/>
              <w:jc w:val="both"/>
              <w:rPr>
                <w:lang w:eastAsia="en-US"/>
              </w:rPr>
            </w:pPr>
            <w:r>
              <w:rPr>
                <w:rFonts w:cs="Times New Roman"/>
                <w:kern w:val="0"/>
                <w:lang w:val="ru-RU" w:eastAsia="en-US" w:bidi="ar-SA"/>
              </w:rPr>
              <w:t>Результаты полевых и лабораторных испытаний физических характеристик и прочности грунтов, уложенных в упорные призмы русловой и правобережной грунтовых плотин МГУ.</w:t>
            </w:r>
          </w:p>
          <w:p>
            <w:pPr>
              <w:pStyle w:val="ListParagraph"/>
              <w:widowControl w:val="false"/>
              <w:numPr>
                <w:ilvl w:val="0"/>
                <w:numId w:val="18"/>
              </w:numPr>
              <w:suppressAutoHyphens w:val="true"/>
              <w:spacing w:before="0" w:after="0"/>
              <w:contextualSpacing/>
              <w:jc w:val="both"/>
              <w:rPr>
                <w:lang w:eastAsia="en-US"/>
              </w:rPr>
            </w:pPr>
            <w:r>
              <w:rPr>
                <w:rFonts w:cs="Times New Roman"/>
                <w:kern w:val="0"/>
                <w:lang w:val="ru-RU" w:eastAsia="en-US" w:bidi="ar-SA"/>
              </w:rPr>
              <w:t>Сравнительный анализ с проектными значениями прочности и морозостойкости.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lang w:val="ru-RU" w:eastAsia="en-US" w:bidi="ar-SA"/>
              </w:rPr>
            </w:r>
          </w:p>
        </w:tc>
      </w:tr>
      <w:tr>
        <w:trPr/>
        <w:tc>
          <w:tcPr>
            <w:tcW w:w="15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2"/>
              </w:rPr>
            </w:pPr>
            <w:r>
              <w:rPr>
                <w:rFonts w:eastAsia="Times New Roman" w:cs="Times New Roman"/>
                <w:kern w:val="0"/>
                <w:sz w:val="22"/>
                <w:lang w:val="ru-RU" w:eastAsia="ru-RU" w:bidi="ar-SA"/>
              </w:rPr>
              <w:t>2.1.2</w:t>
            </w:r>
          </w:p>
        </w:tc>
        <w:tc>
          <w:tcPr>
            <w:tcW w:w="445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Иные условия выполнения работ</w:t>
            </w:r>
          </w:p>
        </w:tc>
        <w:tc>
          <w:tcPr>
            <w:tcW w:w="93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lang w:val="ru-RU" w:eastAsia="en-US" w:bidi="ar-SA"/>
              </w:rPr>
              <w:t>- Исходными данными для выполнения работ является проектная документация по грунтовым плотинам МГУ и физико-механические характеристики грунтов плотин, отчетная документация по проведенным исследованиям грунтовых плотин Майнского гидроузла в период эксплуатации, предоставляемая по запросу Исполнителя после заключения Договора при условии соблюдения им требований законодательства в области получения, защиты и обработки информации, в порядке, предусмотренном условиями Договора.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lang w:val="ru-RU" w:eastAsia="en-US" w:bidi="ar-SA"/>
              </w:rPr>
              <w:t>- Работы считаются выполненными после выполнения требований, указанных в п. 2 настоящего Технического задания и подписания сторонами Акта сдачи – приемки выполненных Работ.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lang w:val="ru-RU" w:eastAsia="en-US" w:bidi="ar-SA"/>
              </w:rPr>
            </w:r>
          </w:p>
        </w:tc>
      </w:tr>
      <w:tr>
        <w:trPr/>
        <w:tc>
          <w:tcPr>
            <w:tcW w:w="150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77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порядку приемки результатов работ</w:t>
            </w:r>
            <w:r>
              <w:rPr>
                <w:rStyle w:val="Style8"/>
                <w:rFonts w:eastAsia="Times New Roman" w:cs="Times New Roman"/>
                <w:b w:val="false"/>
                <w:bCs/>
                <w:i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 </w:t>
            </w:r>
          </w:p>
        </w:tc>
      </w:tr>
      <w:tr>
        <w:trPr/>
        <w:tc>
          <w:tcPr>
            <w:tcW w:w="15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lang w:val="ru-RU" w:eastAsia="ru-RU" w:bidi="ar-SA"/>
              </w:rPr>
              <w:t>2.2.1</w:t>
            </w:r>
          </w:p>
        </w:tc>
        <w:tc>
          <w:tcPr>
            <w:tcW w:w="445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Порядок приемки отчета.</w:t>
            </w:r>
          </w:p>
        </w:tc>
        <w:tc>
          <w:tcPr>
            <w:tcW w:w="93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5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Технический отчет предоставляется Заказчику: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15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на предварительное согласование не позднее, чем за 30 календарных дней до даты окончания срока выполнения Работ;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-104" w:right="15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для утверждения Заказчиком после согласования сторонами – не позднее указанного в настоящих Технических требованиях срока выполнения Работ.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15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Технический отчет предоставляется в двух экземплярах с подписями на бумажном носителе (оригиналы), в 1 экземпляре на электронном (магнитном или оптическом носителе, или USB-флеш-накопителе) в сканированном виде с подписями в формате *.PDF и *.DOC. Допустимо часть таблиц представить в формате *.XLS.</w:t>
            </w:r>
          </w:p>
        </w:tc>
      </w:tr>
      <w:tr>
        <w:trPr/>
        <w:tc>
          <w:tcPr>
            <w:tcW w:w="150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77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оформлению документации</w:t>
            </w:r>
          </w:p>
        </w:tc>
      </w:tr>
      <w:tr>
        <w:trPr/>
        <w:tc>
          <w:tcPr>
            <w:tcW w:w="15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2"/>
              </w:rPr>
            </w:pPr>
            <w:r>
              <w:rPr>
                <w:rFonts w:eastAsia="Times New Roman" w:cs="Times New Roman"/>
                <w:kern w:val="0"/>
                <w:sz w:val="22"/>
                <w:lang w:val="ru-RU" w:eastAsia="ru-RU" w:bidi="ar-SA"/>
              </w:rPr>
              <w:t>2.3.1</w:t>
            </w:r>
          </w:p>
        </w:tc>
        <w:tc>
          <w:tcPr>
            <w:tcW w:w="445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Подготовка Технического отчета по результатам выполнения Работ.</w:t>
            </w:r>
          </w:p>
        </w:tc>
        <w:tc>
          <w:tcPr>
            <w:tcW w:w="93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Результаты исследований должны быть отражены в Техническом отчете, выполненном по форме, указанной в ГОСТ 7.32-2017 «Отчет о научно-исследовательской работе. Структура и правила оформления». </w:t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39" w:name="_Toc209683183"/>
      <w:bookmarkStart w:id="40" w:name="_Toc53393312"/>
      <w:bookmarkStart w:id="41" w:name="_Toc51339699"/>
      <w:bookmarkStart w:id="42" w:name="_Toc46743519"/>
      <w:bookmarkEnd w:id="41"/>
      <w:bookmarkEnd w:id="42"/>
      <w:r>
        <w:rPr>
          <w:lang w:val="ru-RU"/>
        </w:rPr>
        <w:t>Требования к документации по ценообразованию</w:t>
      </w:r>
      <w:bookmarkEnd w:id="40"/>
      <w:r>
        <w:rPr>
          <w:lang w:val="ru-RU"/>
        </w:rPr>
        <w:t xml:space="preserve"> на этапе закупки</w:t>
      </w:r>
      <w:bookmarkEnd w:id="39"/>
    </w:p>
    <w:p>
      <w:pPr>
        <w:pStyle w:val="Heading1"/>
        <w:keepLines/>
        <w:numPr>
          <w:ilvl w:val="0"/>
          <w:numId w:val="0"/>
        </w:numPr>
        <w:ind w:left="0" w:firstLine="993"/>
        <w:rPr>
          <w:rFonts w:eastAsia="Times New Roman"/>
          <w:b w:val="false"/>
          <w:sz w:val="24"/>
          <w:szCs w:val="24"/>
          <w:lang w:val="ru-RU" w:eastAsia="ru-RU"/>
        </w:rPr>
      </w:pPr>
      <w:bookmarkStart w:id="43" w:name="_Toc207878164"/>
      <w:r>
        <w:rPr>
          <w:rFonts w:eastAsia="Times New Roman"/>
          <w:b w:val="false"/>
          <w:sz w:val="24"/>
          <w:szCs w:val="24"/>
          <w:lang w:val="ru-RU" w:eastAsia="ru-RU"/>
        </w:rPr>
        <w:t>3.1. В обоснование стоимости своей заявки Участник должен предоставить Коммерческое предложение по форме (с учетом прилагаемой к ней инструкции по заполнению), приведенной в Документации о закупке, с указанием в приложении единого коэффициента снижения K (%) (определяется по установленной в инструкции формуле).</w:t>
      </w:r>
      <w:bookmarkEnd w:id="43"/>
    </w:p>
    <w:p>
      <w:pPr>
        <w:pStyle w:val="Heading1"/>
        <w:keepLines/>
        <w:numPr>
          <w:ilvl w:val="0"/>
          <w:numId w:val="0"/>
        </w:numPr>
        <w:ind w:left="0" w:firstLine="993"/>
        <w:rPr>
          <w:rFonts w:eastAsia="Times New Roman"/>
          <w:b w:val="false"/>
          <w:sz w:val="24"/>
          <w:szCs w:val="24"/>
          <w:lang w:val="ru-RU" w:eastAsia="ru-RU"/>
        </w:rPr>
      </w:pPr>
      <w:bookmarkStart w:id="44" w:name="_Toc207878165"/>
      <w:r>
        <w:rPr>
          <w:rFonts w:eastAsia="Times New Roman"/>
          <w:b w:val="false"/>
          <w:sz w:val="24"/>
          <w:szCs w:val="24"/>
          <w:lang w:val="ru-RU" w:eastAsia="ru-RU"/>
        </w:rPr>
        <w:t>3.2. Коэффициент снижения служит только для оценки и сопоставления предложений Участников по соответствующему ценовому (стоимостному) критерию оценки в соответствии с Приложением №2 к Документации о закупке «Порядок и критерии оценки и сопоставления заявок» (в договоре закрепляются единичные расценки услуг, предложенные в заявке Победителем).</w:t>
      </w:r>
      <w:bookmarkEnd w:id="44"/>
    </w:p>
    <w:p>
      <w:pPr>
        <w:pStyle w:val="Heading1"/>
        <w:keepLines/>
        <w:numPr>
          <w:ilvl w:val="0"/>
          <w:numId w:val="0"/>
        </w:numPr>
        <w:ind w:left="0" w:firstLine="993"/>
        <w:rPr>
          <w:iCs/>
          <w:lang w:val="ru-RU"/>
        </w:rPr>
      </w:pPr>
      <w:bookmarkStart w:id="45" w:name="_Toc207878166"/>
      <w:r>
        <w:rPr>
          <w:rFonts w:eastAsia="Times New Roman"/>
          <w:b w:val="false"/>
          <w:sz w:val="24"/>
          <w:szCs w:val="24"/>
          <w:lang w:val="ru-RU" w:eastAsia="ru-RU"/>
        </w:rPr>
        <w:t xml:space="preserve">3.3. </w:t>
        <w:tab/>
        <w:t>Дополнительные документы по ценообразованию (сметная документация) в состав заявки Участника не включаются.</w:t>
      </w:r>
      <w:bookmarkEnd w:id="45"/>
    </w:p>
    <w:p>
      <w:pPr>
        <w:pStyle w:val="Normal"/>
        <w:rPr>
          <w:rFonts w:eastAsia="Calibri"/>
          <w:b/>
          <w:iCs/>
          <w:lang w:val="x-none" w:eastAsia="x-none"/>
        </w:rPr>
      </w:pPr>
      <w:r>
        <w:rPr>
          <w:rFonts w:eastAsia="Calibri"/>
          <w:b/>
          <w:iCs/>
          <w:lang w:val="x-none" w:eastAsia="x-none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46" w:name="_Toc209683184"/>
      <w:r>
        <w:rPr>
          <w:lang w:val="ru-RU"/>
        </w:rPr>
        <w:t>Требования к документации по ценообразованию на этапе заключения (исполнения) договора</w:t>
      </w:r>
      <w:bookmarkEnd w:id="46"/>
    </w:p>
    <w:p>
      <w:pPr>
        <w:pStyle w:val="Heading1"/>
        <w:keepLines/>
        <w:numPr>
          <w:ilvl w:val="0"/>
          <w:numId w:val="0"/>
        </w:numPr>
        <w:ind w:left="0" w:firstLine="851"/>
        <w:rPr>
          <w:rFonts w:eastAsia="Times New Roman"/>
          <w:b w:val="false"/>
          <w:sz w:val="24"/>
          <w:szCs w:val="24"/>
          <w:lang w:val="ru-RU"/>
        </w:rPr>
      </w:pPr>
      <w:r>
        <w:rPr>
          <w:rFonts w:eastAsia="Times New Roman"/>
          <w:b w:val="false"/>
          <w:sz w:val="24"/>
          <w:szCs w:val="24"/>
          <w:lang w:val="ru-RU"/>
        </w:rPr>
      </w:r>
    </w:p>
    <w:p>
      <w:pPr>
        <w:pStyle w:val="Heading1"/>
        <w:keepLines/>
        <w:numPr>
          <w:ilvl w:val="0"/>
          <w:numId w:val="0"/>
        </w:numPr>
        <w:ind w:left="0" w:firstLine="851"/>
        <w:rPr>
          <w:rFonts w:eastAsia="Times New Roman"/>
          <w:b w:val="false"/>
          <w:sz w:val="24"/>
          <w:szCs w:val="24"/>
          <w:lang w:val="ru-RU"/>
        </w:rPr>
      </w:pPr>
      <w:bookmarkStart w:id="47" w:name="_Toc207878169"/>
      <w:r>
        <w:rPr>
          <w:rFonts w:eastAsia="Times New Roman"/>
          <w:b w:val="false"/>
          <w:sz w:val="24"/>
          <w:szCs w:val="24"/>
          <w:lang w:val="ru-RU"/>
        </w:rPr>
        <w:t>4.1 Сметная документация включается в состав договора с применением понижающего коэффициента, указанного в заявке Участника, с которым принято решение заключить договор. Понижающий коэффициент начисляется в локальных сметах единым индексом в итогах (после начисления лимитированных затрат в случае составления одной сметы).</w:t>
      </w:r>
      <w:bookmarkEnd w:id="47"/>
    </w:p>
    <w:p>
      <w:pPr>
        <w:pStyle w:val="Heading1"/>
        <w:keepLines/>
        <w:numPr>
          <w:ilvl w:val="0"/>
          <w:numId w:val="0"/>
        </w:numPr>
        <w:ind w:left="0" w:firstLine="851"/>
        <w:rPr>
          <w:rFonts w:eastAsia="Times New Roman"/>
          <w:b w:val="false"/>
          <w:sz w:val="24"/>
          <w:szCs w:val="24"/>
          <w:lang w:val="ru-RU"/>
        </w:rPr>
      </w:pPr>
      <w:bookmarkStart w:id="48" w:name="_Toc207878170"/>
      <w:r>
        <w:rPr>
          <w:rFonts w:eastAsia="Times New Roman"/>
          <w:b w:val="false"/>
          <w:sz w:val="24"/>
          <w:szCs w:val="24"/>
          <w:lang w:val="ru-RU"/>
        </w:rPr>
        <w:t>4.2 Внесение изменений в сметную документацию заказчика, кроме применения понижающего коэффициента в соответствии с п.4.2., не допускается.</w:t>
      </w:r>
      <w:bookmarkEnd w:id="48"/>
    </w:p>
    <w:p>
      <w:pPr>
        <w:sectPr>
          <w:headerReference w:type="default" r:id="rId7"/>
          <w:headerReference w:type="first" r:id="rId8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81" w:charSpace="0"/>
        </w:sectPr>
        <w:pStyle w:val="Heading1"/>
        <w:keepLines/>
        <w:numPr>
          <w:ilvl w:val="0"/>
          <w:numId w:val="0"/>
        </w:numPr>
        <w:ind w:left="0" w:firstLine="851"/>
        <w:rPr>
          <w:iCs/>
        </w:rPr>
      </w:pPr>
      <w:bookmarkStart w:id="49" w:name="_Toc207878171"/>
      <w:r>
        <w:rPr>
          <w:rFonts w:eastAsia="Times New Roman"/>
          <w:b w:val="false"/>
          <w:sz w:val="24"/>
          <w:szCs w:val="24"/>
          <w:lang w:val="ru-RU"/>
        </w:rPr>
        <w:t>4.3 В сметной документации предусмотрен резерв средств на непредвиденные работы и затраты в</w:t>
      </w:r>
      <w:bookmarkEnd w:id="49"/>
      <w:r>
        <w:rPr>
          <w:rFonts w:eastAsia="Times New Roman"/>
          <w:b w:val="false"/>
          <w:sz w:val="24"/>
          <w:szCs w:val="24"/>
          <w:lang w:val="ru-RU"/>
        </w:rPr>
        <w:t xml:space="preserve"> размере 3%.</w:t>
      </w:r>
      <w:r>
        <w:br w:type="page"/>
      </w:r>
    </w:p>
    <w:p>
      <w:pPr>
        <w:pStyle w:val="Normal"/>
        <w:jc w:val="center"/>
        <w:rPr>
          <w:b/>
        </w:rPr>
      </w:pPr>
      <w:bookmarkStart w:id="50" w:name="_Toc209683185"/>
      <w:bookmarkStart w:id="51" w:name="_Hlk48224758"/>
      <w:bookmarkStart w:id="52" w:name="_Ref40301253"/>
      <w:bookmarkStart w:id="53" w:name="_Toc46743519_Копия_1_Копия_1"/>
      <w:bookmarkStart w:id="54" w:name="_Toc51339699_Копия_1_Копия_1"/>
      <w:bookmarkEnd w:id="51"/>
      <w:bookmarkEnd w:id="52"/>
      <w:bookmarkEnd w:id="53"/>
      <w:bookmarkEnd w:id="54"/>
      <w:r>
        <w:rPr>
          <w:b/>
        </w:rPr>
        <w:t>Приложения</w:t>
      </w:r>
      <w:bookmarkEnd w:id="50"/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Приложение №1 </w:t>
      </w:r>
      <w:r>
        <w:rPr>
          <w:rFonts w:cs="Calibri"/>
          <w:sz w:val="24"/>
          <w:szCs w:val="24"/>
        </w:rPr>
        <w:t>«Схема размещения контрольно-измерительной аппаратуры и отбора проб для исследовательских работ»;</w:t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rFonts w:cs="Calibri"/>
          <w:b/>
          <w:sz w:val="24"/>
          <w:szCs w:val="24"/>
        </w:rPr>
        <w:t>Приложение №2 «</w:t>
      </w:r>
      <w:r>
        <w:rPr>
          <w:sz w:val="24"/>
          <w:szCs w:val="24"/>
        </w:rPr>
        <w:t xml:space="preserve">Требования к оформлению и составлению документации по ценообразованию» (Далее в ТТ стр.16); </w:t>
      </w:r>
    </w:p>
    <w:p>
      <w:pPr>
        <w:pStyle w:val="Normal"/>
        <w:tabs>
          <w:tab w:val="clear" w:pos="708"/>
          <w:tab w:val="left" w:pos="851" w:leader="none"/>
        </w:tabs>
        <w:spacing w:lineRule="auto" w:line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>Приложение</w:t>
      </w:r>
      <w:r>
        <w:rPr>
          <w:b/>
          <w:sz w:val="24"/>
          <w:szCs w:val="24"/>
          <w:lang w:eastAsia="en-US"/>
        </w:rPr>
        <w:t xml:space="preserve"> №3</w:t>
      </w:r>
      <w:r>
        <w:rPr>
          <w:sz w:val="24"/>
          <w:szCs w:val="24"/>
        </w:rPr>
        <w:t xml:space="preserve"> «</w:t>
      </w:r>
      <w:r>
        <w:rPr>
          <w:bCs/>
          <w:sz w:val="24"/>
          <w:szCs w:val="24"/>
        </w:rPr>
        <w:t>Методика допуска персонала подрядных организаций к выполнению работ на объектах Общества»;</w:t>
      </w:r>
    </w:p>
    <w:p>
      <w:pPr>
        <w:pStyle w:val="Normal"/>
        <w:spacing w:lineRule="auto" w:line="360"/>
        <w:jc w:val="both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Приложение №4</w:t>
      </w:r>
      <w:r>
        <w:rPr>
          <w:sz w:val="24"/>
          <w:szCs w:val="24"/>
          <w:lang w:eastAsia="en-US"/>
        </w:rPr>
        <w:t xml:space="preserve"> «Требования к организации безопасного выполнения работ на объектах Филиала»;</w:t>
      </w:r>
    </w:p>
    <w:p>
      <w:pPr>
        <w:pStyle w:val="Normal"/>
        <w:tabs>
          <w:tab w:val="clear" w:pos="708"/>
          <w:tab w:val="left" w:pos="851" w:leader="none"/>
        </w:tabs>
        <w:spacing w:lineRule="auto" w:line="360"/>
        <w:jc w:val="both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Приложение</w:t>
      </w:r>
      <w:r>
        <w:rPr>
          <w:rFonts w:cs="Calibri"/>
          <w:b/>
          <w:sz w:val="24"/>
          <w:szCs w:val="24"/>
          <w:lang w:eastAsia="en-US"/>
        </w:rPr>
        <w:t xml:space="preserve"> №5</w:t>
      </w:r>
      <w:r>
        <w:rPr>
          <w:b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«Перечень основных мероприятий по обеспечению безопасного выполнения работ на объектах филиала»;</w:t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>Приложение №6</w:t>
      </w:r>
      <w:r>
        <w:rPr>
          <w:sz w:val="24"/>
          <w:szCs w:val="24"/>
        </w:rPr>
        <w:t xml:space="preserve"> «Кардинальные правила безопасности труда»</w:t>
      </w:r>
      <w:r>
        <w:rPr>
          <w:b/>
          <w:sz w:val="24"/>
          <w:szCs w:val="24"/>
        </w:rPr>
        <w:t>.</w:t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Приложение №7 </w:t>
      </w:r>
      <w:r>
        <w:rPr>
          <w:sz w:val="24"/>
          <w:szCs w:val="24"/>
        </w:rPr>
        <w:t>«Специальные и квалификационные требования к участнику»</w:t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838"/>
        <w:gridCol w:w="4839"/>
      </w:tblGrid>
      <w:tr>
        <w:trPr/>
        <w:tc>
          <w:tcPr>
            <w:tcW w:w="4838" w:type="dxa"/>
            <w:tcBorders/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Заказчик:</w:t>
            </w:r>
          </w:p>
          <w:p>
            <w:pPr>
              <w:pStyle w:val="NoSpacing"/>
              <w:widowControl w:val="false"/>
              <w:rPr>
                <w:rFonts w:eastAsia="Times New Roman"/>
              </w:rPr>
            </w:pPr>
            <w:r>
              <w:rPr/>
            </w:r>
          </w:p>
        </w:tc>
        <w:tc>
          <w:tcPr>
            <w:tcW w:w="4839" w:type="dxa"/>
            <w:tcBorders/>
          </w:tcPr>
          <w:p>
            <w:pPr>
              <w:pStyle w:val="Normal"/>
              <w:widowControl w:val="false"/>
              <w:snapToGrid w:val="false"/>
              <w:ind w:left="750" w:hanging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Исполнитель:</w:t>
            </w:r>
          </w:p>
          <w:p>
            <w:pPr>
              <w:pStyle w:val="NoSpacing"/>
              <w:widowControl w:val="false"/>
              <w:ind w:left="750" w:hanging="0"/>
              <w:rPr>
                <w:rFonts w:eastAsia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Heading4"/>
        <w:numPr>
          <w:ilvl w:val="0"/>
        </w:numPr>
        <w:tabs>
          <w:tab w:val="clear" w:pos="0"/>
        </w:tabs>
        <w:ind w:left="142" w:hanging="0"/>
        <w:rPr>
          <w:lang w:val="ru-RU"/>
        </w:rPr>
      </w:pPr>
      <w:r>
        <w:rPr>
          <w:lang w:val="ru-RU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№2 – 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Требования к оформлению и 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составлению документации 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>по ценоборазованию</w:t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keepLines/>
        <w:numPr>
          <w:ilvl w:val="0"/>
          <w:numId w:val="0"/>
        </w:numPr>
        <w:ind w:left="357" w:hanging="0"/>
        <w:jc w:val="center"/>
        <w:rPr>
          <w:b w:val="false"/>
        </w:rPr>
      </w:pPr>
      <w:bookmarkStart w:id="55" w:name="_Toc54451385"/>
      <w:bookmarkStart w:id="56" w:name="_Toc209683186"/>
      <w:r>
        <w:rPr/>
        <w:t>Требования к оформлению и составлению документации по ценообразованию</w:t>
      </w:r>
      <w:bookmarkEnd w:id="55"/>
      <w:bookmarkEnd w:id="56"/>
    </w:p>
    <w:p>
      <w:pPr>
        <w:pStyle w:val="Normal"/>
        <w:numPr>
          <w:ilvl w:val="0"/>
          <w:numId w:val="13"/>
        </w:numPr>
        <w:tabs>
          <w:tab w:val="clear" w:pos="708"/>
          <w:tab w:val="left" w:pos="284" w:leader="none"/>
          <w:tab w:val="left" w:pos="928" w:leader="none"/>
          <w:tab w:val="left" w:pos="993" w:leader="none"/>
        </w:tabs>
        <w:spacing w:lineRule="auto" w:line="276" w:before="0" w:after="200"/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Настоящие требования разработаны для единого подхода к определению стоимости научно-исследовательских, экспериментальных и опытно-конструкторских работ (далее по тексту–НИР/НИОКР).</w:t>
      </w:r>
    </w:p>
    <w:p>
      <w:pPr>
        <w:pStyle w:val="Normal"/>
        <w:numPr>
          <w:ilvl w:val="0"/>
          <w:numId w:val="13"/>
        </w:numPr>
        <w:tabs>
          <w:tab w:val="clear" w:pos="708"/>
          <w:tab w:val="left" w:pos="284" w:leader="none"/>
          <w:tab w:val="left" w:pos="928" w:leader="none"/>
          <w:tab w:val="left" w:pos="993" w:leader="none"/>
        </w:tabs>
        <w:spacing w:lineRule="auto" w:line="276" w:before="0" w:after="200"/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Сметы или расчеты на НИР составлять на основании технических требований (технического задания) заказчика, графиков производства работ.</w:t>
      </w:r>
    </w:p>
    <w:p>
      <w:pPr>
        <w:pStyle w:val="Normal"/>
        <w:numPr>
          <w:ilvl w:val="0"/>
          <w:numId w:val="13"/>
        </w:numPr>
        <w:tabs>
          <w:tab w:val="clear" w:pos="708"/>
          <w:tab w:val="left" w:pos="284" w:leader="none"/>
          <w:tab w:val="left" w:pos="928" w:leader="none"/>
          <w:tab w:val="left" w:pos="993" w:leader="none"/>
        </w:tabs>
        <w:spacing w:lineRule="auto" w:line="276" w:before="0" w:after="200"/>
        <w:ind w:left="0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Стоимость НИР (обследований, обмерных работ и т.д.), определяется на основе Справочников базовых цен и других нормативных сборников, внесенных в Федеральный реестр сметных нормативов, подлежащих применению при определении сметной стоимости объектов капитального строительства, строительство которых финансируется с привлечением средств федерального бюджета (далее – ФРСН).</w:t>
      </w:r>
    </w:p>
    <w:p>
      <w:pPr>
        <w:pStyle w:val="Normal"/>
        <w:numPr>
          <w:ilvl w:val="0"/>
          <w:numId w:val="13"/>
        </w:numPr>
        <w:tabs>
          <w:tab w:val="clear" w:pos="708"/>
          <w:tab w:val="left" w:pos="284" w:leader="none"/>
          <w:tab w:val="left" w:pos="928" w:leader="none"/>
          <w:tab w:val="left" w:pos="993" w:leader="none"/>
        </w:tabs>
        <w:spacing w:lineRule="auto" w:line="276" w:before="0" w:after="200"/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использовании в сметах коэффициентов (доплат, процентов и т.д.) в графе «Номер частей, глав, таблиц, процентов…» указывать обоснование из методических указаний, общих положений сборников или других нормативных документов и приложений к ним.</w:t>
      </w:r>
    </w:p>
    <w:p>
      <w:pPr>
        <w:pStyle w:val="Normal"/>
        <w:numPr>
          <w:ilvl w:val="0"/>
          <w:numId w:val="13"/>
        </w:numPr>
        <w:tabs>
          <w:tab w:val="clear" w:pos="708"/>
          <w:tab w:val="left" w:pos="284" w:leader="none"/>
          <w:tab w:val="left" w:pos="928" w:leader="none"/>
          <w:tab w:val="left" w:pos="993" w:leader="none"/>
        </w:tabs>
        <w:spacing w:lineRule="auto" w:line="276" w:before="0" w:after="200"/>
        <w:ind w:left="0" w:firstLine="567"/>
        <w:jc w:val="both"/>
        <w:rPr>
          <w:rFonts w:cs="Arial"/>
          <w:color w:val="000000"/>
          <w:sz w:val="22"/>
          <w:szCs w:val="20"/>
        </w:rPr>
      </w:pPr>
      <w:r>
        <w:rPr>
          <w:sz w:val="22"/>
          <w:szCs w:val="22"/>
        </w:rPr>
        <w:t xml:space="preserve">Пересчет сметной стоимости НИР по состоянию на 01.01.2001г, 01.01.1995г. (1991г.) следует производить согласно индексам на указанные работы, рекомендованным к применению </w:t>
      </w:r>
      <w:r>
        <w:rPr>
          <w:rFonts w:cs="Arial"/>
          <w:color w:val="000000"/>
          <w:sz w:val="22"/>
          <w:szCs w:val="20"/>
        </w:rPr>
        <w:t>письмом соответствующего органа исполнительной власти, уполномоченного в области сметного нормирования и ценообразования в сфере градостроительной деятельности.</w:t>
      </w:r>
    </w:p>
    <w:p>
      <w:pPr>
        <w:pStyle w:val="Normal"/>
        <w:numPr>
          <w:ilvl w:val="0"/>
          <w:numId w:val="13"/>
        </w:numPr>
        <w:tabs>
          <w:tab w:val="clear" w:pos="708"/>
          <w:tab w:val="left" w:pos="568" w:leader="none"/>
        </w:tabs>
        <w:spacing w:lineRule="auto" w:line="276" w:before="0" w:after="200"/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определении стоимости НИР, затраты организации, расположенной в районах, в которых, в соответствии с действующим законодательством производятся выплаты, обусловленные районным регулированием оплаты труда, в т.ч. выплаты по районным коэффициентам, а также надбавки за непрерывный стаж и других льгот, предусмотренных законодательством в районах Крайнего Севера и приравненных к ним местностям, на основании: «Рекомендаций по определению коэффициента к базовым ценам на проектные работы, учитывающего дополнительные затраты организаций на льготные выплаты по заработной плате», одобренных и рекомендованных к применению письмом Госстроя России от 30.06.98 № 9-10-17/40, дополнительно учитываются путем введения к итогу базовой цены повышающих коэффициентов. Указывать размер примененных коэффициентов, доплат и т.д. с обоснованиями из технической части, вводных указаний сборников или других нормативных документов.</w:t>
      </w:r>
    </w:p>
    <w:p>
      <w:pPr>
        <w:pStyle w:val="Normal"/>
        <w:numPr>
          <w:ilvl w:val="0"/>
          <w:numId w:val="13"/>
        </w:numPr>
        <w:tabs>
          <w:tab w:val="clear" w:pos="708"/>
          <w:tab w:val="left" w:pos="284" w:leader="none"/>
          <w:tab w:val="left" w:pos="928" w:leader="none"/>
          <w:tab w:val="left" w:pos="993" w:leader="none"/>
        </w:tabs>
        <w:spacing w:lineRule="auto" w:line="276" w:before="0" w:after="200"/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Стоимость НИР, цены на которые отсутствуют в СБЦ, СЦ и других нормативных сборниках, внесенных в ФРСН, определять сметным расчетом по себестоимости и уровню рентабельности (форма №3п) по согласованию с Заказчиком.</w:t>
      </w:r>
    </w:p>
    <w:p>
      <w:pPr>
        <w:pStyle w:val="Normal"/>
        <w:numPr>
          <w:ilvl w:val="0"/>
          <w:numId w:val="13"/>
        </w:numPr>
        <w:tabs>
          <w:tab w:val="clear" w:pos="708"/>
          <w:tab w:val="left" w:pos="568" w:leader="none"/>
        </w:tabs>
        <w:spacing w:lineRule="auto" w:line="276" w:before="0" w:after="200"/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Средства на выполнение НИР определяются отдельными расчетами в соответствии с видом выполняемых работ и включаются (по необходимости) в сводную смету (Приложение №3).</w:t>
      </w:r>
    </w:p>
    <w:p>
      <w:pPr>
        <w:pStyle w:val="Normal"/>
        <w:numPr>
          <w:ilvl w:val="0"/>
          <w:numId w:val="13"/>
        </w:numPr>
        <w:tabs>
          <w:tab w:val="clear" w:pos="708"/>
          <w:tab w:val="left" w:pos="568" w:leader="none"/>
          <w:tab w:val="left" w:pos="928" w:leader="none"/>
        </w:tabs>
        <w:spacing w:lineRule="auto" w:line="276" w:before="0" w:after="200"/>
        <w:ind w:left="0" w:firstLine="568"/>
        <w:jc w:val="both"/>
        <w:rPr>
          <w:rFonts w:cs="Arial"/>
          <w:color w:val="000000"/>
          <w:sz w:val="22"/>
          <w:szCs w:val="20"/>
        </w:rPr>
      </w:pPr>
      <w:r>
        <w:rPr>
          <w:rFonts w:cs="Arial"/>
          <w:color w:val="000000"/>
          <w:sz w:val="22"/>
          <w:szCs w:val="20"/>
        </w:rPr>
        <w:t xml:space="preserve">В случае заключений дополнительных соглашений к договору (далее - д/с), сводную смету необходимо выполнять в накопительной форме с учетом </w:t>
      </w:r>
      <w:r>
        <w:rPr>
          <w:color w:val="000000"/>
          <w:sz w:val="22"/>
          <w:szCs w:val="22"/>
        </w:rPr>
        <w:t>ЛСР (</w:t>
      </w:r>
      <w:r>
        <w:rPr>
          <w:rFonts w:cs="Arial"/>
          <w:color w:val="000000"/>
          <w:sz w:val="22"/>
          <w:szCs w:val="20"/>
        </w:rPr>
        <w:t xml:space="preserve">ЛС) к основному договору и ко всем заключенным д/с к нему. В итогах сводной сметы в накопительной форме(справочно) указывать суммы изменения (уменьшения, увеличения) основного договора на основании заключения д/с, которые определяются как разница между суммой сводной сметы в накопительной форме очередного д/с и стоимостью основного договора. Форма сводной сметы в накопительной </w:t>
      </w:r>
      <w:r>
        <w:rPr>
          <w:sz w:val="22"/>
          <w:szCs w:val="22"/>
        </w:rPr>
        <w:t>(образец приложение № 3.1)</w:t>
      </w:r>
      <w:r>
        <w:rPr>
          <w:rFonts w:cs="Arial"/>
          <w:color w:val="000000"/>
          <w:sz w:val="22"/>
          <w:szCs w:val="20"/>
        </w:rPr>
        <w:t xml:space="preserve"> ЛСР (ЛС) разрабатываются отдельно на исключаемые и дополнительные объемы работ. 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rFonts w:cs="Arial"/>
          <w:color w:val="000000"/>
          <w:sz w:val="22"/>
          <w:szCs w:val="20"/>
        </w:rPr>
        <w:t>ЛС являются приложениями к сводной смете в накопительной форме. Нумерация приложений указывается по мере включения ЛС в Сводную смету в накопительной форме - по порядку.</w:t>
      </w:r>
    </w:p>
    <w:p>
      <w:pPr>
        <w:pStyle w:val="Normal"/>
        <w:numPr>
          <w:ilvl w:val="0"/>
          <w:numId w:val="13"/>
        </w:numPr>
        <w:tabs>
          <w:tab w:val="clear" w:pos="708"/>
          <w:tab w:val="left" w:pos="928" w:leader="none"/>
          <w:tab w:val="left" w:pos="993" w:leader="none"/>
        </w:tabs>
        <w:spacing w:lineRule="auto" w:line="276" w:before="0" w:after="200"/>
        <w:ind w:left="928" w:hanging="360"/>
        <w:jc w:val="both"/>
        <w:rPr>
          <w:sz w:val="22"/>
          <w:szCs w:val="22"/>
        </w:rPr>
      </w:pPr>
      <w:r>
        <w:rPr>
          <w:sz w:val="22"/>
          <w:szCs w:val="22"/>
        </w:rPr>
        <w:t>Результаты вычислений (построчные) и итоговые данные округляются</w:t>
      </w:r>
      <w:r>
        <w:rPr>
          <w:rFonts w:cs="Arial"/>
          <w:sz w:val="22"/>
          <w:szCs w:val="20"/>
        </w:rPr>
        <w:t xml:space="preserve"> до целых рублей</w:t>
      </w:r>
      <w:r>
        <w:rPr>
          <w:sz w:val="22"/>
          <w:szCs w:val="22"/>
        </w:rPr>
        <w:t xml:space="preserve"> </w:t>
      </w:r>
    </w:p>
    <w:p>
      <w:pPr>
        <w:pStyle w:val="Normal"/>
        <w:numPr>
          <w:ilvl w:val="0"/>
          <w:numId w:val="15"/>
        </w:numPr>
        <w:tabs>
          <w:tab w:val="clear" w:pos="708"/>
          <w:tab w:val="left" w:pos="993" w:leader="none"/>
        </w:tabs>
        <w:spacing w:lineRule="auto" w:line="276" w:before="0" w:after="200"/>
        <w:ind w:left="567" w:firstLine="284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графа 5 «Стоимость» (образец 2П приложения 2);</w:t>
      </w:r>
      <w:r>
        <w:rPr>
          <w:rFonts w:ascii="Calibri" w:hAnsi="Calibri"/>
          <w:sz w:val="22"/>
          <w:szCs w:val="22"/>
        </w:rPr>
        <w:t xml:space="preserve"> </w:t>
      </w:r>
    </w:p>
    <w:p>
      <w:pPr>
        <w:pStyle w:val="Normal"/>
        <w:numPr>
          <w:ilvl w:val="0"/>
          <w:numId w:val="15"/>
        </w:numPr>
        <w:tabs>
          <w:tab w:val="clear" w:pos="708"/>
          <w:tab w:val="left" w:pos="993" w:leader="none"/>
        </w:tabs>
        <w:spacing w:lineRule="auto" w:line="276" w:before="0" w:after="200"/>
        <w:ind w:left="567" w:firstLine="284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графа 7 «Оплата труда (всего)» (образец 3П приложения 2).</w:t>
      </w:r>
    </w:p>
    <w:p>
      <w:pPr>
        <w:pStyle w:val="Normal"/>
        <w:widowControl w:val="false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Результаты вычислений (построчные) и итоговые данные в локальных сметных расчетах, (сметах), приводятся в рублях,</w:t>
      </w:r>
    </w:p>
    <w:p>
      <w:pPr>
        <w:pStyle w:val="Normal"/>
        <w:widowControl w:val="false"/>
        <w:tabs>
          <w:tab w:val="clear" w:pos="708"/>
          <w:tab w:val="left" w:pos="567" w:leader="none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-при базисно-индексном методе, с округлением до целых рублей;</w:t>
      </w:r>
    </w:p>
    <w:p>
      <w:pPr>
        <w:pStyle w:val="Normal"/>
        <w:widowControl w:val="false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-при ресурсно-индексном и ресурсным методах, а также сметных расчетах на отдельные виды затрат - с округлением до целых единиц;</w:t>
      </w:r>
    </w:p>
    <w:p>
      <w:pPr>
        <w:pStyle w:val="Normal"/>
        <w:tabs>
          <w:tab w:val="clear" w:pos="708"/>
          <w:tab w:val="left" w:pos="993" w:leader="none"/>
        </w:tabs>
        <w:spacing w:before="0" w:after="0"/>
        <w:ind w:left="567" w:hanging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в сводной смете - в рублях с округлением до двух знаков после запятой.</w:t>
      </w:r>
    </w:p>
    <w:p>
      <w:pPr>
        <w:pStyle w:val="Normal"/>
        <w:numPr>
          <w:ilvl w:val="0"/>
          <w:numId w:val="13"/>
        </w:numPr>
        <w:tabs>
          <w:tab w:val="clear" w:pos="708"/>
          <w:tab w:val="left" w:pos="928" w:leader="none"/>
          <w:tab w:val="left" w:pos="993" w:leader="none"/>
        </w:tabs>
        <w:spacing w:lineRule="auto" w:line="276" w:before="0" w:after="200"/>
        <w:ind w:left="928" w:hanging="360"/>
        <w:jc w:val="both"/>
        <w:rPr>
          <w:sz w:val="22"/>
          <w:szCs w:val="22"/>
        </w:rPr>
      </w:pPr>
      <w:r>
        <w:rPr>
          <w:sz w:val="22"/>
          <w:szCs w:val="22"/>
        </w:rPr>
        <w:t>Сметы предоставляются в 2-х вариантах: бумажном и электронном (в формате «</w:t>
      </w:r>
      <w:r>
        <w:rPr>
          <w:sz w:val="22"/>
          <w:szCs w:val="22"/>
          <w:lang w:val="en-US"/>
        </w:rPr>
        <w:t>Excel</w:t>
      </w:r>
      <w:r>
        <w:rPr>
          <w:sz w:val="22"/>
          <w:szCs w:val="22"/>
        </w:rPr>
        <w:t>»).</w:t>
      </w:r>
    </w:p>
    <w:p>
      <w:pPr>
        <w:pStyle w:val="Normal"/>
        <w:numPr>
          <w:ilvl w:val="0"/>
          <w:numId w:val="13"/>
        </w:numPr>
        <w:tabs>
          <w:tab w:val="clear" w:pos="708"/>
          <w:tab w:val="left" w:pos="928" w:leader="none"/>
          <w:tab w:val="left" w:pos="993" w:leader="none"/>
        </w:tabs>
        <w:spacing w:lineRule="auto" w:line="276" w:before="0" w:after="200"/>
        <w:ind w:left="928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необходимости учета командировочных расходов в сметной документации составляется расчет. Размер суточных командировочных расходов определить в соответствии с действующим законодательством РФ и с учетом норм, определяемых внутренним документом организации. </w:t>
      </w:r>
    </w:p>
    <w:p>
      <w:pPr>
        <w:pStyle w:val="Normal"/>
        <w:numPr>
          <w:ilvl w:val="0"/>
          <w:numId w:val="13"/>
        </w:numPr>
        <w:tabs>
          <w:tab w:val="clear" w:pos="708"/>
          <w:tab w:val="left" w:pos="928" w:leader="none"/>
          <w:tab w:val="left" w:pos="993" w:leader="none"/>
        </w:tabs>
        <w:spacing w:lineRule="auto" w:line="276" w:before="0" w:after="200"/>
        <w:ind w:left="928" w:hanging="360"/>
        <w:jc w:val="both"/>
        <w:rPr>
          <w:sz w:val="22"/>
          <w:szCs w:val="22"/>
        </w:rPr>
      </w:pPr>
      <w:r>
        <w:rPr>
          <w:sz w:val="22"/>
          <w:szCs w:val="22"/>
        </w:rPr>
        <w:t>Лимиты командировочных расходов при производстве НИР по статьям затрат следующие:</w:t>
      </w:r>
    </w:p>
    <w:p>
      <w:pPr>
        <w:pStyle w:val="Normal"/>
        <w:numPr>
          <w:ilvl w:val="0"/>
          <w:numId w:val="15"/>
        </w:numPr>
        <w:tabs>
          <w:tab w:val="clear" w:pos="708"/>
          <w:tab w:val="left" w:pos="993" w:leader="none"/>
        </w:tabs>
        <w:spacing w:lineRule="auto" w:line="276" w:before="0" w:after="200"/>
        <w:ind w:left="567" w:firstLine="284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суточные - 700 руб./сутки;</w:t>
      </w:r>
    </w:p>
    <w:p>
      <w:pPr>
        <w:pStyle w:val="Normal"/>
        <w:numPr>
          <w:ilvl w:val="0"/>
          <w:numId w:val="15"/>
        </w:numPr>
        <w:tabs>
          <w:tab w:val="clear" w:pos="708"/>
          <w:tab w:val="left" w:pos="993" w:leader="none"/>
        </w:tabs>
        <w:spacing w:lineRule="auto" w:line="276" w:before="0" w:after="200"/>
        <w:ind w:left="567" w:firstLine="284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проживание – 5000 руб./сутки;</w:t>
      </w:r>
    </w:p>
    <w:p>
      <w:pPr>
        <w:pStyle w:val="Normal"/>
        <w:numPr>
          <w:ilvl w:val="0"/>
          <w:numId w:val="15"/>
        </w:numPr>
        <w:tabs>
          <w:tab w:val="clear" w:pos="708"/>
          <w:tab w:val="left" w:pos="993" w:leader="none"/>
        </w:tabs>
        <w:spacing w:lineRule="auto" w:line="276" w:before="0" w:after="200"/>
        <w:ind w:left="993" w:hanging="142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проезд: поезд (купе) или самолет </w:t>
      </w:r>
      <w:r>
        <w:rPr>
          <w:color w:val="000000"/>
          <w:sz w:val="22"/>
          <w:szCs w:val="22"/>
        </w:rPr>
        <w:t>(класс–эконом с багажом до 20 (двадцати) кг, ручная кладь до 10 (десяти) кг)</w:t>
      </w:r>
      <w:r>
        <w:rPr>
          <w:sz w:val="22"/>
          <w:szCs w:val="22"/>
        </w:rPr>
        <w:t>.</w:t>
      </w:r>
    </w:p>
    <w:p>
      <w:pPr>
        <w:pStyle w:val="Normal"/>
        <w:tabs>
          <w:tab w:val="clear" w:pos="708"/>
          <w:tab w:val="left" w:pos="284" w:leader="none"/>
          <w:tab w:val="left" w:pos="993" w:leader="none"/>
        </w:tabs>
        <w:ind w:firstLine="567"/>
        <w:jc w:val="both"/>
        <w:rPr>
          <w:b/>
          <w:i/>
          <w:i/>
          <w:sz w:val="22"/>
          <w:szCs w:val="22"/>
        </w:rPr>
      </w:pPr>
      <w:r>
        <w:rPr>
          <w:b/>
          <w:i/>
          <w:sz w:val="22"/>
          <w:szCs w:val="22"/>
        </w:rPr>
        <w:t>Данные лимиты могут быть пересмотрены на этапе согласования технических требований.</w:t>
      </w:r>
    </w:p>
    <w:p>
      <w:pPr>
        <w:pStyle w:val="Normal"/>
        <w:numPr>
          <w:ilvl w:val="0"/>
          <w:numId w:val="13"/>
        </w:numPr>
        <w:tabs>
          <w:tab w:val="clear" w:pos="708"/>
          <w:tab w:val="left" w:pos="928" w:leader="none"/>
          <w:tab w:val="left" w:pos="993" w:leader="none"/>
        </w:tabs>
        <w:spacing w:lineRule="auto" w:line="276" w:before="0" w:after="200"/>
        <w:ind w:left="928" w:hanging="360"/>
        <w:jc w:val="both"/>
        <w:rPr>
          <w:sz w:val="22"/>
          <w:szCs w:val="22"/>
        </w:rPr>
      </w:pPr>
      <w:r>
        <w:rPr>
          <w:sz w:val="22"/>
          <w:szCs w:val="22"/>
        </w:rPr>
        <w:t>В случае учета строительно-монтажных работ в рамках исполнения работ при производстве НИР необходимо руководствоваться соответствующими требованиями к оформлению и составлению сметной документации при ремонте, реконструкции и техническом перевооружении.</w:t>
      </w:r>
    </w:p>
    <w:p>
      <w:pPr>
        <w:pStyle w:val="Normal"/>
        <w:numPr>
          <w:ilvl w:val="0"/>
          <w:numId w:val="13"/>
        </w:numPr>
        <w:tabs>
          <w:tab w:val="clear" w:pos="708"/>
          <w:tab w:val="left" w:pos="928" w:leader="none"/>
          <w:tab w:val="left" w:pos="993" w:leader="none"/>
        </w:tabs>
        <w:spacing w:lineRule="auto" w:line="276" w:before="0" w:after="200"/>
        <w:ind w:left="928" w:hanging="360"/>
        <w:jc w:val="both"/>
        <w:rPr>
          <w:sz w:val="22"/>
          <w:szCs w:val="22"/>
        </w:rPr>
      </w:pPr>
      <w:r>
        <w:rPr>
          <w:sz w:val="22"/>
          <w:szCs w:val="22"/>
        </w:rPr>
        <w:t>В случае применения понижающего коэффициента к итогу смет или расчетов, корректирующего их стоимость в меньшую сторону, величину данного коэффициента необходимо учитывать с округлением до 3 знаков после запятой.</w:t>
      </w:r>
    </w:p>
    <w:p>
      <w:pPr>
        <w:pStyle w:val="Normal"/>
        <w:numPr>
          <w:ilvl w:val="0"/>
          <w:numId w:val="13"/>
        </w:numPr>
        <w:tabs>
          <w:tab w:val="clear" w:pos="708"/>
          <w:tab w:val="left" w:pos="928" w:leader="none"/>
          <w:tab w:val="left" w:pos="993" w:leader="none"/>
        </w:tabs>
        <w:spacing w:lineRule="auto" w:line="276" w:before="0" w:after="200"/>
        <w:ind w:left="928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Стоимость субподрядных работ (в случае наличия таковых) следует отразить отдельной строкой в Сводной смете (образец приложение № 3) с представлением соответствующих расчетов. </w:t>
      </w:r>
    </w:p>
    <w:p>
      <w:pPr>
        <w:pStyle w:val="Normal"/>
        <w:numPr>
          <w:ilvl w:val="0"/>
          <w:numId w:val="13"/>
        </w:numPr>
        <w:tabs>
          <w:tab w:val="clear" w:pos="708"/>
          <w:tab w:val="left" w:pos="928" w:leader="none"/>
          <w:tab w:val="left" w:pos="993" w:leader="none"/>
        </w:tabs>
        <w:spacing w:lineRule="auto" w:line="276" w:before="0" w:after="200"/>
        <w:ind w:left="928" w:hanging="360"/>
        <w:jc w:val="both"/>
        <w:rPr>
          <w:sz w:val="22"/>
          <w:szCs w:val="22"/>
        </w:rPr>
      </w:pPr>
      <w:r>
        <w:rPr>
          <w:sz w:val="22"/>
          <w:szCs w:val="22"/>
        </w:rPr>
        <w:t>Стоимость материальных ресурсов и комплектующих, необходимых для создания опытных образцов, следует отразить отдельными строками в Сводной смете (образец приложение № 3).</w:t>
      </w:r>
    </w:p>
    <w:p>
      <w:pPr>
        <w:sectPr>
          <w:headerReference w:type="default" r:id="rId9"/>
          <w:headerReference w:type="first" r:id="rId10"/>
          <w:type w:val="nextPage"/>
          <w:pgSz w:w="11906" w:h="16838"/>
          <w:pgMar w:left="1304" w:right="924" w:gutter="0" w:header="709" w:top="851" w:footer="0" w:bottom="720"/>
          <w:pgNumType w:fmt="decimal"/>
          <w:formProt w:val="false"/>
          <w:textDirection w:val="lrTb"/>
          <w:docGrid w:type="default" w:linePitch="381" w:charSpace="0"/>
        </w:sectPr>
        <w:pStyle w:val="Normal"/>
        <w:numPr>
          <w:ilvl w:val="0"/>
          <w:numId w:val="13"/>
        </w:numPr>
        <w:tabs>
          <w:tab w:val="clear" w:pos="708"/>
          <w:tab w:val="left" w:pos="928" w:leader="none"/>
          <w:tab w:val="left" w:pos="993" w:leader="none"/>
        </w:tabs>
        <w:spacing w:lineRule="auto" w:line="276" w:before="0" w:after="200"/>
        <w:ind w:left="928" w:hanging="360"/>
        <w:jc w:val="both"/>
        <w:rPr>
          <w:sz w:val="20"/>
          <w:szCs w:val="20"/>
        </w:rPr>
      </w:pPr>
      <w:r>
        <w:rPr>
          <w:sz w:val="22"/>
          <w:szCs w:val="22"/>
        </w:rPr>
        <w:t>Стоимость строительно-монтажных работ, выполняемым в целях создания опытных образов и макетов, следует отразить отдельными строками в Сводной смете (образец приложение № 3) с представлением соответствующих расчетов (в случае наличия таковых).</w:t>
      </w:r>
    </w:p>
    <w:p>
      <w:pPr>
        <w:pStyle w:val="Normal"/>
        <w:tabs>
          <w:tab w:val="clear" w:pos="708"/>
          <w:tab w:val="left" w:pos="1080" w:leader="none"/>
        </w:tabs>
        <w:ind w:left="54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left="5670" w:hanging="0"/>
        <w:jc w:val="center"/>
        <w:rPr>
          <w:sz w:val="20"/>
          <w:szCs w:val="22"/>
        </w:rPr>
      </w:pPr>
      <w:r>
        <w:rPr>
          <w:b/>
          <w:sz w:val="20"/>
          <w:szCs w:val="22"/>
        </w:rPr>
        <w:t xml:space="preserve">                                               </w:t>
      </w:r>
      <w:r>
        <w:rPr>
          <w:sz w:val="20"/>
          <w:szCs w:val="22"/>
        </w:rPr>
        <w:t xml:space="preserve">   </w:t>
      </w:r>
      <w:r>
        <w:rPr>
          <w:sz w:val="20"/>
          <w:szCs w:val="22"/>
        </w:rPr>
        <w:t>Приложение №1</w:t>
      </w:r>
    </w:p>
    <w:p>
      <w:pPr>
        <w:pStyle w:val="Normal"/>
        <w:ind w:left="5670" w:hanging="0"/>
        <w:rPr>
          <w:sz w:val="20"/>
          <w:szCs w:val="22"/>
        </w:rPr>
      </w:pPr>
      <w:r>
        <w:rPr>
          <w:sz w:val="20"/>
          <w:szCs w:val="22"/>
        </w:rPr>
        <w:t>к Требованиям к оформлению и составлению документации по ценообразованию</w:t>
      </w:r>
    </w:p>
    <w:p>
      <w:pPr>
        <w:pStyle w:val="Normal"/>
        <w:ind w:left="5670" w:hanging="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ПОЯСНИТЕЛЬНАЯ ЗАПИСКА </w:t>
      </w:r>
    </w:p>
    <w:p>
      <w:pPr>
        <w:pStyle w:val="Normal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по заполнению формы №3п</w:t>
      </w:r>
    </w:p>
    <w:p>
      <w:pPr>
        <w:pStyle w:val="Normal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при составлении смет на НИР/НИОКР.</w:t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numPr>
          <w:ilvl w:val="0"/>
          <w:numId w:val="14"/>
        </w:numPr>
        <w:tabs>
          <w:tab w:val="clear" w:pos="708"/>
          <w:tab w:val="left" w:pos="567" w:leader="none"/>
          <w:tab w:val="left" w:pos="993" w:leader="none"/>
        </w:tabs>
        <w:spacing w:lineRule="auto" w:line="276" w:before="0" w:after="200"/>
        <w:ind w:left="0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При составлении сметного расчета по трудозатратам (форма №3п), разработанным организацией, выполняющей НИР/НИОКР, обоснование расчета трудозатрат представляется заказчику по его просьбе. Сметные расчеты составляются в ценах текущего периода.</w:t>
      </w:r>
    </w:p>
    <w:p>
      <w:pPr>
        <w:pStyle w:val="Normal"/>
        <w:numPr>
          <w:ilvl w:val="0"/>
          <w:numId w:val="14"/>
        </w:numPr>
        <w:tabs>
          <w:tab w:val="clear" w:pos="708"/>
          <w:tab w:val="left" w:pos="567" w:leader="none"/>
          <w:tab w:val="left" w:pos="993" w:leader="none"/>
          <w:tab w:val="left" w:pos="1080" w:leader="none"/>
        </w:tabs>
        <w:spacing w:lineRule="auto" w:line="276" w:before="0" w:after="200"/>
        <w:ind w:left="0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Расчетом по трудозатратам (форма №3п) рекомендуется определять стоимость работ, цены на которые отсутствуют в СБЦ, СЦ и других нормативных сборниках, внесенных в Федеральный реестр сметных нормативов, подлежащих применению при определении сметной стоимости объектов капитального строительства, строительство которых финансируется с привлечением средств федерального бюджета (далее – ФРСН)</w:t>
      </w:r>
    </w:p>
    <w:p>
      <w:pPr>
        <w:pStyle w:val="Normal"/>
        <w:numPr>
          <w:ilvl w:val="0"/>
          <w:numId w:val="14"/>
        </w:numPr>
        <w:tabs>
          <w:tab w:val="clear" w:pos="708"/>
          <w:tab w:val="left" w:pos="567" w:leader="none"/>
          <w:tab w:val="left" w:pos="993" w:leader="none"/>
          <w:tab w:val="left" w:pos="1080" w:leader="none"/>
        </w:tabs>
        <w:spacing w:lineRule="auto" w:line="276" w:before="0" w:after="200"/>
        <w:ind w:left="0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Форма сметы для определения затрат по себестоимости и уровню рентабельности (форма №3п) приведена в Образце 3П Приложения №2.</w:t>
      </w:r>
    </w:p>
    <w:p>
      <w:pPr>
        <w:pStyle w:val="Normal"/>
        <w:numPr>
          <w:ilvl w:val="0"/>
          <w:numId w:val="14"/>
        </w:numPr>
        <w:tabs>
          <w:tab w:val="clear" w:pos="708"/>
          <w:tab w:val="left" w:pos="993" w:leader="none"/>
        </w:tabs>
        <w:spacing w:lineRule="auto" w:line="276" w:before="0" w:after="200"/>
        <w:ind w:left="720" w:hanging="153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Результаты вычислений и итоговые данные по разделам расчета </w:t>
      </w:r>
      <w:r>
        <w:rPr>
          <w:sz w:val="22"/>
          <w:szCs w:val="22"/>
          <w:u w:val="single"/>
        </w:rPr>
        <w:t>округлять до целых рублей.</w:t>
      </w:r>
    </w:p>
    <w:p>
      <w:pPr>
        <w:pStyle w:val="Normal"/>
        <w:numPr>
          <w:ilvl w:val="0"/>
          <w:numId w:val="14"/>
        </w:numPr>
        <w:tabs>
          <w:tab w:val="clear" w:pos="708"/>
          <w:tab w:val="left" w:pos="567" w:leader="none"/>
          <w:tab w:val="left" w:pos="993" w:leader="none"/>
        </w:tabs>
        <w:spacing w:lineRule="auto" w:line="276" w:before="0" w:after="200"/>
        <w:ind w:left="0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Особенности заполнения формы 3П.</w:t>
      </w:r>
    </w:p>
    <w:p>
      <w:pPr>
        <w:pStyle w:val="Normal"/>
        <w:tabs>
          <w:tab w:val="clear" w:pos="708"/>
          <w:tab w:val="left" w:pos="567" w:leader="none"/>
          <w:tab w:val="left" w:pos="993" w:leader="none"/>
        </w:tabs>
        <w:ind w:firstLine="567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Раздел 1. Расчет заработной платы: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567" w:leader="none"/>
          <w:tab w:val="left" w:pos="993" w:leader="none"/>
          <w:tab w:val="left" w:pos="1080" w:leader="none"/>
        </w:tabs>
        <w:spacing w:lineRule="auto" w:line="276" w:before="0" w:after="200"/>
        <w:ind w:left="0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в графе 1 приводится нумерация выполняемых работ;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567" w:leader="none"/>
          <w:tab w:val="left" w:pos="993" w:leader="none"/>
          <w:tab w:val="left" w:pos="1080" w:leader="none"/>
        </w:tabs>
        <w:spacing w:lineRule="auto" w:line="276" w:before="0" w:after="200"/>
        <w:ind w:left="0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в графе 2 приводится наименование выполняемых работ;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567" w:leader="none"/>
          <w:tab w:val="left" w:pos="993" w:leader="none"/>
          <w:tab w:val="left" w:pos="1080" w:leader="none"/>
        </w:tabs>
        <w:spacing w:lineRule="auto" w:line="276" w:before="0" w:after="200"/>
        <w:ind w:left="0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в графе 3 указывается количество привлекаемых работников;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567" w:leader="none"/>
          <w:tab w:val="left" w:pos="993" w:leader="none"/>
          <w:tab w:val="left" w:pos="1080" w:leader="none"/>
        </w:tabs>
        <w:spacing w:lineRule="auto" w:line="276" w:before="0" w:after="200"/>
        <w:ind w:left="0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в графе 4 указывается наименование должности (при необходимости, с указанием конкретных фамилий) работников, участвующих в выполнении каждой из приведенных работ в графе 2;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567" w:leader="none"/>
          <w:tab w:val="left" w:pos="993" w:leader="none"/>
          <w:tab w:val="left" w:pos="1080" w:leader="none"/>
        </w:tabs>
        <w:spacing w:lineRule="auto" w:line="276" w:before="0" w:after="200"/>
        <w:ind w:left="0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в графе 5 для каждой должностной группы (при необходимости с указанием конкретных фамилий) работников, участвующих в выполнении данной работы, указывается общее количество рабочих дней, необходимых данной квалификационной группе для её выполнения; рабочее время не должно превышать значений, определенных по временным нормам;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567" w:leader="none"/>
          <w:tab w:val="left" w:pos="993" w:leader="none"/>
          <w:tab w:val="left" w:pos="1080" w:leader="none"/>
        </w:tabs>
        <w:spacing w:lineRule="auto" w:line="276" w:before="0" w:after="200"/>
        <w:ind w:left="0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в графе 6 приводятся данные по стоимости 1 человеко-дня в рублях по категориям работников. Стоимость 1 человеко-дня непосредственных исполнителей приводится по штатному расписанию основного производственного персонала исходя из установленных в нем окладов, а также выплат стимулирующего и компенсирующего характера, установленных Положением о премировании работников предприятия.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567" w:leader="none"/>
          <w:tab w:val="left" w:pos="993" w:leader="none"/>
          <w:tab w:val="left" w:pos="1080" w:leader="none"/>
        </w:tabs>
        <w:spacing w:lineRule="auto" w:line="276" w:before="0" w:after="200"/>
        <w:ind w:left="0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в графе 7 указывается заработная плата в рублях (</w:t>
      </w:r>
      <w:r>
        <w:rPr>
          <w:b/>
          <w:sz w:val="22"/>
          <w:szCs w:val="22"/>
          <w:u w:val="single"/>
        </w:rPr>
        <w:t>результат перемножения граф 5 и 6</w:t>
      </w:r>
      <w:r>
        <w:rPr>
          <w:sz w:val="22"/>
          <w:szCs w:val="22"/>
        </w:rPr>
        <w:t>);</w:t>
      </w:r>
    </w:p>
    <w:p>
      <w:pPr>
        <w:pStyle w:val="Normal"/>
        <w:tabs>
          <w:tab w:val="clear" w:pos="708"/>
          <w:tab w:val="left" w:pos="567" w:leader="none"/>
          <w:tab w:val="left" w:pos="993" w:leader="none"/>
        </w:tabs>
        <w:spacing w:before="0" w:after="0"/>
        <w:ind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Данные по количеству человек, дней и категорий непосредственных исполнителей, приведенные в графах 3, 4, 5, указываются в соответствии с экспертной оценкой трудоемкости этих работ, выполненных главным инженером проекта, или на базе имеющихся в организации проработок, определяющих нормативы их трудоемкости.</w:t>
      </w:r>
    </w:p>
    <w:p>
      <w:pPr>
        <w:pStyle w:val="Normal"/>
        <w:tabs>
          <w:tab w:val="clear" w:pos="708"/>
          <w:tab w:val="left" w:pos="567" w:leader="none"/>
          <w:tab w:val="left" w:pos="993" w:leader="none"/>
          <w:tab w:val="left" w:pos="1080" w:leader="none"/>
        </w:tabs>
        <w:ind w:firstLine="567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Раздел 2. Расчет стоимости выполнения работ: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567" w:leader="none"/>
          <w:tab w:val="left" w:pos="993" w:leader="none"/>
          <w:tab w:val="left" w:pos="1080" w:leader="none"/>
        </w:tabs>
        <w:spacing w:lineRule="auto" w:line="276" w:before="0" w:after="200"/>
        <w:ind w:left="0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в пункте 2.1 указывается процент заработной платы производственного персонала в составе себестоимости (</w:t>
      </w:r>
      <w:r>
        <w:rPr>
          <w:b/>
          <w:sz w:val="22"/>
          <w:szCs w:val="22"/>
          <w:u w:val="single"/>
        </w:rPr>
        <w:t>без учета субподрядных работ</w:t>
      </w:r>
      <w:r>
        <w:rPr>
          <w:sz w:val="22"/>
          <w:szCs w:val="22"/>
        </w:rPr>
        <w:t>), находящийся в пределах не менее 30% – уточняется по данным организации в соответствии с бизнес-планом. Данные по оплате труда, процент заработной платы в составе себестоимости, уровень рентабельности организации принимаются в соответствии с плановыми показателями на соответствующий период выполнения работ и утверждаются внутренним документом организации.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567" w:leader="none"/>
          <w:tab w:val="left" w:pos="993" w:leader="none"/>
          <w:tab w:val="left" w:pos="1080" w:leader="none"/>
        </w:tabs>
        <w:spacing w:lineRule="auto" w:line="276" w:before="0" w:after="200"/>
        <w:ind w:left="0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в пункте 2.2 производится расчет себестоимости работ на основании выполненного в разделе 1 расчета заработной платы и ее процента в составе себестоимости работ (отношение итога графы 7 раздела 1 к пункту 2.1);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567" w:leader="none"/>
          <w:tab w:val="left" w:pos="993" w:leader="none"/>
          <w:tab w:val="left" w:pos="1080" w:leader="none"/>
        </w:tabs>
        <w:spacing w:lineRule="auto" w:line="276" w:before="0" w:after="200"/>
        <w:ind w:left="0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в пункте 2.3 указывается уровень рентабельности (размер сметной прибыли), принимается по данным организации в соответствии с финансовым планом;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567" w:leader="none"/>
          <w:tab w:val="left" w:pos="993" w:leader="none"/>
          <w:tab w:val="left" w:pos="1080" w:leader="none"/>
        </w:tabs>
        <w:spacing w:lineRule="auto" w:line="276" w:before="0" w:after="200"/>
        <w:ind w:left="0" w:firstLine="567"/>
        <w:contextualSpacing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уровень рентабельности по отношению к себестоимости может составлять </w:t>
      </w:r>
      <w:r>
        <w:rPr>
          <w:color w:val="000000"/>
          <w:sz w:val="22"/>
          <w:szCs w:val="22"/>
        </w:rPr>
        <w:t>до 15%.</w:t>
      </w:r>
    </w:p>
    <w:p>
      <w:pPr>
        <w:pStyle w:val="Normal"/>
        <w:tabs>
          <w:tab w:val="clear" w:pos="708"/>
          <w:tab w:val="left" w:pos="567" w:leader="none"/>
          <w:tab w:val="left" w:pos="993" w:leader="none"/>
          <w:tab w:val="left" w:pos="1080" w:leader="none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К сметной документации необходимо приложить все справочные данные по вышеуказанным экономическим характеристикам предприятия в виде официальной справки (образец в Приложении №1 к пояснительной записке по заполнению формы 3П).</w:t>
      </w:r>
    </w:p>
    <w:p>
      <w:pPr>
        <w:pStyle w:val="Normal"/>
        <w:tabs>
          <w:tab w:val="clear" w:pos="708"/>
          <w:tab w:val="left" w:pos="567" w:leader="none"/>
          <w:tab w:val="left" w:pos="993" w:leader="none"/>
          <w:tab w:val="left" w:pos="1080" w:leader="none"/>
        </w:tabs>
        <w:ind w:firstLine="567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Раздел 3. Расчет командировочных расходов.</w:t>
      </w:r>
    </w:p>
    <w:p>
      <w:pPr>
        <w:pStyle w:val="Normal"/>
        <w:tabs>
          <w:tab w:val="clear" w:pos="708"/>
          <w:tab w:val="left" w:pos="567" w:leader="none"/>
          <w:tab w:val="left" w:pos="993" w:leader="none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Командировочные расходы включаются в сметный расчет отдельной строкой (пункт 3 формы 3П) по отдельно выполненному расчету с расшифровкой затрат на проезд, проживание, суточные расходы.</w:t>
      </w:r>
    </w:p>
    <w:p>
      <w:pPr>
        <w:pStyle w:val="Normal"/>
        <w:tabs>
          <w:tab w:val="clear" w:pos="708"/>
          <w:tab w:val="left" w:pos="567" w:leader="none"/>
          <w:tab w:val="left" w:pos="993" w:leader="none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Стоимость проезда необходимо указывать по каждому виду транспорта отдельно туда и отдельно обратно.</w:t>
      </w:r>
    </w:p>
    <w:p>
      <w:pPr>
        <w:pStyle w:val="Normal"/>
        <w:tabs>
          <w:tab w:val="clear" w:pos="708"/>
          <w:tab w:val="left" w:pos="567" w:leader="none"/>
          <w:tab w:val="left" w:pos="993" w:leader="none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Размер расходов на проезд и стоимость проживания в гостинице определяется на момент составления расчета. Форма расчета приведена в Приложении 4.</w:t>
      </w:r>
    </w:p>
    <w:p>
      <w:pPr>
        <w:pStyle w:val="Normal"/>
        <w:tabs>
          <w:tab w:val="clear" w:pos="708"/>
          <w:tab w:val="left" w:pos="567" w:leader="none"/>
          <w:tab w:val="left" w:pos="993" w:leader="none"/>
          <w:tab w:val="left" w:pos="1080" w:leader="none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Размеры возмещения расходов, связанных со служебными командировками, определяются коллективным договором и/или локальным нормативным актом организации–исполнителя, но не выше нормативов возмещения расходов, связанных со служебными командировками, установленных локальным нормативным актом организации–заказчика.</w:t>
      </w:r>
    </w:p>
    <w:p>
      <w:pPr>
        <w:pStyle w:val="Normal"/>
        <w:tabs>
          <w:tab w:val="clear" w:pos="708"/>
          <w:tab w:val="left" w:pos="567" w:leader="none"/>
          <w:tab w:val="left" w:pos="993" w:leader="none"/>
          <w:tab w:val="left" w:pos="1080" w:leader="none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Лимиты командировочных расходов при производстве НИР/НИОКР по статьям затрат следующие </w:t>
      </w:r>
      <w:r>
        <w:rPr>
          <w:sz w:val="22"/>
          <w:szCs w:val="22"/>
          <w:u w:val="single"/>
        </w:rPr>
        <w:t>не более</w:t>
      </w:r>
      <w:r>
        <w:rPr>
          <w:sz w:val="22"/>
          <w:szCs w:val="22"/>
        </w:rPr>
        <w:t>:</w:t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567" w:leader="none"/>
          <w:tab w:val="left" w:pos="993" w:leader="none"/>
          <w:tab w:val="left" w:pos="1080" w:leader="none"/>
        </w:tabs>
        <w:spacing w:lineRule="auto" w:line="276" w:before="0" w:after="200"/>
        <w:ind w:left="0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суточные - 700 руб./сутки;</w:t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567" w:leader="none"/>
          <w:tab w:val="left" w:pos="993" w:leader="none"/>
          <w:tab w:val="left" w:pos="1080" w:leader="none"/>
        </w:tabs>
        <w:spacing w:lineRule="auto" w:line="276" w:before="0" w:after="200"/>
        <w:ind w:left="0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проживание – 5000 руб./сутки;</w:t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567" w:leader="none"/>
          <w:tab w:val="left" w:pos="993" w:leader="none"/>
          <w:tab w:val="left" w:pos="1080" w:leader="none"/>
        </w:tabs>
        <w:spacing w:lineRule="auto" w:line="276" w:before="0" w:after="200"/>
        <w:ind w:left="0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проезд: поезд (купе) или самолет (класс </w:t>
      </w:r>
      <w:r>
        <w:rPr>
          <w:color w:val="000000"/>
          <w:sz w:val="22"/>
          <w:szCs w:val="22"/>
        </w:rPr>
        <w:t>–эконом с багажом до 20 (двадцати) кг, ручная кладь до 10 (десяти) кг).</w:t>
      </w:r>
    </w:p>
    <w:p>
      <w:pPr>
        <w:pStyle w:val="Normal"/>
        <w:tabs>
          <w:tab w:val="clear" w:pos="708"/>
          <w:tab w:val="left" w:pos="567" w:leader="none"/>
          <w:tab w:val="left" w:pos="993" w:leader="none"/>
          <w:tab w:val="left" w:pos="1080" w:leader="none"/>
        </w:tabs>
        <w:spacing w:before="0" w:after="0"/>
        <w:ind w:firstLine="567"/>
        <w:contextualSpacing/>
        <w:jc w:val="both"/>
        <w:rPr>
          <w:b/>
          <w:i/>
          <w:i/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 xml:space="preserve">Данные лимиты могут быть пересмотрены на этапе согласования технических требований. </w:t>
      </w:r>
    </w:p>
    <w:p>
      <w:pPr>
        <w:pStyle w:val="Normal"/>
        <w:tabs>
          <w:tab w:val="clear" w:pos="708"/>
          <w:tab w:val="left" w:pos="851" w:leader="none"/>
          <w:tab w:val="left" w:pos="993" w:leader="none"/>
          <w:tab w:val="left" w:pos="1080" w:leader="none"/>
        </w:tabs>
        <w:spacing w:before="0" w:after="0"/>
        <w:ind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При учете командировочных расходов стоимость проезда (авиа-, ж/д, …) и проживания определяется Методом анализа ТКП в соответствии с Методикой формирования плановой цены на закупаемую продукцию для организаций Группы РусГидро (далее – Методика ПЦ).</w:t>
      </w:r>
    </w:p>
    <w:p>
      <w:pPr>
        <w:pStyle w:val="Normal"/>
        <w:tabs>
          <w:tab w:val="clear" w:pos="708"/>
          <w:tab w:val="left" w:pos="567" w:leader="none"/>
          <w:tab w:val="left" w:pos="993" w:leader="none"/>
          <w:tab w:val="left" w:pos="1080" w:leader="none"/>
        </w:tabs>
        <w:spacing w:before="0" w:after="0"/>
        <w:ind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При наличии командировочных расходов необходимо составлять общий реестр стоимости проездных билетов с разбивкой по сметам, к которым они относятся.</w:t>
      </w:r>
    </w:p>
    <w:p>
      <w:pPr>
        <w:sectPr>
          <w:headerReference w:type="default" r:id="rId11"/>
          <w:headerReference w:type="first" r:id="rId12"/>
          <w:type w:val="nextPage"/>
          <w:pgSz w:w="11906" w:h="16838"/>
          <w:pgMar w:left="1304" w:right="924" w:gutter="0" w:header="709" w:top="766" w:footer="0" w:bottom="720"/>
          <w:pgNumType w:fmt="decimal"/>
          <w:formProt w:val="false"/>
          <w:textDirection w:val="lrTb"/>
          <w:docGrid w:type="default" w:linePitch="360" w:charSpace="0"/>
        </w:sectPr>
        <w:pStyle w:val="Normal"/>
        <w:tabs>
          <w:tab w:val="clear" w:pos="708"/>
          <w:tab w:val="left" w:pos="1080" w:leader="none"/>
        </w:tabs>
        <w:spacing w:before="0" w:after="0"/>
        <w:ind w:left="993" w:hanging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right"/>
        <w:rPr>
          <w:sz w:val="20"/>
          <w:szCs w:val="22"/>
        </w:rPr>
      </w:pPr>
      <w:r>
        <w:rPr>
          <w:sz w:val="20"/>
          <w:szCs w:val="22"/>
        </w:rPr>
        <w:t>Приложение №1</w:t>
      </w:r>
    </w:p>
    <w:p>
      <w:pPr>
        <w:pStyle w:val="Normal"/>
        <w:jc w:val="right"/>
        <w:rPr>
          <w:sz w:val="20"/>
          <w:szCs w:val="22"/>
        </w:rPr>
      </w:pPr>
      <w:r>
        <w:rPr>
          <w:sz w:val="20"/>
          <w:szCs w:val="22"/>
        </w:rPr>
        <w:t>к пояснительной записке по заполнению формы 3П</w:t>
      </w:r>
    </w:p>
    <w:p>
      <w:pPr>
        <w:pStyle w:val="Normal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СПРАВКА от _______________________________(Образец)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Настоящим (краткое/полное наименование организации подрядчика/контрагента) сообщает о том, что средняя оплата труда специалистов за рабочий день составляет: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8793" w:type="dxa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47"/>
        <w:gridCol w:w="3942"/>
        <w:gridCol w:w="3104"/>
      </w:tblGrid>
      <w:tr>
        <w:trPr>
          <w:trHeight w:val="325" w:hRule="atLeast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№ </w:t>
            </w:r>
            <w:r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39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 специалиста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Заработная плата в день, в руб.</w:t>
            </w:r>
          </w:p>
        </w:tc>
      </w:tr>
      <w:tr>
        <w:trPr>
          <w:trHeight w:val="630" w:hRule="atLeast"/>
        </w:trPr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9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(указать должность)</w:t>
            </w:r>
          </w:p>
        </w:tc>
        <w:tc>
          <w:tcPr>
            <w:tcW w:w="31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>
        <w:trPr>
          <w:trHeight w:val="581" w:hRule="atLeast"/>
        </w:trPr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9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(указать должность)</w:t>
            </w:r>
          </w:p>
        </w:tc>
        <w:tc>
          <w:tcPr>
            <w:tcW w:w="31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>
        <w:trPr>
          <w:trHeight w:val="634" w:hRule="atLeast"/>
        </w:trPr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(указать должность)</w:t>
            </w:r>
          </w:p>
        </w:tc>
        <w:tc>
          <w:tcPr>
            <w:tcW w:w="31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</w:tbl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ab/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Доля заработной платы в себестоимости работ, выполняемых собственными /силами____ (%)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Рентабельность предприятия_______ (%)</w:t>
      </w:r>
    </w:p>
    <w:p>
      <w:pPr>
        <w:pStyle w:val="Normal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(Должность единоличного исполнительного органа контрагента/подрядчика)</w:t>
        <w:tab/>
        <w:tab/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(краткое/полное наименование организации) ________________ (ФИО)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м.п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(Главный бухгалтер)</w:t>
      </w:r>
      <w:r>
        <w:rPr>
          <w:rStyle w:val="FootnoteReference"/>
          <w:sz w:val="22"/>
          <w:szCs w:val="22"/>
        </w:rPr>
        <w:footnoteReference w:id="2"/>
      </w:r>
      <w:r>
        <w:rPr>
          <w:sz w:val="22"/>
          <w:szCs w:val="22"/>
        </w:rPr>
        <w:tab/>
        <w:tab/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(краткое/полное наименование организации контрагента/подрядчика)________________ (ФИО)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sectPr>
          <w:headerReference w:type="default" r:id="rId13"/>
          <w:headerReference w:type="first" r:id="rId14"/>
          <w:footnotePr>
            <w:numFmt w:val="decimal"/>
            <w:numRestart w:val="eachPage"/>
          </w:footnotePr>
          <w:type w:val="nextPage"/>
          <w:pgSz w:w="11906" w:h="16838"/>
          <w:pgMar w:left="1304" w:right="924" w:gutter="0" w:header="709" w:top="851" w:footer="0" w:bottom="720"/>
          <w:pgNumType w:fmt="decimal"/>
          <w:formProt w:val="false"/>
          <w:textDirection w:val="lrTb"/>
          <w:docGrid w:type="default" w:linePitch="360" w:charSpace="0"/>
        </w:sect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м.п</w:t>
      </w:r>
    </w:p>
    <w:p>
      <w:pPr>
        <w:pStyle w:val="Normal"/>
        <w:ind w:left="5670" w:hanging="0"/>
        <w:jc w:val="right"/>
        <w:rPr>
          <w:sz w:val="20"/>
          <w:szCs w:val="22"/>
        </w:rPr>
      </w:pPr>
      <w:r>
        <w:rPr>
          <w:sz w:val="20"/>
          <w:szCs w:val="22"/>
        </w:rPr>
        <w:t>Приложение № 2</w:t>
      </w:r>
    </w:p>
    <w:p>
      <w:pPr>
        <w:pStyle w:val="Normal"/>
        <w:tabs>
          <w:tab w:val="clear" w:pos="708"/>
          <w:tab w:val="left" w:pos="1080" w:leader="none"/>
        </w:tabs>
        <w:ind w:left="5670" w:hanging="0"/>
        <w:jc w:val="right"/>
        <w:rPr>
          <w:sz w:val="20"/>
          <w:szCs w:val="22"/>
        </w:rPr>
      </w:pPr>
      <w:r>
        <w:rPr>
          <w:sz w:val="20"/>
          <w:szCs w:val="22"/>
        </w:rPr>
        <w:t>к Требованиям к оформлению и составлению смет или расчетов на выполнение услуг по программе НИР/НИОКР</w:t>
      </w:r>
    </w:p>
    <w:p>
      <w:pPr>
        <w:pStyle w:val="Normal"/>
        <w:tabs>
          <w:tab w:val="clear" w:pos="708"/>
          <w:tab w:val="left" w:pos="1080" w:leader="none"/>
        </w:tabs>
        <w:ind w:left="567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hd w:val="clear" w:color="auto" w:fill="FFFFFF"/>
        <w:ind w:firstLine="284"/>
        <w:jc w:val="center"/>
        <w:rPr>
          <w:b/>
          <w:bCs/>
          <w:iCs/>
          <w:spacing w:val="-4"/>
          <w:sz w:val="22"/>
          <w:szCs w:val="22"/>
        </w:rPr>
      </w:pPr>
      <w:r>
        <w:rPr>
          <w:b/>
          <w:bCs/>
          <w:iCs/>
          <w:spacing w:val="-4"/>
          <w:sz w:val="22"/>
          <w:szCs w:val="22"/>
        </w:rPr>
        <w:t>Образцы оформления сметной документации на НИР/НИОКР</w:t>
      </w:r>
    </w:p>
    <w:p>
      <w:pPr>
        <w:pStyle w:val="Normal"/>
        <w:shd w:val="clear" w:color="auto" w:fill="FFFFFF"/>
        <w:ind w:firstLine="284"/>
        <w:jc w:val="center"/>
        <w:rPr>
          <w:b/>
          <w:bCs/>
          <w:iCs/>
          <w:spacing w:val="-4"/>
          <w:sz w:val="24"/>
          <w:szCs w:val="24"/>
        </w:rPr>
      </w:pPr>
      <w:r>
        <w:rPr>
          <w:b/>
          <w:bCs/>
          <w:iCs/>
          <w:spacing w:val="-4"/>
          <w:sz w:val="24"/>
          <w:szCs w:val="24"/>
        </w:rPr>
      </w:r>
    </w:p>
    <w:p>
      <w:pPr>
        <w:pStyle w:val="Normal"/>
        <w:shd w:val="clear" w:color="auto" w:fill="FFFFFF"/>
        <w:ind w:left="284" w:hanging="0"/>
        <w:rPr>
          <w:b/>
          <w:sz w:val="22"/>
          <w:szCs w:val="22"/>
        </w:rPr>
      </w:pPr>
      <w:r>
        <w:rPr>
          <w:b/>
          <w:sz w:val="22"/>
          <w:szCs w:val="22"/>
        </w:rPr>
        <w:t>Образец 2П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290"/>
      </w:tblGrid>
      <w:tr>
        <w:trPr/>
        <w:tc>
          <w:tcPr>
            <w:tcW w:w="9290" w:type="dxa"/>
            <w:tcBorders/>
          </w:tcPr>
          <w:p>
            <w:pPr>
              <w:pStyle w:val="Normal"/>
              <w:widowControl w:val="false"/>
              <w:shd w:val="clear" w:color="auto" w:fill="FFFFFF"/>
              <w:ind w:left="5530" w:hanging="0"/>
              <w:rPr>
                <w:sz w:val="20"/>
                <w:szCs w:val="20"/>
              </w:rPr>
            </w:pPr>
            <w:r>
              <w:rPr>
                <w:sz w:val="20"/>
                <w:szCs w:val="22"/>
              </w:rPr>
              <w:t>Приложение №_____</w:t>
            </w:r>
          </w:p>
          <w:p>
            <w:pPr>
              <w:pStyle w:val="Normal"/>
              <w:widowControl w:val="false"/>
              <w:shd w:val="clear" w:color="auto" w:fill="FFFFFF"/>
              <w:ind w:left="5530" w:hanging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к договору, дополнительному соглашению</w:t>
            </w:r>
            <w:r>
              <w:rPr>
                <w:sz w:val="20"/>
                <w:szCs w:val="20"/>
              </w:rPr>
              <w:t xml:space="preserve"> №____от _______</w:t>
            </w:r>
          </w:p>
          <w:p>
            <w:pPr>
              <w:pStyle w:val="Normal"/>
              <w:widowControl w:val="false"/>
              <w:shd w:val="clear" w:color="auto" w:fill="FFFFFF"/>
              <w:ind w:left="3829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tbl>
            <w:tblPr>
              <w:tblW w:w="9060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noHBand="0" w:noVBand="1" w:firstColumn="1" w:lastRow="0" w:lastColumn="0" w:firstRow="1"/>
            </w:tblPr>
            <w:tblGrid>
              <w:gridCol w:w="4529"/>
              <w:gridCol w:w="4530"/>
            </w:tblGrid>
            <w:tr>
              <w:trPr>
                <w:trHeight w:val="417" w:hRule="atLeast"/>
              </w:trPr>
              <w:tc>
                <w:tcPr>
                  <w:tcW w:w="4529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СОГЛАСОВАНО:</w:t>
                  </w:r>
                </w:p>
                <w:p>
                  <w:pPr>
                    <w:pStyle w:val="Normal"/>
                    <w:widowControl w:val="false"/>
                    <w:rPr>
                      <w:sz w:val="20"/>
                      <w:szCs w:val="20"/>
                    </w:rPr>
                  </w:pPr>
                  <w:r>
                    <w:rPr>
                      <w:sz w:val="22"/>
                      <w:szCs w:val="22"/>
                    </w:rPr>
                    <w:t>_________________(</w:t>
                  </w:r>
                  <w:r>
                    <w:rPr>
                      <w:sz w:val="20"/>
                      <w:szCs w:val="20"/>
                    </w:rPr>
                    <w:t>Подрядчик)</w:t>
                  </w:r>
                </w:p>
                <w:p>
                  <w:pPr>
                    <w:pStyle w:val="Normal"/>
                    <w:widowControl w:val="false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_________________Ф.И.О.</w:t>
                  </w:r>
                </w:p>
                <w:p>
                  <w:pPr>
                    <w:pStyle w:val="Normal"/>
                    <w:widowControl w:val="false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</w:r>
                </w:p>
              </w:tc>
              <w:tc>
                <w:tcPr>
                  <w:tcW w:w="4530" w:type="dxa"/>
                  <w:tcBorders/>
                </w:tcPr>
                <w:p>
                  <w:pPr>
                    <w:pStyle w:val="Normal"/>
                    <w:widowControl w:val="false"/>
                    <w:ind w:left="1460" w:hanging="0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УТВЕРЖДАЮ:</w:t>
                  </w:r>
                </w:p>
                <w:p>
                  <w:pPr>
                    <w:pStyle w:val="Normal"/>
                    <w:widowControl w:val="false"/>
                    <w:ind w:left="1460" w:hanging="0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_________________(</w:t>
                  </w:r>
                  <w:r>
                    <w:rPr>
                      <w:bCs/>
                      <w:sz w:val="20"/>
                      <w:szCs w:val="20"/>
                    </w:rPr>
                    <w:t>Заказчик)</w:t>
                  </w:r>
                </w:p>
                <w:p>
                  <w:pPr>
                    <w:pStyle w:val="Normal"/>
                    <w:widowControl w:val="false"/>
                    <w:ind w:left="1460" w:hanging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_________________Ф.И.О.</w:t>
                  </w:r>
                </w:p>
                <w:p>
                  <w:pPr>
                    <w:pStyle w:val="Normal"/>
                    <w:widowControl w:val="false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shd w:val="clear" w:color="auto" w:fill="FFFFFF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СМЕТА № </w:t>
              <w:br/>
              <w:t>на научно-исследовательские работы (НИР/НИОКР)</w:t>
            </w:r>
          </w:p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предприятия, здания, сооружения, стадии проектирования, этапа, вида </w:t>
            </w:r>
          </w:p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НИР/НИОКР___________________________________________________________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подрядной организации_________________________________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</w:t>
            </w:r>
          </w:p>
          <w:p>
            <w:pPr>
              <w:pStyle w:val="Normal"/>
              <w:widowControl w:val="false"/>
              <w:pBdr>
                <w:bottom w:val="single" w:sz="12" w:space="1" w:color="000000"/>
              </w:pBd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организации заказчика_________________________________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Составлена в текущих ценах, соответствующих периоду выполнения работ по договору</w:t>
            </w:r>
          </w:p>
          <w:p>
            <w:pPr>
              <w:pStyle w:val="Normal"/>
              <w:widowControl w:val="false"/>
              <w:shd w:val="clear" w:color="auto" w:fill="FFFFFF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руб.</w:t>
            </w:r>
          </w:p>
          <w:tbl>
            <w:tblPr>
              <w:tblW w:w="5000" w:type="pct"/>
              <w:jc w:val="center"/>
              <w:tblInd w:w="0" w:type="dxa"/>
              <w:tblLayout w:type="fixed"/>
              <w:tblCellMar>
                <w:top w:w="0" w:type="dxa"/>
                <w:left w:w="28" w:type="dxa"/>
                <w:bottom w:w="0" w:type="dxa"/>
                <w:right w:w="28" w:type="dxa"/>
              </w:tblCellMar>
              <w:tblLook w:val="04a0" w:noHBand="0" w:noVBand="1" w:firstColumn="1" w:lastRow="0" w:lastColumn="0" w:firstRow="1"/>
            </w:tblPr>
            <w:tblGrid>
              <w:gridCol w:w="566"/>
              <w:gridCol w:w="1980"/>
              <w:gridCol w:w="3126"/>
              <w:gridCol w:w="2331"/>
              <w:gridCol w:w="1071"/>
            </w:tblGrid>
            <w:tr>
              <w:trPr>
                <w:tblHeader w:val="true"/>
              </w:trPr>
              <w:tc>
                <w:tcPr>
                  <w:tcW w:w="566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rPr>
                      <w:sz w:val="20"/>
                      <w:szCs w:val="22"/>
                    </w:rPr>
                  </w:pPr>
                  <w:r>
                    <w:rPr>
                      <w:sz w:val="20"/>
                      <w:szCs w:val="22"/>
                    </w:rPr>
                    <w:t xml:space="preserve">№ </w:t>
                  </w:r>
                  <w:r>
                    <w:rPr>
                      <w:sz w:val="20"/>
                      <w:szCs w:val="22"/>
                    </w:rPr>
                    <w:t>пп</w:t>
                  </w:r>
                </w:p>
              </w:tc>
              <w:tc>
                <w:tcPr>
                  <w:tcW w:w="1980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>
                      <w:sz w:val="20"/>
                      <w:szCs w:val="22"/>
                    </w:rPr>
                  </w:pPr>
                  <w:r>
                    <w:rPr>
                      <w:sz w:val="20"/>
                      <w:szCs w:val="22"/>
                    </w:rPr>
                    <w:t>Характеристика предприятия, здания, сооружения или виды работ</w:t>
                  </w:r>
                </w:p>
              </w:tc>
              <w:tc>
                <w:tcPr>
                  <w:tcW w:w="3126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>
                      <w:sz w:val="20"/>
                      <w:szCs w:val="22"/>
                    </w:rPr>
                  </w:pPr>
                  <w:r>
                    <w:rPr>
                      <w:sz w:val="20"/>
                      <w:szCs w:val="22"/>
                    </w:rPr>
                    <w:t>Номер частей, глав, таблиц, процентов, параграфов и пунктов указаний к разделу Справочника базовых цен на проектные и изыскательские работы для строительства</w:t>
                  </w:r>
                </w:p>
              </w:tc>
              <w:tc>
                <w:tcPr>
                  <w:tcW w:w="2331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>
                      <w:sz w:val="20"/>
                      <w:szCs w:val="22"/>
                    </w:rPr>
                  </w:pPr>
                  <w:r>
                    <w:rPr>
                      <w:sz w:val="20"/>
                      <w:szCs w:val="22"/>
                    </w:rPr>
                    <w:t xml:space="preserve">Расчет стоимости: </w:t>
                  </w:r>
                  <w:r>
                    <w:rPr>
                      <w:sz w:val="20"/>
                      <w:szCs w:val="20"/>
                    </w:rPr>
                    <w:br/>
                  </w:r>
                  <w:r>
                    <w:rPr>
                      <w:sz w:val="20"/>
                      <w:szCs w:val="22"/>
                    </w:rPr>
                    <w:t xml:space="preserve">(a + bx) </w:t>
                  </w:r>
                  <w:r>
                    <w:rPr>
                      <w:rFonts w:eastAsia="Symbol" w:cs="Symbol" w:ascii="Symbol" w:hAnsi="Symbol"/>
                      <w:sz w:val="20"/>
                      <w:szCs w:val="22"/>
                    </w:rPr>
                    <w:sym w:font="Symbol" w:char="f0b4"/>
                  </w:r>
                  <w:r>
                    <w:rPr>
                      <w:sz w:val="20"/>
                      <w:szCs w:val="22"/>
                    </w:rPr>
                    <w:t xml:space="preserve"> K</w:t>
                  </w:r>
                  <w:r>
                    <w:rPr>
                      <w:sz w:val="20"/>
                      <w:szCs w:val="22"/>
                      <w:vertAlign w:val="subscript"/>
                    </w:rPr>
                    <w:t>i</w:t>
                  </w:r>
                  <w:r>
                    <w:rPr>
                      <w:sz w:val="20"/>
                      <w:szCs w:val="22"/>
                    </w:rPr>
                    <w:t xml:space="preserve">, или (объем строительно-монтажных работ) </w:t>
                  </w:r>
                  <w:r>
                    <w:rPr>
                      <w:rFonts w:eastAsia="Symbol" w:cs="Symbol" w:ascii="Symbol" w:hAnsi="Symbol"/>
                      <w:sz w:val="20"/>
                      <w:szCs w:val="22"/>
                    </w:rPr>
                    <w:sym w:font="Symbol" w:char="f0b4"/>
                  </w:r>
                  <w:r>
                    <w:rPr>
                      <w:sz w:val="20"/>
                      <w:szCs w:val="22"/>
                    </w:rPr>
                    <w:t xml:space="preserve"> проц.</w:t>
                  </w:r>
                </w:p>
              </w:tc>
              <w:tc>
                <w:tcPr>
                  <w:tcW w:w="1071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>
                      <w:sz w:val="20"/>
                      <w:szCs w:val="22"/>
                    </w:rPr>
                  </w:pPr>
                  <w:r>
                    <w:rPr>
                      <w:sz w:val="20"/>
                      <w:szCs w:val="22"/>
                    </w:rPr>
                    <w:t>Стоимость</w:t>
                  </w:r>
                </w:p>
              </w:tc>
            </w:tr>
            <w:tr>
              <w:trPr>
                <w:tblHeader w:val="true"/>
              </w:trPr>
              <w:tc>
                <w:tcPr>
                  <w:tcW w:w="566" w:type="dxa"/>
                  <w:vMerge w:val="continue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tcMar>
                    <w:left w:w="7" w:type="dxa"/>
                    <w:right w:w="2" w:type="dxa"/>
                  </w:tcMar>
                  <w:vAlign w:val="center"/>
                </w:tcPr>
                <w:p>
                  <w:pPr>
                    <w:pStyle w:val="Normal"/>
                    <w:widowControl w:val="false"/>
                    <w:rPr>
                      <w:sz w:val="20"/>
                      <w:szCs w:val="22"/>
                    </w:rPr>
                  </w:pPr>
                  <w:r>
                    <w:rPr>
                      <w:sz w:val="20"/>
                      <w:szCs w:val="22"/>
                    </w:rPr>
                  </w:r>
                </w:p>
              </w:tc>
              <w:tc>
                <w:tcPr>
                  <w:tcW w:w="1980" w:type="dxa"/>
                  <w:vMerge w:val="continue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tcMar>
                    <w:left w:w="7" w:type="dxa"/>
                    <w:right w:w="2" w:type="dxa"/>
                  </w:tcMar>
                  <w:vAlign w:val="center"/>
                </w:tcPr>
                <w:p>
                  <w:pPr>
                    <w:pStyle w:val="Normal"/>
                    <w:widowControl w:val="false"/>
                    <w:rPr>
                      <w:sz w:val="20"/>
                      <w:szCs w:val="22"/>
                    </w:rPr>
                  </w:pPr>
                  <w:r>
                    <w:rPr>
                      <w:sz w:val="20"/>
                      <w:szCs w:val="22"/>
                    </w:rPr>
                  </w:r>
                </w:p>
              </w:tc>
              <w:tc>
                <w:tcPr>
                  <w:tcW w:w="3126" w:type="dxa"/>
                  <w:vMerge w:val="continue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tcMar>
                    <w:left w:w="7" w:type="dxa"/>
                    <w:right w:w="2" w:type="dxa"/>
                  </w:tcMar>
                  <w:vAlign w:val="center"/>
                </w:tcPr>
                <w:p>
                  <w:pPr>
                    <w:pStyle w:val="Normal"/>
                    <w:widowControl w:val="false"/>
                    <w:rPr>
                      <w:sz w:val="20"/>
                      <w:szCs w:val="22"/>
                    </w:rPr>
                  </w:pPr>
                  <w:r>
                    <w:rPr>
                      <w:sz w:val="20"/>
                      <w:szCs w:val="22"/>
                    </w:rPr>
                  </w:r>
                </w:p>
              </w:tc>
              <w:tc>
                <w:tcPr>
                  <w:tcW w:w="2331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>
                      <w:sz w:val="20"/>
                      <w:szCs w:val="22"/>
                    </w:rPr>
                  </w:pPr>
                  <w:r>
                    <w:rPr>
                      <w:sz w:val="20"/>
                      <w:szCs w:val="22"/>
                    </w:rPr>
                    <w:t>100</w:t>
                  </w:r>
                </w:p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>
                      <w:sz w:val="20"/>
                      <w:szCs w:val="22"/>
                    </w:rPr>
                  </w:pPr>
                  <w:r>
                    <w:rPr>
                      <w:sz w:val="20"/>
                      <w:szCs w:val="22"/>
                    </w:rPr>
                    <w:t>или</w:t>
                  </w:r>
                </w:p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>
                      <w:sz w:val="20"/>
                      <w:szCs w:val="22"/>
                    </w:rPr>
                  </w:pPr>
                  <w:r>
                    <w:rPr>
                      <w:sz w:val="20"/>
                      <w:szCs w:val="22"/>
                    </w:rPr>
                    <w:t xml:space="preserve">количество </w:t>
                  </w:r>
                  <w:r>
                    <w:rPr>
                      <w:rFonts w:eastAsia="Symbol" w:cs="Symbol" w:ascii="Symbol" w:hAnsi="Symbol"/>
                      <w:sz w:val="20"/>
                      <w:szCs w:val="22"/>
                    </w:rPr>
                    <w:sym w:font="Symbol" w:char="f0b4"/>
                  </w:r>
                  <w:r>
                    <w:rPr>
                      <w:sz w:val="20"/>
                      <w:szCs w:val="22"/>
                    </w:rPr>
                    <w:t xml:space="preserve"> цена</w:t>
                  </w:r>
                </w:p>
              </w:tc>
              <w:tc>
                <w:tcPr>
                  <w:tcW w:w="1071" w:type="dxa"/>
                  <w:vMerge w:val="continue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tcMar>
                    <w:left w:w="7" w:type="dxa"/>
                    <w:right w:w="2" w:type="dxa"/>
                  </w:tcMar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0"/>
                      <w:szCs w:val="22"/>
                    </w:rPr>
                  </w:pPr>
                  <w:r>
                    <w:rPr>
                      <w:sz w:val="20"/>
                      <w:szCs w:val="22"/>
                    </w:rPr>
                  </w:r>
                </w:p>
              </w:tc>
            </w:tr>
            <w:tr>
              <w:trPr>
                <w:tblHeader w:val="true"/>
              </w:trPr>
              <w:tc>
                <w:tcPr>
                  <w:tcW w:w="5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>
                      <w:sz w:val="20"/>
                      <w:szCs w:val="22"/>
                    </w:rPr>
                  </w:pPr>
                  <w:r>
                    <w:rPr>
                      <w:sz w:val="20"/>
                      <w:szCs w:val="22"/>
                    </w:rPr>
                    <w:t>1</w:t>
                  </w:r>
                </w:p>
              </w:tc>
              <w:tc>
                <w:tcPr>
                  <w:tcW w:w="1980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>
                      <w:sz w:val="20"/>
                      <w:szCs w:val="22"/>
                    </w:rPr>
                  </w:pPr>
                  <w:r>
                    <w:rPr>
                      <w:sz w:val="20"/>
                      <w:szCs w:val="22"/>
                    </w:rPr>
                    <w:t>2</w:t>
                  </w:r>
                </w:p>
              </w:tc>
              <w:tc>
                <w:tcPr>
                  <w:tcW w:w="3126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>
                      <w:sz w:val="20"/>
                      <w:szCs w:val="22"/>
                    </w:rPr>
                  </w:pPr>
                  <w:r>
                    <w:rPr>
                      <w:sz w:val="20"/>
                      <w:szCs w:val="22"/>
                    </w:rPr>
                    <w:t>3</w:t>
                  </w:r>
                </w:p>
              </w:tc>
              <w:tc>
                <w:tcPr>
                  <w:tcW w:w="2331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>
                      <w:sz w:val="20"/>
                      <w:szCs w:val="22"/>
                    </w:rPr>
                  </w:pPr>
                  <w:r>
                    <w:rPr>
                      <w:sz w:val="20"/>
                      <w:szCs w:val="22"/>
                    </w:rPr>
                    <w:t>4</w:t>
                  </w:r>
                </w:p>
              </w:tc>
              <w:tc>
                <w:tcPr>
                  <w:tcW w:w="10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>
                      <w:sz w:val="20"/>
                      <w:szCs w:val="22"/>
                    </w:rPr>
                  </w:pPr>
                  <w:r>
                    <w:rPr>
                      <w:sz w:val="20"/>
                      <w:szCs w:val="22"/>
                    </w:rPr>
                    <w:t>5</w:t>
                  </w:r>
                </w:p>
              </w:tc>
            </w:tr>
            <w:tr>
              <w:trPr/>
              <w:tc>
                <w:tcPr>
                  <w:tcW w:w="566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rPr>
                      <w:sz w:val="24"/>
                      <w:szCs w:val="24"/>
                    </w:rPr>
                  </w:pPr>
                  <w:r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980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rPr>
                      <w:sz w:val="24"/>
                      <w:szCs w:val="24"/>
                    </w:rPr>
                  </w:pPr>
                  <w:r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3126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rPr>
                      <w:sz w:val="24"/>
                      <w:szCs w:val="24"/>
                    </w:rPr>
                  </w:pPr>
                  <w:r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331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rPr>
                      <w:sz w:val="24"/>
                      <w:szCs w:val="24"/>
                    </w:rPr>
                  </w:pPr>
                  <w:r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71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rPr>
                      <w:sz w:val="24"/>
                      <w:szCs w:val="24"/>
                    </w:rPr>
                  </w:pPr>
                  <w:r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>
              <w:trPr/>
              <w:tc>
                <w:tcPr>
                  <w:tcW w:w="566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rPr>
                      <w:sz w:val="24"/>
                      <w:szCs w:val="24"/>
                    </w:rPr>
                  </w:pPr>
                  <w:r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980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rPr>
                      <w:sz w:val="24"/>
                      <w:szCs w:val="24"/>
                    </w:rPr>
                  </w:pPr>
                  <w:r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3126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rPr>
                      <w:sz w:val="24"/>
                      <w:szCs w:val="24"/>
                    </w:rPr>
                  </w:pPr>
                  <w:r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331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rPr>
                      <w:sz w:val="24"/>
                      <w:szCs w:val="24"/>
                    </w:rPr>
                  </w:pPr>
                  <w:r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71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rPr>
                      <w:sz w:val="24"/>
                      <w:szCs w:val="24"/>
                    </w:rPr>
                  </w:pPr>
                  <w:r>
                    <w:rPr>
                      <w:sz w:val="22"/>
                      <w:szCs w:val="22"/>
                    </w:rPr>
                    <w:t> </w:t>
                  </w:r>
                </w:p>
              </w:tc>
            </w:tr>
          </w:tbl>
          <w:p>
            <w:pPr>
              <w:pStyle w:val="Normal"/>
              <w:widowControl w:val="false"/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Составил:_________/должность, организация/____________/подпись/____________/расшифровка подписи/</w:t>
            </w:r>
          </w:p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Проверил:_____________/должность, организация/____________ /подпись/____________/расшифровка подписи/</w:t>
            </w:r>
          </w:p>
        </w:tc>
      </w:tr>
      <w:tr>
        <w:trPr/>
        <w:tc>
          <w:tcPr>
            <w:tcW w:w="9290" w:type="dxa"/>
            <w:tcBorders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headerReference w:type="default" r:id="rId15"/>
          <w:headerReference w:type="first" r:id="rId16"/>
          <w:footnotePr>
            <w:numFmt w:val="decimal"/>
            <w:numRestart w:val="eachPage"/>
          </w:footnotePr>
          <w:type w:val="nextPage"/>
          <w:pgSz w:w="11906" w:h="16838"/>
          <w:pgMar w:left="1701" w:right="851" w:gutter="0" w:header="709" w:top="1134" w:footer="0" w:bottom="1134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shd w:val="clear" w:color="auto" w:fill="FFFFFF"/>
        <w:ind w:left="142" w:firstLine="142"/>
        <w:rPr>
          <w:b/>
          <w:sz w:val="22"/>
          <w:szCs w:val="22"/>
        </w:rPr>
      </w:pPr>
      <w:r>
        <w:rPr>
          <w:b/>
          <w:sz w:val="22"/>
          <w:szCs w:val="22"/>
        </w:rPr>
        <w:t>Образец 3п</w:t>
      </w:r>
    </w:p>
    <w:p>
      <w:pPr>
        <w:pStyle w:val="Normal"/>
        <w:shd w:val="clear" w:color="auto" w:fill="FFFFFF"/>
        <w:jc w:val="right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290"/>
      </w:tblGrid>
      <w:tr>
        <w:trPr/>
        <w:tc>
          <w:tcPr>
            <w:tcW w:w="9290" w:type="dxa"/>
            <w:tcBorders/>
          </w:tcPr>
          <w:p>
            <w:pPr>
              <w:pStyle w:val="Normal"/>
              <w:widowControl w:val="false"/>
              <w:shd w:val="clear" w:color="auto" w:fill="FFFFFF"/>
              <w:ind w:left="5530" w:hanging="0"/>
              <w:rPr>
                <w:sz w:val="20"/>
                <w:szCs w:val="20"/>
              </w:rPr>
            </w:pPr>
            <w:r>
              <w:rPr>
                <w:sz w:val="20"/>
                <w:szCs w:val="22"/>
              </w:rPr>
              <w:t>Приложение №_____</w:t>
            </w:r>
          </w:p>
          <w:p>
            <w:pPr>
              <w:pStyle w:val="Normal"/>
              <w:widowControl w:val="false"/>
              <w:shd w:val="clear" w:color="auto" w:fill="FFFFFF"/>
              <w:ind w:left="5530" w:hanging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к договору, дополнительному соглашению</w:t>
            </w:r>
            <w:r>
              <w:rPr>
                <w:sz w:val="20"/>
                <w:szCs w:val="20"/>
              </w:rPr>
              <w:t xml:space="preserve"> №____от _______</w:t>
            </w:r>
          </w:p>
          <w:p>
            <w:pPr>
              <w:pStyle w:val="Normal"/>
              <w:widowControl w:val="false"/>
              <w:shd w:val="clear" w:color="auto" w:fill="FFFFFF"/>
              <w:ind w:left="2695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tbl>
            <w:tblPr>
              <w:tblW w:w="9060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noHBand="0" w:noVBand="1" w:firstColumn="1" w:lastRow="0" w:lastColumn="0" w:firstRow="1"/>
            </w:tblPr>
            <w:tblGrid>
              <w:gridCol w:w="4529"/>
              <w:gridCol w:w="4530"/>
            </w:tblGrid>
            <w:tr>
              <w:trPr>
                <w:trHeight w:val="417" w:hRule="atLeast"/>
              </w:trPr>
              <w:tc>
                <w:tcPr>
                  <w:tcW w:w="4529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</w:r>
                </w:p>
                <w:p>
                  <w:pPr>
                    <w:pStyle w:val="Normal"/>
                    <w:widowControl w:val="false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СОГЛАСОВАНО:</w:t>
                  </w:r>
                </w:p>
                <w:p>
                  <w:pPr>
                    <w:pStyle w:val="Normal"/>
                    <w:widowControl w:val="false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_________________</w:t>
                  </w:r>
                  <w:r>
                    <w:rPr>
                      <w:sz w:val="20"/>
                      <w:szCs w:val="20"/>
                    </w:rPr>
                    <w:t xml:space="preserve"> (Подрядчик)</w:t>
                  </w:r>
                </w:p>
                <w:p>
                  <w:pPr>
                    <w:pStyle w:val="Normal"/>
                    <w:widowControl w:val="false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_________________ Ф.И.О</w:t>
                  </w:r>
                </w:p>
                <w:p>
                  <w:pPr>
                    <w:pStyle w:val="Normal"/>
                    <w:widowControl w:val="false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</w:r>
                </w:p>
              </w:tc>
              <w:tc>
                <w:tcPr>
                  <w:tcW w:w="4530" w:type="dxa"/>
                  <w:tcBorders/>
                </w:tcPr>
                <w:p>
                  <w:pPr>
                    <w:pStyle w:val="Normal"/>
                    <w:widowControl w:val="false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</w:r>
                </w:p>
                <w:p>
                  <w:pPr>
                    <w:pStyle w:val="Normal"/>
                    <w:widowControl w:val="false"/>
                    <w:ind w:left="1602" w:hanging="0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УТВЕРЖДАЮ:</w:t>
                  </w:r>
                </w:p>
                <w:p>
                  <w:pPr>
                    <w:pStyle w:val="Normal"/>
                    <w:widowControl w:val="false"/>
                    <w:ind w:left="1460" w:hanging="0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________________(</w:t>
                  </w:r>
                  <w:r>
                    <w:rPr>
                      <w:bCs/>
                      <w:sz w:val="20"/>
                      <w:szCs w:val="20"/>
                    </w:rPr>
                    <w:t>Заказчик)</w:t>
                  </w:r>
                </w:p>
                <w:p>
                  <w:pPr>
                    <w:pStyle w:val="Normal"/>
                    <w:widowControl w:val="false"/>
                    <w:ind w:left="1602" w:hanging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_________________Ф.И.О</w:t>
                  </w:r>
                </w:p>
                <w:p>
                  <w:pPr>
                    <w:pStyle w:val="Normal"/>
                    <w:widowControl w:val="false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shd w:val="clear" w:color="auto" w:fill="FFFFFF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СМЕТА № </w:t>
              <w:br/>
              <w:t>на научно-исследовательские работы (НИР/НИОКР)</w:t>
            </w:r>
          </w:p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предприятия, здания, сооружения, стадии проектирования, этапа, вида</w:t>
            </w:r>
          </w:p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НИР/НИОКР___________________________________________________________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организации__________________________________________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</w:t>
            </w:r>
          </w:p>
          <w:p>
            <w:pPr>
              <w:pStyle w:val="Normal"/>
              <w:widowControl w:val="false"/>
              <w:pBdr>
                <w:bottom w:val="single" w:sz="12" w:space="1" w:color="000000"/>
              </w:pBd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организации заказчика_________________________________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  <w:t xml:space="preserve"> Составлена в текущих ценах, соответствующих периоду выполнения работ по договору</w:t>
            </w:r>
          </w:p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 Расчет заработной платы</w:t>
            </w:r>
            <w:r>
              <w:rPr>
                <w:sz w:val="22"/>
                <w:szCs w:val="22"/>
              </w:rPr>
              <w:tab/>
              <w:tab/>
              <w:tab/>
              <w:tab/>
              <w:tab/>
              <w:tab/>
              <w:tab/>
              <w:tab/>
              <w:t>руб.</w:t>
            </w:r>
          </w:p>
          <w:tbl>
            <w:tblPr>
              <w:tblW w:w="5000" w:type="pct"/>
              <w:jc w:val="center"/>
              <w:tblInd w:w="0" w:type="dxa"/>
              <w:tblLayout w:type="fixed"/>
              <w:tblCellMar>
                <w:top w:w="0" w:type="dxa"/>
                <w:left w:w="28" w:type="dxa"/>
                <w:bottom w:w="0" w:type="dxa"/>
                <w:right w:w="28" w:type="dxa"/>
              </w:tblCellMar>
              <w:tblLook w:val="04a0" w:noHBand="0" w:noVBand="1" w:firstColumn="1" w:lastRow="0" w:lastColumn="0" w:firstRow="1"/>
            </w:tblPr>
            <w:tblGrid>
              <w:gridCol w:w="410"/>
              <w:gridCol w:w="2317"/>
              <w:gridCol w:w="1029"/>
              <w:gridCol w:w="975"/>
              <w:gridCol w:w="1281"/>
              <w:gridCol w:w="1281"/>
              <w:gridCol w:w="1780"/>
            </w:tblGrid>
            <w:tr>
              <w:trPr>
                <w:tblHeader w:val="true"/>
              </w:trPr>
              <w:tc>
                <w:tcPr>
                  <w:tcW w:w="410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>
                      <w:sz w:val="20"/>
                      <w:szCs w:val="22"/>
                    </w:rPr>
                  </w:pPr>
                  <w:r>
                    <w:rPr>
                      <w:sz w:val="20"/>
                      <w:szCs w:val="22"/>
                    </w:rPr>
                    <w:t xml:space="preserve">№ </w:t>
                  </w:r>
                  <w:r>
                    <w:rPr>
                      <w:sz w:val="20"/>
                      <w:szCs w:val="22"/>
                    </w:rPr>
                    <w:t>п.п.</w:t>
                  </w:r>
                </w:p>
              </w:tc>
              <w:tc>
                <w:tcPr>
                  <w:tcW w:w="2317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>
                      <w:sz w:val="20"/>
                      <w:szCs w:val="22"/>
                    </w:rPr>
                  </w:pPr>
                  <w:r>
                    <w:rPr>
                      <w:sz w:val="20"/>
                      <w:szCs w:val="22"/>
                    </w:rPr>
                    <w:t>Перечень выполняемых работ</w:t>
                  </w:r>
                </w:p>
              </w:tc>
              <w:tc>
                <w:tcPr>
                  <w:tcW w:w="2004" w:type="dxa"/>
                  <w:gridSpan w:val="2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>
                      <w:sz w:val="20"/>
                      <w:szCs w:val="22"/>
                    </w:rPr>
                  </w:pPr>
                  <w:r>
                    <w:rPr>
                      <w:sz w:val="20"/>
                      <w:szCs w:val="22"/>
                    </w:rPr>
                    <w:t>Исполнители</w:t>
                  </w:r>
                </w:p>
              </w:tc>
              <w:tc>
                <w:tcPr>
                  <w:tcW w:w="1281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>
                      <w:sz w:val="20"/>
                      <w:szCs w:val="22"/>
                    </w:rPr>
                  </w:pPr>
                  <w:r>
                    <w:rPr>
                      <w:sz w:val="20"/>
                      <w:szCs w:val="22"/>
                    </w:rPr>
                    <w:t>Количество человеко-дней</w:t>
                  </w:r>
                </w:p>
              </w:tc>
              <w:tc>
                <w:tcPr>
                  <w:tcW w:w="1281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>
                      <w:sz w:val="20"/>
                      <w:szCs w:val="22"/>
                    </w:rPr>
                  </w:pPr>
                  <w:r>
                    <w:rPr>
                      <w:sz w:val="20"/>
                      <w:szCs w:val="22"/>
                    </w:rPr>
                    <w:t>Средняя оплата труда</w:t>
                  </w:r>
                </w:p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>
                      <w:sz w:val="20"/>
                      <w:szCs w:val="22"/>
                    </w:rPr>
                  </w:pPr>
                  <w:r>
                    <w:rPr>
                      <w:sz w:val="20"/>
                      <w:szCs w:val="22"/>
                    </w:rPr>
                    <w:t xml:space="preserve"> </w:t>
                  </w:r>
                  <w:r>
                    <w:rPr>
                      <w:sz w:val="20"/>
                      <w:szCs w:val="22"/>
                    </w:rPr>
                    <w:t>за 1 день</w:t>
                  </w:r>
                </w:p>
              </w:tc>
              <w:tc>
                <w:tcPr>
                  <w:tcW w:w="1780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>
                      <w:sz w:val="20"/>
                      <w:szCs w:val="22"/>
                    </w:rPr>
                  </w:pPr>
                  <w:r>
                    <w:rPr>
                      <w:sz w:val="20"/>
                      <w:szCs w:val="22"/>
                    </w:rPr>
                    <w:t>Оплата труда (всего)</w:t>
                  </w:r>
                </w:p>
              </w:tc>
            </w:tr>
            <w:tr>
              <w:trPr>
                <w:tblHeader w:val="true"/>
              </w:trPr>
              <w:tc>
                <w:tcPr>
                  <w:tcW w:w="410" w:type="dxa"/>
                  <w:vMerge w:val="continue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tcMar>
                    <w:left w:w="7" w:type="dxa"/>
                    <w:right w:w="2" w:type="dxa"/>
                  </w:tcMar>
                  <w:vAlign w:val="center"/>
                </w:tcPr>
                <w:p>
                  <w:pPr>
                    <w:pStyle w:val="Normal"/>
                    <w:widowControl w:val="false"/>
                    <w:rPr>
                      <w:sz w:val="20"/>
                      <w:szCs w:val="22"/>
                    </w:rPr>
                  </w:pPr>
                  <w:r>
                    <w:rPr>
                      <w:sz w:val="20"/>
                      <w:szCs w:val="22"/>
                    </w:rPr>
                  </w:r>
                </w:p>
              </w:tc>
              <w:tc>
                <w:tcPr>
                  <w:tcW w:w="2317" w:type="dxa"/>
                  <w:vMerge w:val="continue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tcMar>
                    <w:left w:w="7" w:type="dxa"/>
                    <w:right w:w="2" w:type="dxa"/>
                  </w:tcMar>
                  <w:vAlign w:val="center"/>
                </w:tcPr>
                <w:p>
                  <w:pPr>
                    <w:pStyle w:val="Normal"/>
                    <w:widowControl w:val="false"/>
                    <w:rPr>
                      <w:sz w:val="20"/>
                      <w:szCs w:val="22"/>
                    </w:rPr>
                  </w:pPr>
                  <w:r>
                    <w:rPr>
                      <w:sz w:val="20"/>
                      <w:szCs w:val="22"/>
                    </w:rPr>
                  </w:r>
                </w:p>
              </w:tc>
              <w:tc>
                <w:tcPr>
                  <w:tcW w:w="1029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rPr>
                      <w:sz w:val="20"/>
                      <w:szCs w:val="22"/>
                    </w:rPr>
                  </w:pPr>
                  <w:r>
                    <w:rPr>
                      <w:sz w:val="20"/>
                      <w:szCs w:val="22"/>
                    </w:rPr>
                    <w:t>количество</w:t>
                  </w:r>
                </w:p>
              </w:tc>
              <w:tc>
                <w:tcPr>
                  <w:tcW w:w="975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rPr>
                      <w:sz w:val="20"/>
                      <w:szCs w:val="22"/>
                    </w:rPr>
                  </w:pPr>
                  <w:r>
                    <w:rPr>
                      <w:sz w:val="20"/>
                      <w:szCs w:val="22"/>
                    </w:rPr>
                    <w:t>должность</w:t>
                  </w:r>
                </w:p>
              </w:tc>
              <w:tc>
                <w:tcPr>
                  <w:tcW w:w="1281" w:type="dxa"/>
                  <w:vMerge w:val="continue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tcMar>
                    <w:left w:w="7" w:type="dxa"/>
                    <w:right w:w="2" w:type="dxa"/>
                  </w:tcMar>
                  <w:vAlign w:val="center"/>
                </w:tcPr>
                <w:p>
                  <w:pPr>
                    <w:pStyle w:val="Normal"/>
                    <w:widowControl w:val="false"/>
                    <w:rPr>
                      <w:sz w:val="20"/>
                      <w:szCs w:val="22"/>
                    </w:rPr>
                  </w:pPr>
                  <w:r>
                    <w:rPr>
                      <w:sz w:val="20"/>
                      <w:szCs w:val="22"/>
                    </w:rPr>
                  </w:r>
                </w:p>
              </w:tc>
              <w:tc>
                <w:tcPr>
                  <w:tcW w:w="1281" w:type="dxa"/>
                  <w:vMerge w:val="continue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tcMar>
                    <w:left w:w="7" w:type="dxa"/>
                    <w:right w:w="2" w:type="dxa"/>
                  </w:tcMar>
                  <w:vAlign w:val="center"/>
                </w:tcPr>
                <w:p>
                  <w:pPr>
                    <w:pStyle w:val="Normal"/>
                    <w:widowControl w:val="false"/>
                    <w:rPr>
                      <w:sz w:val="20"/>
                      <w:szCs w:val="22"/>
                    </w:rPr>
                  </w:pPr>
                  <w:r>
                    <w:rPr>
                      <w:sz w:val="20"/>
                      <w:szCs w:val="22"/>
                    </w:rPr>
                  </w:r>
                </w:p>
              </w:tc>
              <w:tc>
                <w:tcPr>
                  <w:tcW w:w="1780" w:type="dxa"/>
                  <w:vMerge w:val="continue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tcMar>
                    <w:left w:w="7" w:type="dxa"/>
                    <w:right w:w="2" w:type="dxa"/>
                  </w:tcMar>
                  <w:vAlign w:val="center"/>
                </w:tcPr>
                <w:p>
                  <w:pPr>
                    <w:pStyle w:val="Normal"/>
                    <w:widowControl w:val="false"/>
                    <w:rPr>
                      <w:sz w:val="20"/>
                      <w:szCs w:val="22"/>
                    </w:rPr>
                  </w:pPr>
                  <w:r>
                    <w:rPr>
                      <w:sz w:val="20"/>
                      <w:szCs w:val="22"/>
                    </w:rPr>
                  </w:r>
                </w:p>
              </w:tc>
            </w:tr>
            <w:tr>
              <w:trPr>
                <w:tblHeader w:val="true"/>
              </w:trPr>
              <w:tc>
                <w:tcPr>
                  <w:tcW w:w="4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>
                      <w:sz w:val="20"/>
                      <w:szCs w:val="22"/>
                    </w:rPr>
                  </w:pPr>
                  <w:r>
                    <w:rPr>
                      <w:sz w:val="20"/>
                      <w:szCs w:val="22"/>
                    </w:rPr>
                    <w:t>1</w:t>
                  </w:r>
                </w:p>
              </w:tc>
              <w:tc>
                <w:tcPr>
                  <w:tcW w:w="2317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>
                      <w:sz w:val="20"/>
                      <w:szCs w:val="22"/>
                    </w:rPr>
                  </w:pPr>
                  <w:r>
                    <w:rPr>
                      <w:sz w:val="20"/>
                      <w:szCs w:val="22"/>
                    </w:rPr>
                    <w:t>2</w:t>
                  </w:r>
                </w:p>
              </w:tc>
              <w:tc>
                <w:tcPr>
                  <w:tcW w:w="1029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>
                      <w:sz w:val="20"/>
                      <w:szCs w:val="22"/>
                    </w:rPr>
                  </w:pPr>
                  <w:r>
                    <w:rPr>
                      <w:sz w:val="20"/>
                      <w:szCs w:val="22"/>
                    </w:rPr>
                    <w:t>3</w:t>
                  </w:r>
                </w:p>
              </w:tc>
              <w:tc>
                <w:tcPr>
                  <w:tcW w:w="975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>
                      <w:sz w:val="20"/>
                      <w:szCs w:val="22"/>
                    </w:rPr>
                  </w:pPr>
                  <w:r>
                    <w:rPr>
                      <w:sz w:val="20"/>
                      <w:szCs w:val="22"/>
                    </w:rPr>
                    <w:t>4</w:t>
                  </w:r>
                </w:p>
              </w:tc>
              <w:tc>
                <w:tcPr>
                  <w:tcW w:w="1281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>
                      <w:sz w:val="20"/>
                      <w:szCs w:val="22"/>
                    </w:rPr>
                  </w:pPr>
                  <w:r>
                    <w:rPr>
                      <w:sz w:val="20"/>
                      <w:szCs w:val="22"/>
                    </w:rPr>
                    <w:t>5</w:t>
                  </w:r>
                </w:p>
              </w:tc>
              <w:tc>
                <w:tcPr>
                  <w:tcW w:w="12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>
                      <w:sz w:val="20"/>
                      <w:szCs w:val="22"/>
                    </w:rPr>
                  </w:pPr>
                  <w:r>
                    <w:rPr>
                      <w:sz w:val="20"/>
                      <w:szCs w:val="22"/>
                    </w:rPr>
                    <w:t>6</w:t>
                  </w:r>
                </w:p>
              </w:tc>
              <w:tc>
                <w:tcPr>
                  <w:tcW w:w="1780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>
                      <w:sz w:val="20"/>
                      <w:szCs w:val="22"/>
                    </w:rPr>
                  </w:pPr>
                  <w:r>
                    <w:rPr>
                      <w:sz w:val="20"/>
                      <w:szCs w:val="22"/>
                    </w:rPr>
                    <w:t>7</w:t>
                  </w:r>
                </w:p>
              </w:tc>
            </w:tr>
            <w:tr>
              <w:trPr/>
              <w:tc>
                <w:tcPr>
                  <w:tcW w:w="410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rPr>
                      <w:sz w:val="20"/>
                      <w:szCs w:val="22"/>
                    </w:rPr>
                  </w:pPr>
                  <w:r>
                    <w:rPr>
                      <w:sz w:val="20"/>
                      <w:szCs w:val="22"/>
                    </w:rPr>
                    <w:t> </w:t>
                  </w:r>
                </w:p>
              </w:tc>
              <w:tc>
                <w:tcPr>
                  <w:tcW w:w="2317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rPr>
                      <w:sz w:val="20"/>
                      <w:szCs w:val="22"/>
                    </w:rPr>
                  </w:pPr>
                  <w:r>
                    <w:rPr>
                      <w:sz w:val="20"/>
                      <w:szCs w:val="22"/>
                    </w:rPr>
                    <w:t> </w:t>
                  </w:r>
                </w:p>
              </w:tc>
              <w:tc>
                <w:tcPr>
                  <w:tcW w:w="1029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rPr>
                      <w:sz w:val="20"/>
                      <w:szCs w:val="22"/>
                    </w:rPr>
                  </w:pPr>
                  <w:r>
                    <w:rPr>
                      <w:sz w:val="20"/>
                      <w:szCs w:val="22"/>
                    </w:rPr>
                    <w:t> </w:t>
                  </w:r>
                </w:p>
              </w:tc>
              <w:tc>
                <w:tcPr>
                  <w:tcW w:w="975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rPr>
                      <w:sz w:val="20"/>
                      <w:szCs w:val="22"/>
                    </w:rPr>
                  </w:pPr>
                  <w:r>
                    <w:rPr>
                      <w:sz w:val="20"/>
                      <w:szCs w:val="22"/>
                    </w:rPr>
                    <w:t> </w:t>
                  </w:r>
                </w:p>
              </w:tc>
              <w:tc>
                <w:tcPr>
                  <w:tcW w:w="1281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rPr>
                      <w:sz w:val="20"/>
                      <w:szCs w:val="22"/>
                    </w:rPr>
                  </w:pPr>
                  <w:r>
                    <w:rPr>
                      <w:sz w:val="20"/>
                      <w:szCs w:val="22"/>
                    </w:rPr>
                    <w:t> </w:t>
                  </w:r>
                </w:p>
              </w:tc>
              <w:tc>
                <w:tcPr>
                  <w:tcW w:w="1281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rPr>
                      <w:sz w:val="20"/>
                      <w:szCs w:val="22"/>
                    </w:rPr>
                  </w:pPr>
                  <w:r>
                    <w:rPr>
                      <w:sz w:val="20"/>
                      <w:szCs w:val="22"/>
                    </w:rPr>
                    <w:t> </w:t>
                  </w:r>
                </w:p>
              </w:tc>
              <w:tc>
                <w:tcPr>
                  <w:tcW w:w="1780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rPr>
                      <w:sz w:val="20"/>
                      <w:szCs w:val="22"/>
                    </w:rPr>
                  </w:pPr>
                  <w:r>
                    <w:rPr>
                      <w:sz w:val="20"/>
                      <w:szCs w:val="22"/>
                    </w:rPr>
                    <w:t> </w:t>
                  </w:r>
                </w:p>
              </w:tc>
            </w:tr>
            <w:tr>
              <w:trPr/>
              <w:tc>
                <w:tcPr>
                  <w:tcW w:w="410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rPr>
                      <w:sz w:val="24"/>
                      <w:szCs w:val="24"/>
                    </w:rPr>
                  </w:pPr>
                  <w:r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317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rPr>
                      <w:sz w:val="24"/>
                      <w:szCs w:val="24"/>
                    </w:rPr>
                  </w:pPr>
                  <w:r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29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rPr>
                      <w:sz w:val="24"/>
                      <w:szCs w:val="24"/>
                    </w:rPr>
                  </w:pPr>
                  <w:r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75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rPr>
                      <w:sz w:val="24"/>
                      <w:szCs w:val="24"/>
                    </w:rPr>
                  </w:pPr>
                  <w:r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81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rPr>
                      <w:sz w:val="24"/>
                      <w:szCs w:val="24"/>
                    </w:rPr>
                  </w:pPr>
                  <w:r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81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rPr>
                      <w:sz w:val="24"/>
                      <w:szCs w:val="24"/>
                    </w:rPr>
                  </w:pPr>
                  <w:r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780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rPr>
                      <w:sz w:val="24"/>
                      <w:szCs w:val="24"/>
                    </w:rPr>
                  </w:pPr>
                  <w:r>
                    <w:rPr>
                      <w:sz w:val="22"/>
                      <w:szCs w:val="22"/>
                    </w:rPr>
                    <w:t> </w:t>
                  </w:r>
                </w:p>
              </w:tc>
            </w:tr>
          </w:tbl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Итого заработной платы, в руб. 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 Расчет стоимости выполнения работ</w:t>
            </w:r>
          </w:p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 Процент заработной платы в составе себестоимости, %_______________</w:t>
            </w:r>
          </w:p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 Себестоимость работ____________________________________________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 Уровень рентабельности, %______________________________________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Итого:</w:t>
            </w:r>
            <w:r>
              <w:rPr>
                <w:sz w:val="22"/>
                <w:szCs w:val="22"/>
              </w:rPr>
              <w:t>__________________________________________________________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Командировочные расходы (по расчету)____________</w:t>
            </w:r>
          </w:p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Всего (руб.)</w:t>
            </w:r>
            <w:r>
              <w:rPr>
                <w:sz w:val="22"/>
                <w:szCs w:val="22"/>
              </w:rPr>
              <w:t xml:space="preserve"> ______________________________________________________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ind w:firstLine="20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(сумма прописью)</w:t>
            </w:r>
          </w:p>
          <w:p>
            <w:pPr>
              <w:pStyle w:val="Normal"/>
              <w:widowControl w:val="false"/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Составил:_______/должность, организация/________________/подпись/___________/расшифровка подписи/</w:t>
            </w:r>
          </w:p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Проверил:__________/должность, организация/____________________/подпись/_________/расшифровка подписи/</w:t>
            </w:r>
          </w:p>
        </w:tc>
      </w:tr>
      <w:tr>
        <w:trPr/>
        <w:tc>
          <w:tcPr>
            <w:tcW w:w="9290" w:type="dxa"/>
            <w:tcBorders/>
          </w:tcPr>
          <w:p>
            <w:pPr>
              <w:pStyle w:val="Normal"/>
              <w:widowControl w:val="false"/>
              <w:shd w:val="clear" w:color="auto" w:fill="FFFFFF"/>
              <w:ind w:left="553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9290" w:type="dxa"/>
            <w:tcBorders/>
          </w:tcPr>
          <w:p>
            <w:pPr>
              <w:pStyle w:val="Normal"/>
              <w:widowControl w:val="false"/>
              <w:shd w:val="clear" w:color="auto" w:fill="FFFFFF"/>
              <w:ind w:left="553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66" w:hRule="atLeast"/>
        </w:trPr>
        <w:tc>
          <w:tcPr>
            <w:tcW w:w="9290" w:type="dxa"/>
            <w:tcBorders/>
          </w:tcPr>
          <w:p>
            <w:pPr>
              <w:pStyle w:val="Normal"/>
              <w:widowControl w:val="false"/>
              <w:shd w:val="clear" w:color="auto" w:fill="FFFFFF"/>
              <w:ind w:left="553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left="5670" w:hanging="0"/>
        <w:jc w:val="right"/>
        <w:rPr>
          <w:sz w:val="20"/>
          <w:szCs w:val="22"/>
        </w:rPr>
      </w:pPr>
      <w:r>
        <w:br w:type="page"/>
      </w:r>
      <w:r>
        <w:rPr>
          <w:sz w:val="20"/>
          <w:szCs w:val="22"/>
        </w:rPr>
        <w:t>Приложение № 3</w:t>
      </w:r>
    </w:p>
    <w:p>
      <w:pPr>
        <w:pStyle w:val="Normal"/>
        <w:tabs>
          <w:tab w:val="clear" w:pos="708"/>
          <w:tab w:val="left" w:pos="1080" w:leader="none"/>
        </w:tabs>
        <w:ind w:left="5670" w:hanging="0"/>
        <w:jc w:val="right"/>
        <w:rPr>
          <w:sz w:val="20"/>
          <w:szCs w:val="22"/>
        </w:rPr>
      </w:pPr>
      <w:r>
        <w:rPr>
          <w:sz w:val="20"/>
          <w:szCs w:val="22"/>
        </w:rPr>
        <w:t>к Требованиям к оформлению и составлению смет или расчетов на выполнение услуг по программе НИР/НИОКР</w:t>
      </w:r>
    </w:p>
    <w:p>
      <w:pPr>
        <w:pStyle w:val="Normal"/>
        <w:rPr>
          <w:sz w:val="22"/>
          <w:szCs w:val="22"/>
        </w:rPr>
      </w:pPr>
      <w:r>
        <w:rPr>
          <w:b/>
          <w:sz w:val="22"/>
          <w:szCs w:val="22"/>
        </w:rPr>
        <w:t>Образец</w:t>
      </w:r>
    </w:p>
    <w:p>
      <w:pPr>
        <w:pStyle w:val="Normal"/>
        <w:shd w:val="clear" w:color="auto" w:fill="FFFFFF"/>
        <w:ind w:left="5530" w:hanging="0"/>
        <w:rPr>
          <w:sz w:val="20"/>
          <w:szCs w:val="20"/>
        </w:rPr>
      </w:pPr>
      <w:r>
        <w:rPr>
          <w:sz w:val="20"/>
          <w:szCs w:val="22"/>
        </w:rPr>
        <w:t>Приложение №_____</w:t>
      </w:r>
    </w:p>
    <w:p>
      <w:pPr>
        <w:pStyle w:val="Normal"/>
        <w:shd w:val="clear" w:color="auto" w:fill="FFFFFF"/>
        <w:ind w:left="5530" w:hanging="0"/>
        <w:rPr>
          <w:sz w:val="20"/>
          <w:szCs w:val="22"/>
        </w:rPr>
      </w:pPr>
      <w:r>
        <w:rPr>
          <w:sz w:val="20"/>
          <w:szCs w:val="22"/>
        </w:rPr>
        <w:t>к договору, дополнительному соглашению</w:t>
      </w:r>
      <w:r>
        <w:rPr>
          <w:sz w:val="20"/>
          <w:szCs w:val="20"/>
        </w:rPr>
        <w:t xml:space="preserve"> №____от _______</w:t>
      </w:r>
    </w:p>
    <w:p>
      <w:pPr>
        <w:pStyle w:val="Normal"/>
        <w:shd w:val="clear" w:color="auto" w:fill="FFFFFF"/>
        <w:ind w:left="5530" w:hanging="0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90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529"/>
        <w:gridCol w:w="4530"/>
      </w:tblGrid>
      <w:tr>
        <w:trPr>
          <w:trHeight w:val="417" w:hRule="atLeast"/>
        </w:trPr>
        <w:tc>
          <w:tcPr>
            <w:tcW w:w="4529" w:type="dxa"/>
            <w:tcBorders/>
            <w:vAlign w:val="bottom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СОГЛАСОВАНО: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_________________(</w:t>
            </w:r>
            <w:r>
              <w:rPr>
                <w:sz w:val="20"/>
                <w:szCs w:val="20"/>
              </w:rPr>
              <w:t>Подрядчик)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_________________Ф.И.О.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530" w:type="dxa"/>
            <w:tcBorders/>
          </w:tcPr>
          <w:p>
            <w:pPr>
              <w:pStyle w:val="Normal"/>
              <w:widowControl w:val="false"/>
              <w:ind w:left="1460" w:hanging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УТВЕРЖДАЮ:</w:t>
            </w:r>
          </w:p>
          <w:p>
            <w:pPr>
              <w:pStyle w:val="Normal"/>
              <w:widowControl w:val="false"/>
              <w:ind w:left="1460" w:hanging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_________________(</w:t>
            </w:r>
            <w:r>
              <w:rPr>
                <w:bCs/>
                <w:sz w:val="20"/>
                <w:szCs w:val="20"/>
              </w:rPr>
              <w:t>Заказчик)</w:t>
            </w:r>
          </w:p>
          <w:p>
            <w:pPr>
              <w:pStyle w:val="Normal"/>
              <w:widowControl w:val="false"/>
              <w:ind w:left="146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_________________Ф.И.О</w:t>
            </w:r>
          </w:p>
          <w:p>
            <w:pPr>
              <w:pStyle w:val="Normal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shd w:val="clear" w:color="auto" w:fill="FFFFFF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СВОДНАЯ СМЕТА № </w:t>
        <w:br/>
        <w:t>на научно-исследовательские работы (НИР/НИОКР)</w:t>
      </w:r>
    </w:p>
    <w:p>
      <w:pPr>
        <w:pStyle w:val="Normal"/>
        <w:shd w:val="clear" w:color="auto" w:fill="FFFFFF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Наименование предприятия, здания, сооружения, стадии проектирования, этапа, вида </w:t>
      </w:r>
    </w:p>
    <w:p>
      <w:pPr>
        <w:pStyle w:val="Normal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>НИР/НИОКР___________________________________________________________</w:t>
      </w:r>
    </w:p>
    <w:p>
      <w:pPr>
        <w:pStyle w:val="Normal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</w:t>
      </w:r>
    </w:p>
    <w:p>
      <w:pPr>
        <w:pStyle w:val="Normal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>Наименование подрядной организации_________________________________</w:t>
      </w:r>
    </w:p>
    <w:p>
      <w:pPr>
        <w:pStyle w:val="Normal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</w:t>
      </w:r>
    </w:p>
    <w:p>
      <w:pPr>
        <w:pStyle w:val="Normal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>Наименование организации заказчика_________________________________</w:t>
      </w:r>
    </w:p>
    <w:p>
      <w:pPr>
        <w:pStyle w:val="Normal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Составлена в текущих ценах, соответствующих периоду выполнения работ по договору</w:t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  <w:t>руб.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noHBand="0" w:noVBand="1" w:firstColumn="1" w:lastRow="0" w:lastColumn="0" w:firstRow="1"/>
      </w:tblPr>
      <w:tblGrid>
        <w:gridCol w:w="492"/>
        <w:gridCol w:w="3743"/>
        <w:gridCol w:w="1558"/>
        <w:gridCol w:w="3560"/>
      </w:tblGrid>
      <w:tr>
        <w:trPr>
          <w:tblHeader w:val="true"/>
          <w:trHeight w:val="873" w:hRule="atLeast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№ </w:t>
            </w:r>
            <w:r>
              <w:rPr>
                <w:sz w:val="20"/>
                <w:szCs w:val="22"/>
              </w:rPr>
              <w:t>п.п.</w:t>
            </w:r>
          </w:p>
        </w:tc>
        <w:tc>
          <w:tcPr>
            <w:tcW w:w="374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Перечень (наименование) выполняемых работ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Ссылка на № смет и расчетов</w:t>
            </w: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Стоимость работ</w:t>
            </w:r>
          </w:p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blHeader w:val="true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374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</w:rPr>
              <w:t>2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</w:rPr>
              <w:t>4</w:t>
            </w:r>
          </w:p>
        </w:tc>
      </w:tr>
      <w:tr>
        <w:trPr/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 </w:t>
            </w:r>
          </w:p>
        </w:tc>
        <w:tc>
          <w:tcPr>
            <w:tcW w:w="374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 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 </w:t>
            </w: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 </w:t>
            </w:r>
          </w:p>
        </w:tc>
      </w:tr>
      <w:tr>
        <w:trPr/>
        <w:tc>
          <w:tcPr>
            <w:tcW w:w="49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74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60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</w:tbl>
    <w:p>
      <w:pPr>
        <w:pStyle w:val="Normal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hd w:val="clear" w:color="auto" w:fill="FFFFFF"/>
        <w:rPr>
          <w:sz w:val="24"/>
          <w:szCs w:val="24"/>
        </w:rPr>
      </w:pPr>
      <w:r>
        <w:rPr>
          <w:sz w:val="22"/>
          <w:szCs w:val="22"/>
        </w:rPr>
        <w:t>Итого по смете ___________________________________________________</w:t>
      </w:r>
    </w:p>
    <w:p>
      <w:pPr>
        <w:pStyle w:val="Normal"/>
        <w:shd w:val="clear" w:color="auto" w:fill="FFFFFF"/>
        <w:ind w:firstLine="1845"/>
        <w:jc w:val="center"/>
        <w:rPr>
          <w:sz w:val="22"/>
          <w:szCs w:val="22"/>
        </w:rPr>
      </w:pPr>
      <w:r>
        <w:rPr>
          <w:sz w:val="22"/>
          <w:szCs w:val="22"/>
        </w:rPr>
        <w:t>(сумма прописью)</w:t>
      </w:r>
    </w:p>
    <w:p>
      <w:pPr>
        <w:pStyle w:val="Normal"/>
        <w:shd w:val="clear" w:color="auto" w:fill="FFFFFF"/>
        <w:rPr>
          <w:sz w:val="20"/>
          <w:szCs w:val="20"/>
        </w:rPr>
      </w:pPr>
      <w:r>
        <w:rPr>
          <w:sz w:val="20"/>
          <w:szCs w:val="20"/>
        </w:rPr>
        <w:t>Составил:_________/должность, организация/___________/подпись/_____________/расшифровка подписи/</w:t>
      </w:r>
    </w:p>
    <w:p>
      <w:pPr>
        <w:pStyle w:val="Normal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</w:r>
    </w:p>
    <w:p>
      <w:pPr>
        <w:sectPr>
          <w:headerReference w:type="default" r:id="rId17"/>
          <w:headerReference w:type="first" r:id="rId18"/>
          <w:footnotePr>
            <w:numFmt w:val="decimal"/>
            <w:numRestart w:val="eachPage"/>
          </w:footnotePr>
          <w:type w:val="nextPage"/>
          <w:pgSz w:w="11906" w:h="16838"/>
          <w:pgMar w:left="1701" w:right="851" w:gutter="0" w:header="709" w:top="1134" w:footer="0" w:bottom="1134"/>
          <w:pgNumType w:fmt="decimal"/>
          <w:formProt w:val="false"/>
          <w:textDirection w:val="lrTb"/>
          <w:docGrid w:type="default" w:linePitch="100" w:charSpace="0"/>
        </w:sectPr>
        <w:pStyle w:val="Normal"/>
        <w:rPr>
          <w:sz w:val="20"/>
          <w:szCs w:val="20"/>
        </w:rPr>
      </w:pPr>
      <w:r>
        <w:rPr>
          <w:sz w:val="20"/>
          <w:szCs w:val="20"/>
        </w:rPr>
        <w:t>Проверил:___________/должность, организация/_____________/подпись/___________/расшифровка подписи/</w:t>
      </w:r>
    </w:p>
    <w:p>
      <w:pPr>
        <w:pStyle w:val="Normal"/>
        <w:ind w:left="5670" w:hanging="0"/>
        <w:rPr>
          <w:sz w:val="20"/>
          <w:szCs w:val="22"/>
        </w:rPr>
      </w:pPr>
      <w:r>
        <w:rPr>
          <w:sz w:val="20"/>
          <w:szCs w:val="22"/>
        </w:rPr>
        <w:t>Приложение № 3.1</w:t>
      </w:r>
    </w:p>
    <w:p>
      <w:pPr>
        <w:pStyle w:val="Normal"/>
        <w:tabs>
          <w:tab w:val="clear" w:pos="708"/>
          <w:tab w:val="left" w:pos="1080" w:leader="none"/>
        </w:tabs>
        <w:ind w:left="5670" w:hanging="0"/>
        <w:jc w:val="both"/>
        <w:rPr>
          <w:sz w:val="20"/>
          <w:szCs w:val="22"/>
        </w:rPr>
      </w:pPr>
      <w:r>
        <w:rPr>
          <w:sz w:val="20"/>
          <w:szCs w:val="22"/>
        </w:rPr>
        <w:t>к Требованиям к оформлению и составлению смет или расчетов на выполнение услуг по программе НИР/НИОКР</w:t>
      </w:r>
    </w:p>
    <w:p>
      <w:pPr>
        <w:pStyle w:val="Normal"/>
        <w:rPr>
          <w:sz w:val="22"/>
          <w:szCs w:val="22"/>
        </w:rPr>
      </w:pPr>
      <w:r>
        <w:rPr>
          <w:b/>
          <w:sz w:val="22"/>
          <w:szCs w:val="22"/>
        </w:rPr>
        <w:t>Образец сводной сметы в накопительной форме</w:t>
      </w:r>
    </w:p>
    <w:p>
      <w:pPr>
        <w:pStyle w:val="Normal"/>
        <w:shd w:val="clear" w:color="auto" w:fill="FFFFFF"/>
        <w:ind w:left="5670" w:hanging="0"/>
        <w:rPr>
          <w:sz w:val="20"/>
          <w:szCs w:val="20"/>
        </w:rPr>
      </w:pPr>
      <w:r>
        <w:rPr>
          <w:sz w:val="20"/>
          <w:szCs w:val="22"/>
        </w:rPr>
        <w:t>Приложение №_____</w:t>
      </w:r>
    </w:p>
    <w:p>
      <w:pPr>
        <w:pStyle w:val="Normal"/>
        <w:shd w:val="clear" w:color="auto" w:fill="FFFFFF"/>
        <w:ind w:left="5670" w:hanging="0"/>
        <w:rPr>
          <w:sz w:val="20"/>
          <w:szCs w:val="22"/>
        </w:rPr>
      </w:pPr>
      <w:r>
        <w:rPr>
          <w:sz w:val="20"/>
          <w:szCs w:val="22"/>
        </w:rPr>
        <w:t>к дополнительному соглашению</w:t>
      </w:r>
      <w:r>
        <w:rPr>
          <w:sz w:val="20"/>
          <w:szCs w:val="20"/>
        </w:rPr>
        <w:t xml:space="preserve"> №____от</w:t>
      </w:r>
      <w:r>
        <w:rPr>
          <w:sz w:val="20"/>
          <w:szCs w:val="22"/>
        </w:rPr>
        <w:t xml:space="preserve"> договор №___от</w:t>
      </w:r>
      <w:r>
        <w:rPr>
          <w:sz w:val="20"/>
          <w:szCs w:val="20"/>
        </w:rPr>
        <w:t>___</w:t>
      </w:r>
    </w:p>
    <w:p>
      <w:pPr>
        <w:pStyle w:val="Normal"/>
        <w:shd w:val="clear" w:color="auto" w:fill="FFFFFF"/>
        <w:ind w:left="5530" w:hanging="0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90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529"/>
        <w:gridCol w:w="4530"/>
      </w:tblGrid>
      <w:tr>
        <w:trPr>
          <w:trHeight w:val="417" w:hRule="atLeast"/>
        </w:trPr>
        <w:tc>
          <w:tcPr>
            <w:tcW w:w="4529" w:type="dxa"/>
            <w:tcBorders/>
            <w:vAlign w:val="bottom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СОГЛАСОВАНО: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_________________(</w:t>
            </w:r>
            <w:r>
              <w:rPr>
                <w:sz w:val="20"/>
                <w:szCs w:val="20"/>
              </w:rPr>
              <w:t>Подрядчик)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_________________Ф.И.О.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530" w:type="dxa"/>
            <w:tcBorders/>
          </w:tcPr>
          <w:p>
            <w:pPr>
              <w:pStyle w:val="Normal"/>
              <w:widowControl w:val="false"/>
              <w:ind w:left="1460" w:hanging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УТВЕРЖДАЮ:</w:t>
            </w:r>
          </w:p>
          <w:p>
            <w:pPr>
              <w:pStyle w:val="Normal"/>
              <w:widowControl w:val="false"/>
              <w:ind w:left="1460" w:hanging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_________________(</w:t>
            </w:r>
            <w:r>
              <w:rPr>
                <w:bCs/>
                <w:sz w:val="20"/>
                <w:szCs w:val="20"/>
              </w:rPr>
              <w:t>Заказчик)</w:t>
            </w:r>
          </w:p>
          <w:p>
            <w:pPr>
              <w:pStyle w:val="Normal"/>
              <w:widowControl w:val="false"/>
              <w:ind w:left="146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_________________Ф.И.О</w:t>
            </w:r>
          </w:p>
          <w:p>
            <w:pPr>
              <w:pStyle w:val="Normal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shd w:val="clear" w:color="auto" w:fill="FFFFFF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СВОДНАЯ СМЕТА № </w:t>
        <w:br/>
        <w:t>на научно-исследовательские работы (НИР/НИОКР)</w:t>
      </w:r>
    </w:p>
    <w:p>
      <w:pPr>
        <w:pStyle w:val="Normal"/>
        <w:shd w:val="clear" w:color="auto" w:fill="FFFFFF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Наименование предприятия, здания, сооружения, стадии проектирования, этапа, вида </w:t>
      </w:r>
    </w:p>
    <w:p>
      <w:pPr>
        <w:pStyle w:val="Normal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>НИР/НИОКР___________________________________________________________</w:t>
      </w:r>
    </w:p>
    <w:p>
      <w:pPr>
        <w:pStyle w:val="Normal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>Наименование подрядной организации_________________________________</w:t>
      </w:r>
    </w:p>
    <w:p>
      <w:pPr>
        <w:pStyle w:val="Normal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>Наименование организации заказчика_________________________________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Составлена в текущих ценах, соответствующих периоду выполнения работ по договору</w:t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  <w:t>руб.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noHBand="0" w:noVBand="1" w:firstColumn="1" w:lastRow="0" w:lastColumn="0" w:firstRow="1"/>
      </w:tblPr>
      <w:tblGrid>
        <w:gridCol w:w="492"/>
        <w:gridCol w:w="3743"/>
        <w:gridCol w:w="1558"/>
        <w:gridCol w:w="3560"/>
      </w:tblGrid>
      <w:tr>
        <w:trPr>
          <w:tblHeader w:val="true"/>
          <w:trHeight w:val="873" w:hRule="atLeast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п.п.</w:t>
            </w:r>
          </w:p>
        </w:tc>
        <w:tc>
          <w:tcPr>
            <w:tcW w:w="374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(наименование) выполняемых работ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№ смет и расчетов</w:t>
            </w: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Стоимость работ</w:t>
            </w:r>
          </w:p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blHeader w:val="true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74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>
        <w:trPr/>
        <w:tc>
          <w:tcPr>
            <w:tcW w:w="9353" w:type="dxa"/>
            <w:gridSpan w:val="4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Сметы основного договора </w:t>
            </w:r>
          </w:p>
        </w:tc>
      </w:tr>
      <w:tr>
        <w:trPr/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4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55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56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/>
        <w:tc>
          <w:tcPr>
            <w:tcW w:w="4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 по сметам основного договора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56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9353" w:type="dxa"/>
            <w:gridSpan w:val="4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Исключено ДС №1</w:t>
            </w:r>
          </w:p>
        </w:tc>
      </w:tr>
      <w:tr>
        <w:trPr/>
        <w:tc>
          <w:tcPr>
            <w:tcW w:w="4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56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56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 исключено дополнительным соглашением № 1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56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9353" w:type="dxa"/>
            <w:gridSpan w:val="4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Включено ДС №1</w:t>
            </w:r>
          </w:p>
        </w:tc>
      </w:tr>
      <w:tr>
        <w:trPr/>
        <w:tc>
          <w:tcPr>
            <w:tcW w:w="4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56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56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 включено дополнительным соглашением № 1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56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56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по договору подряда с учетом ДС №… без НДС: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56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Справочно: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56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Сумма основного договора, без НДС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56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Сумма изменения</w:t>
              <w:br/>
              <w:t>(увеличения/уменьшения) стоимости основного договора на основании ДС № 1, без НДС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56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Сумма изменения</w:t>
              <w:br/>
              <w:t>(увеличения/уменьшения) стоимости основного договора на основании ДС № 2, без НДС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56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hd w:val="clear" w:color="auto" w:fill="FFFFFF"/>
        <w:rPr>
          <w:sz w:val="24"/>
          <w:szCs w:val="24"/>
        </w:rPr>
      </w:pPr>
      <w:r>
        <w:rPr>
          <w:sz w:val="22"/>
          <w:szCs w:val="22"/>
        </w:rPr>
        <w:t>Итого по смете ___________________________________________________</w:t>
      </w:r>
    </w:p>
    <w:p>
      <w:pPr>
        <w:pStyle w:val="Normal"/>
        <w:shd w:val="clear" w:color="auto" w:fill="FFFFFF"/>
        <w:ind w:firstLine="1845"/>
        <w:jc w:val="center"/>
        <w:rPr>
          <w:sz w:val="22"/>
          <w:szCs w:val="22"/>
        </w:rPr>
      </w:pPr>
      <w:r>
        <w:rPr>
          <w:sz w:val="22"/>
          <w:szCs w:val="22"/>
        </w:rPr>
        <w:t>(сумма прописью)</w:t>
      </w:r>
    </w:p>
    <w:p>
      <w:pPr>
        <w:pStyle w:val="Normal"/>
        <w:shd w:val="clear" w:color="auto" w:fill="FFFFFF"/>
        <w:rPr>
          <w:sz w:val="20"/>
          <w:szCs w:val="20"/>
        </w:rPr>
      </w:pPr>
      <w:r>
        <w:rPr>
          <w:sz w:val="20"/>
          <w:szCs w:val="20"/>
        </w:rPr>
        <w:t>Составил:_________/должность, организация/___________/подпись/_____________/расшифровка подписи/</w:t>
      </w:r>
    </w:p>
    <w:p>
      <w:pPr>
        <w:pStyle w:val="Normal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</w:r>
    </w:p>
    <w:p>
      <w:pPr>
        <w:sectPr>
          <w:headerReference w:type="default" r:id="rId19"/>
          <w:headerReference w:type="first" r:id="rId20"/>
          <w:footnotePr>
            <w:numFmt w:val="decimal"/>
            <w:numRestart w:val="eachPage"/>
          </w:footnotePr>
          <w:type w:val="nextPage"/>
          <w:pgSz w:w="11906" w:h="16838"/>
          <w:pgMar w:left="1701" w:right="851" w:gutter="0" w:header="709" w:top="1134" w:footer="0" w:bottom="1134"/>
          <w:pgNumType w:fmt="decimal"/>
          <w:formProt w:val="false"/>
          <w:textDirection w:val="lrTb"/>
          <w:docGrid w:type="default" w:linePitch="100" w:charSpace="0"/>
        </w:sectPr>
        <w:pStyle w:val="Normal"/>
        <w:rPr>
          <w:sz w:val="22"/>
          <w:szCs w:val="22"/>
        </w:rPr>
      </w:pPr>
      <w:r>
        <w:rPr>
          <w:sz w:val="20"/>
          <w:szCs w:val="20"/>
        </w:rPr>
        <w:t>Проверил:___________/должность, организация/_____________/подпись/___________/расшифровка подписи/</w:t>
      </w:r>
    </w:p>
    <w:p>
      <w:pPr>
        <w:pStyle w:val="Normal"/>
        <w:jc w:val="right"/>
        <w:rPr>
          <w:sz w:val="20"/>
          <w:szCs w:val="22"/>
        </w:rPr>
      </w:pPr>
      <w:r>
        <w:rPr>
          <w:sz w:val="20"/>
          <w:szCs w:val="22"/>
        </w:rPr>
        <w:t>Приложение № 4</w:t>
      </w:r>
    </w:p>
    <w:p>
      <w:pPr>
        <w:pStyle w:val="Normal"/>
        <w:ind w:left="5670" w:hanging="0"/>
        <w:jc w:val="right"/>
        <w:rPr>
          <w:sz w:val="20"/>
          <w:szCs w:val="22"/>
        </w:rPr>
      </w:pPr>
      <w:r>
        <w:rPr>
          <w:sz w:val="20"/>
          <w:szCs w:val="22"/>
        </w:rPr>
        <w:t>к пояснительной записке по заполнению формы 3п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hanging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Образец расчета командировочных расходов</w:t>
      </w:r>
    </w:p>
    <w:p>
      <w:pPr>
        <w:pStyle w:val="Normal"/>
        <w:ind w:hanging="56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hanging="567"/>
        <w:jc w:val="right"/>
        <w:rPr>
          <w:b/>
          <w:sz w:val="22"/>
          <w:szCs w:val="22"/>
        </w:rPr>
      </w:pPr>
      <w:r>
        <w:rPr>
          <w:sz w:val="22"/>
          <w:szCs w:val="22"/>
        </w:rPr>
        <w:t>Приложение № __ к смете № __</w:t>
      </w:r>
    </w:p>
    <w:p>
      <w:pPr>
        <w:pStyle w:val="Normal"/>
        <w:ind w:hanging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Расчет командировочных расходов</w:t>
      </w:r>
    </w:p>
    <w:tbl>
      <w:tblPr>
        <w:tblW w:w="10787" w:type="dxa"/>
        <w:jc w:val="left"/>
        <w:tblInd w:w="-5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41"/>
        <w:gridCol w:w="635"/>
        <w:gridCol w:w="873"/>
        <w:gridCol w:w="999"/>
        <w:gridCol w:w="1247"/>
        <w:gridCol w:w="737"/>
        <w:gridCol w:w="1178"/>
        <w:gridCol w:w="1277"/>
        <w:gridCol w:w="889"/>
        <w:gridCol w:w="924"/>
        <w:gridCol w:w="1250"/>
        <w:gridCol w:w="235"/>
      </w:tblGrid>
      <w:tr>
        <w:trPr/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пп.</w:t>
            </w:r>
          </w:p>
        </w:tc>
        <w:tc>
          <w:tcPr>
            <w:tcW w:w="1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Пункт назначения </w:t>
              <w:br/>
              <w:t>(туда / обратно)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 транспорта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Стоимость проезда, руб. (без НДС)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 дней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Стоимость суточных, руб./сут. </w:t>
              <w:br/>
              <w:t>(без НДС)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Стоимость проживания, руб./сут. </w:t>
              <w:br/>
              <w:t>(без НДС)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 командировок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 командированных человек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 стоимость командировочных расходов, руб. </w:t>
              <w:br/>
              <w:t>(без НДС)</w:t>
            </w:r>
          </w:p>
        </w:tc>
        <w:tc>
          <w:tcPr>
            <w:tcW w:w="23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96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 пункта 1 в пункт 5</w:t>
            </w:r>
          </w:p>
        </w:tc>
      </w:tr>
      <w:tr>
        <w:trPr/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пункта 1 в пункт 2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пункта 2 в пункт 3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1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23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пункта 4 в пункт 5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81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стоимость командировочных расходов из пункта 1 в пункт 5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96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 пункта 5 в пункт 1</w:t>
            </w:r>
          </w:p>
        </w:tc>
      </w:tr>
      <w:tr>
        <w:trPr/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пункта 5 в пункт 4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пункта 4 в пункт 3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1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23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пункта 2 в пункт 1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81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стоимость командировочных расходов из пункта 5 в пункт 1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94" w:hRule="atLeast"/>
        </w:trPr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81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стоимость командировочных расходов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  <w:bookmarkStart w:id="57" w:name="_Hlk48224758_Копия_1"/>
            <w:bookmarkStart w:id="58" w:name="_Ref40301253_Копия_1"/>
            <w:bookmarkStart w:id="59" w:name="_Hlk48224758_Копия_1"/>
            <w:bookmarkStart w:id="60" w:name="_Ref40301253_Копия_1"/>
            <w:bookmarkEnd w:id="59"/>
            <w:bookmarkEnd w:id="60"/>
          </w:p>
        </w:tc>
      </w:tr>
    </w:tbl>
    <w:p>
      <w:pPr>
        <w:pStyle w:val="Normal"/>
        <w:jc w:val="both"/>
        <w:rPr>
          <w:sz w:val="24"/>
          <w:szCs w:val="24"/>
        </w:rPr>
      </w:pPr>
      <w:r>
        <w:rPr/>
      </w:r>
    </w:p>
    <w:sectPr>
      <w:headerReference w:type="default" r:id="rId21"/>
      <w:headerReference w:type="first" r:id="rId22"/>
      <w:footnotePr>
        <w:numFmt w:val="decimal"/>
        <w:numRestart w:val="eachPage"/>
      </w:footnotePr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rPr/>
      </w:pPr>
      <w:r>
        <w:rPr>
          <w:rStyle w:val="Style"/>
        </w:rPr>
        <w:footnoteRef/>
      </w:r>
      <w:r>
        <w:rPr/>
        <w:t xml:space="preserve"> </w:t>
      </w:r>
      <w:r>
        <w:rPr/>
        <w:t>Если в организации функции главного бухгалтера выполняет генеральный директор – ставится только его виза.</w:t>
      </w:r>
    </w:p>
    <w:p>
      <w:pPr>
        <w:pStyle w:val="FootnoteText"/>
        <w:rPr/>
      </w:pPr>
      <w:r>
        <w:rPr/>
        <w:t>*Возможно предоставление иной формы справки в соответствии с внутренним документооборотом организации.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 wp14:anchorId="67DE844D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67DE844D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15</w:t>
    </w:r>
    <w:r>
      <w:rPr/>
      <w:fldChar w:fldCharType="end"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17</w:t>
    </w:r>
    <w:r>
      <w:rPr/>
      <w:fldChar w:fldCharType="end"/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18</w:t>
    </w:r>
    <w:r>
      <w:rPr/>
      <w:fldChar w:fldCharType="end"/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20</w:t>
    </w:r>
    <w:r>
      <w:rPr/>
      <w:fldChar w:fldCharType="end"/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21</w:t>
    </w:r>
    <w:r>
      <w:rPr/>
      <w:fldChar w:fldCharType="end"/>
    </w:r>
  </w:p>
</w:hdr>
</file>

<file path=word/header1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2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24</w:t>
    </w:r>
    <w:r>
      <w:rPr/>
      <w:fldChar w:fldCharType="end"/>
    </w:r>
  </w:p>
</w:hdr>
</file>

<file path=word/header2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11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jc w:val="cent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12</w:t>
    </w:r>
    <w:r>
      <w:rPr/>
      <w:fldChar w:fldCharType="end"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2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73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73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73" w:hanging="360"/>
      </w:pPr>
      <w:rPr>
        <w:rFonts w:ascii="Wingdings" w:hAnsi="Wingdings" w:cs="Wingdings" w:hint="default"/>
      </w:r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eastAsia="Calibri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5">
    <w:lvl w:ilvl="0">
      <w:start w:val="1"/>
      <w:numFmt w:val="bullet"/>
      <w:lvlText w:val="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675" w:hanging="675"/>
      </w:pPr>
      <w:rPr>
        <w:i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i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sz w:val="22"/>
        <w:i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i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i w:val="false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i w:val="fals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i w:val="false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i w:val="fals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i w:val="false"/>
      </w:rPr>
    </w:lvl>
  </w:abstractNum>
  <w:abstractNum w:abstractNumId="17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w="http://schemas.openxmlformats.org/wordprocessingml/2006/main">
  <w:zoom w:percent="70"/>
  <w:defaultTabStop w:val="708"/>
  <w:autoHyphenation w:val="true"/>
  <w:footnotePr>
    <w:numFmt w:val="decimal"/>
    <w:numRestart w:val="eachPage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uiPriority="99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0"/>
        <w:numId w:val="0"/>
      </w:numPr>
      <w:tabs>
        <w:tab w:val="clear" w:pos="708"/>
        <w:tab w:val="left" w:pos="0" w:leader="none"/>
      </w:tabs>
      <w:ind w:left="432" w:hanging="432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uiPriority w:val="99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uiPriority w:val="99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character" w:styleId="Linenumber1" w:customStyle="1">
    <w:name w:val="line number1"/>
    <w:qFormat/>
    <w:rPr/>
  </w:style>
  <w:style w:type="character" w:styleId="Style15" w:customStyle="1">
    <w:name w:val="Символ нумерации"/>
    <w:qFormat/>
    <w:rPr/>
  </w:style>
  <w:style w:type="character" w:styleId="Linenumber">
    <w:name w:val="line number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1567af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uiPriority w:val="99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" w:customStyle="1">
    <w:name w:val="caption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4" w:customStyle="1">
    <w:name w:val="Основной стиль"/>
    <w:qFormat/>
    <w:rsid w:val="00650083"/>
    <w:pPr>
      <w:widowControl/>
      <w:tabs>
        <w:tab w:val="clear" w:pos="708"/>
        <w:tab w:val="left" w:pos="709" w:leader="none"/>
      </w:tabs>
      <w:suppressAutoHyphens w:val="true"/>
      <w:bidi w:val="0"/>
      <w:spacing w:before="80" w:after="80"/>
      <w:ind w:firstLine="851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35" w:customStyle="1">
    <w:name w:val="Выделенный основной черный"/>
    <w:basedOn w:val="Style34"/>
    <w:next w:val="Style34"/>
    <w:qFormat/>
    <w:rsid w:val="00650083"/>
    <w:pPr>
      <w:keepNext w:val="true"/>
      <w:keepLines/>
      <w:spacing w:lineRule="auto" w:line="360" w:before="120" w:after="120"/>
    </w:pPr>
    <w:rPr>
      <w:b/>
    </w:rPr>
  </w:style>
  <w:style w:type="paragraph" w:styleId="151" w:customStyle="1">
    <w:name w:val="Основной ст. 1.5"/>
    <w:basedOn w:val="Style34"/>
    <w:qFormat/>
    <w:rsid w:val="00650083"/>
    <w:pPr>
      <w:spacing w:lineRule="auto" w:line="360" w:before="0" w:after="0"/>
    </w:pPr>
    <w:rPr/>
  </w:style>
  <w:style w:type="paragraph" w:styleId="Style36" w:customStyle="1">
    <w:name w:val="Содержимое врезки"/>
    <w:basedOn w:val="Normal"/>
    <w:qFormat/>
    <w:pPr/>
    <w:rPr/>
  </w:style>
  <w:style w:type="paragraph" w:styleId="Style37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8" w:customStyle="1">
    <w:name w:val="Заголовок таблицы"/>
    <w:basedOn w:val="Style37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numbering" w:styleId="123" w:customStyle="1">
    <w:name w:val="Нумерованный 123"/>
    <w:qFormat/>
  </w:style>
  <w:style w:type="numbering" w:styleId="Style39" w:customStyle="1">
    <w:name w:val="Маркер •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c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header" Target="header9.xml"/><Relationship Id="rId11" Type="http://schemas.openxmlformats.org/officeDocument/2006/relationships/header" Target="header10.xml"/><Relationship Id="rId12" Type="http://schemas.openxmlformats.org/officeDocument/2006/relationships/header" Target="header11.xml"/><Relationship Id="rId13" Type="http://schemas.openxmlformats.org/officeDocument/2006/relationships/header" Target="header12.xml"/><Relationship Id="rId14" Type="http://schemas.openxmlformats.org/officeDocument/2006/relationships/header" Target="header13.xml"/><Relationship Id="rId15" Type="http://schemas.openxmlformats.org/officeDocument/2006/relationships/header" Target="header14.xml"/><Relationship Id="rId16" Type="http://schemas.openxmlformats.org/officeDocument/2006/relationships/header" Target="header15.xml"/><Relationship Id="rId17" Type="http://schemas.openxmlformats.org/officeDocument/2006/relationships/header" Target="header16.xml"/><Relationship Id="rId18" Type="http://schemas.openxmlformats.org/officeDocument/2006/relationships/header" Target="header17.xml"/><Relationship Id="rId19" Type="http://schemas.openxmlformats.org/officeDocument/2006/relationships/header" Target="header18.xml"/><Relationship Id="rId20" Type="http://schemas.openxmlformats.org/officeDocument/2006/relationships/header" Target="header19.xml"/><Relationship Id="rId21" Type="http://schemas.openxmlformats.org/officeDocument/2006/relationships/header" Target="header20.xml"/><Relationship Id="rId22" Type="http://schemas.openxmlformats.org/officeDocument/2006/relationships/header" Target="header21.xml"/><Relationship Id="rId23" Type="http://schemas.openxmlformats.org/officeDocument/2006/relationships/footnotes" Target="footnotes.xml"/><Relationship Id="rId24" Type="http://schemas.openxmlformats.org/officeDocument/2006/relationships/numbering" Target="numbering.xml"/><Relationship Id="rId25" Type="http://schemas.openxmlformats.org/officeDocument/2006/relationships/fontTable" Target="fontTable.xml"/><Relationship Id="rId26" Type="http://schemas.openxmlformats.org/officeDocument/2006/relationships/settings" Target="settings.xml"/><Relationship Id="rId27" Type="http://schemas.openxmlformats.org/officeDocument/2006/relationships/theme" Target="theme/theme1.xml"/><Relationship Id="rId2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8D0DE-81E0-4B64-8EBE-926D620F1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Application>AlterOffice/3.4.0.9$Linux_X86_64 LibreOffice_project/b8daf9e823b1a5463a2f48435ddc2e8696e7d4fc</Application>
  <AppVersion>15.0000</AppVersion>
  <Pages>22</Pages>
  <Words>4288</Words>
  <Characters>31506</Characters>
  <CharactersWithSpaces>35361</CharactersWithSpaces>
  <Paragraphs>556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2024-07-19T06:20:00Z</dcterms:created>
  <dc:creator>Быстров Олег Геннадьевич</dc:creator>
  <dc:description/>
  <dc:language>ru-RU</dc:language>
  <cp:lastModifiedBy>dvortcovea@corp.gidroogk.com</cp:lastModifiedBy>
  <cp:lastPrinted>2025-10-16T14:29:00Z</cp:lastPrinted>
  <dcterms:modified xsi:type="dcterms:W3CDTF">2026-08-04T08:44:15Z</dcterms:modified>
  <cp:revision>24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