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c"/>
        <w:tblW w:w="94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740"/>
      </w:tblGrid>
      <w:tr>
        <w:trPr>
          <w:trHeight w:val="1314" w:hRule="atLeast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  <w:szCs w:val="24"/>
              </w:rPr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lef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  <w:szCs w:val="24"/>
              </w:rPr>
            </w:r>
          </w:p>
        </w:tc>
      </w:tr>
    </w:tbl>
    <w:p>
      <w:pPr>
        <w:pStyle w:val="Normal"/>
        <w:keepNext w:val="true"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  <w:r>
        <w:rPr>
          <w:rFonts w:cs="Times New Roman"/>
          <w:b/>
          <w:bCs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  <w:lang w:val="en-US"/>
        </w:rPr>
      </w:pPr>
      <w:r>
        <w:rPr>
          <w:rFonts w:cs="Times New Roman"/>
          <w:color w:val="000000" w:themeColor="text1"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“</w:t>
      </w:r>
      <w:r>
        <w:rPr/>
        <w:t xml:space="preserve"> </w:t>
      </w:r>
      <w:r>
        <w:rPr>
          <w:b/>
          <w:sz w:val="28"/>
          <w:szCs w:val="28"/>
        </w:rPr>
        <w:t>ОКПД2 [20.41.32.110] Поставка   средств моющих</w:t>
      </w:r>
      <w:bookmarkStart w:id="0" w:name="_GoBack"/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для нужд Жигулевского филиала </w:t>
      </w:r>
      <w:bookmarkEnd w:id="0"/>
      <w:r>
        <w:rPr>
          <w:b/>
          <w:sz w:val="28"/>
          <w:szCs w:val="28"/>
        </w:rPr>
        <w:t>”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Лот № </w:t>
      </w:r>
    </w:p>
    <w:p>
      <w:pPr>
        <w:pStyle w:val="Normal"/>
        <w:spacing w:lineRule="auto" w:line="360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</w:r>
    </w:p>
    <w:p>
      <w:pPr>
        <w:pStyle w:val="Normal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 w:cs="Times New Roman"/>
          <w:b/>
          <w:i/>
          <w:i/>
          <w:color w:val="000000" w:themeColor="text1"/>
          <w:szCs w:val="24"/>
        </w:rPr>
      </w:pPr>
      <w:r>
        <w:rPr>
          <w:rFonts w:eastAsia="Calibri" w:cs="Times New Roman"/>
          <w:b/>
          <w:i/>
          <w:color w:val="000000" w:themeColor="text1"/>
          <w:szCs w:val="24"/>
        </w:rPr>
      </w:r>
    </w:p>
    <w:p>
      <w:pPr>
        <w:pStyle w:val="Normal"/>
        <w:keepNext w:val="true"/>
        <w:keepLines/>
        <w:jc w:val="both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Heading4"/>
        <w:tabs>
          <w:tab w:val="clear" w:pos="0"/>
          <w:tab w:val="left" w:pos="709" w:leader="none"/>
        </w:tabs>
        <w:ind w:hanging="0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>
          <w:sz w:val="24"/>
          <w:szCs w:val="24"/>
        </w:rPr>
      </w:pPr>
      <w:bookmarkStart w:id="1" w:name="_Toc75446568"/>
      <w:bookmarkStart w:id="2" w:name="_Toc46743506"/>
      <w:r>
        <w:rPr>
          <w:color w:val="000000" w:themeColor="text1"/>
          <w:sz w:val="24"/>
          <w:szCs w:val="24"/>
        </w:rPr>
        <w:t>Наименование закупаемой продукции</w:t>
      </w:r>
      <w:bookmarkEnd w:id="1"/>
      <w:bookmarkEnd w:id="2"/>
    </w:p>
    <w:p>
      <w:pPr>
        <w:pStyle w:val="Heading1"/>
        <w:ind w:hanging="0"/>
        <w:jc w:val="both"/>
        <w:rPr>
          <w:sz w:val="24"/>
          <w:szCs w:val="24"/>
        </w:rPr>
      </w:pPr>
      <w:r>
        <w:rPr>
          <w:b w:val="false"/>
          <w:color w:val="000000" w:themeColor="text1"/>
          <w:sz w:val="24"/>
          <w:szCs w:val="24"/>
          <w:lang w:val="ru-RU"/>
        </w:rPr>
        <w:t>«ОКПД2 [20.41.32.110] Поставка средств моющих для нужд Жигулевского филиала (далее - продукция)»</w:t>
      </w:r>
      <w:bookmarkStart w:id="3" w:name="_Toc75446569"/>
    </w:p>
    <w:p>
      <w:pPr>
        <w:pStyle w:val="Normal"/>
        <w:ind w:firstLine="41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</w:r>
    </w:p>
    <w:p>
      <w:pPr>
        <w:pStyle w:val="Heading4"/>
        <w:numPr>
          <w:ilvl w:val="1"/>
          <w:numId w:val="1"/>
        </w:numPr>
        <w:ind w:left="0" w:firstLine="709"/>
        <w:rPr>
          <w:sz w:val="24"/>
          <w:szCs w:val="24"/>
        </w:rPr>
      </w:pPr>
      <w:bookmarkStart w:id="4" w:name="_Toc46743507"/>
      <w:r>
        <w:rPr>
          <w:color w:val="000000" w:themeColor="text1"/>
          <w:sz w:val="24"/>
          <w:szCs w:val="24"/>
        </w:rPr>
        <w:t xml:space="preserve">Цель </w:t>
      </w:r>
      <w:bookmarkEnd w:id="4"/>
      <w:r>
        <w:rPr>
          <w:color w:val="000000" w:themeColor="text1"/>
          <w:sz w:val="24"/>
          <w:szCs w:val="24"/>
        </w:rPr>
        <w:t xml:space="preserve">использования закупаемой продукции </w:t>
      </w:r>
      <w:bookmarkEnd w:id="3"/>
      <w:r>
        <w:rPr>
          <w:color w:val="000000" w:themeColor="text1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6015" w:leader="none"/>
          <w:tab w:val="left" w:pos="6690" w:leader="none"/>
        </w:tabs>
        <w:ind w:right="-1" w:hanging="0"/>
        <w:jc w:val="both"/>
        <w:rPr/>
      </w:pPr>
      <w:r>
        <w:rPr>
          <w:rStyle w:val="Style"/>
          <w:rFonts w:cs="Times New Roman"/>
          <w:b w:val="false"/>
          <w:bCs/>
          <w:i w:val="false"/>
          <w:color w:val="000000" w:themeColor="text1"/>
          <w:sz w:val="24"/>
          <w:szCs w:val="24"/>
          <w:shd w:fill="FFFFFF" w:val="clear"/>
          <w:lang w:val="en-US" w:eastAsia="x-none"/>
        </w:rPr>
        <w:t xml:space="preserve">Продукция предназначена для собственных нужд </w:t>
      </w:r>
      <w:r>
        <w:rPr>
          <w:rStyle w:val="Style"/>
          <w:rFonts w:eastAsia="Calibri" w:cs="Times New Roman"/>
          <w:b w:val="false"/>
          <w:bCs/>
          <w:i w:val="false"/>
          <w:color w:val="000000" w:themeColor="text1"/>
          <w:sz w:val="24"/>
          <w:szCs w:val="24"/>
          <w:shd w:fill="FFFFFF" w:val="clear"/>
          <w:lang w:val="en-US" w:eastAsia="x-none"/>
        </w:rPr>
        <w:t xml:space="preserve">Жигулевского филиала </w:t>
      </w:r>
      <w:r>
        <w:rPr>
          <w:rStyle w:val="Style"/>
          <w:rFonts w:eastAsia="Calibri" w:cs="Times New Roman"/>
          <w:b w:val="false"/>
          <w:bCs/>
          <w:i w:val="false"/>
          <w:color w:val="000000"/>
          <w:w w:val="105"/>
          <w:sz w:val="24"/>
          <w:szCs w:val="24"/>
          <w:shd w:fill="FFFFFF" w:val="clear"/>
          <w:lang w:val="en-US" w:eastAsia="x-none"/>
        </w:rPr>
        <w:t>АО «Гидроремонт-ВКК» в г. Жигулевск на 202</w:t>
      </w:r>
      <w:r>
        <w:rPr>
          <w:rStyle w:val="Style"/>
          <w:rFonts w:eastAsia="Calibri" w:cs="Times New Roman"/>
          <w:b w:val="false"/>
          <w:bCs/>
          <w:i w:val="false"/>
          <w:color w:val="000000"/>
          <w:w w:val="105"/>
          <w:sz w:val="24"/>
          <w:szCs w:val="24"/>
          <w:shd w:fill="FFFFFF" w:val="clear"/>
          <w:lang w:val="en-US" w:eastAsia="x-none"/>
        </w:rPr>
        <w:t>7</w:t>
      </w:r>
      <w:r>
        <w:rPr>
          <w:rStyle w:val="Style"/>
          <w:rFonts w:eastAsia="Calibri" w:cs="Times New Roman"/>
          <w:b w:val="false"/>
          <w:bCs/>
          <w:i w:val="false"/>
          <w:color w:val="000000"/>
          <w:w w:val="105"/>
          <w:sz w:val="24"/>
          <w:szCs w:val="24"/>
          <w:shd w:fill="FFFFFF" w:val="clear"/>
          <w:lang w:val="en-US" w:eastAsia="x-none"/>
        </w:rPr>
        <w:t>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</w:r>
    </w:p>
    <w:p>
      <w:pPr>
        <w:pStyle w:val="Heading1"/>
        <w:numPr>
          <w:ilvl w:val="0"/>
          <w:numId w:val="1"/>
        </w:numPr>
        <w:ind w:left="0" w:hanging="0"/>
        <w:jc w:val="center"/>
        <w:rPr>
          <w:sz w:val="24"/>
          <w:szCs w:val="24"/>
        </w:rPr>
      </w:pPr>
      <w:bookmarkStart w:id="5" w:name="_Toc75446573"/>
      <w:bookmarkStart w:id="6" w:name="_Toc51339693"/>
      <w:r>
        <w:rPr>
          <w:color w:val="000000" w:themeColor="text1"/>
          <w:sz w:val="24"/>
          <w:szCs w:val="24"/>
        </w:rPr>
        <w:t>Требования к продукции</w:t>
      </w:r>
      <w:bookmarkEnd w:id="5"/>
      <w:bookmarkEnd w:id="6"/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  <w:lang w:eastAsia="x-none"/>
        </w:rPr>
      </w:pPr>
      <w:r>
        <w:rPr>
          <w:rFonts w:cs="Times New Roman"/>
          <w:color w:val="000000" w:themeColor="text1"/>
          <w:sz w:val="24"/>
          <w:szCs w:val="24"/>
          <w:lang w:eastAsia="x-none"/>
        </w:rPr>
      </w:r>
    </w:p>
    <w:p>
      <w:pPr>
        <w:pStyle w:val="Heading4"/>
        <w:numPr>
          <w:ilvl w:val="1"/>
          <w:numId w:val="1"/>
        </w:numPr>
        <w:ind w:left="0" w:firstLine="709"/>
        <w:rPr>
          <w:sz w:val="24"/>
          <w:szCs w:val="24"/>
        </w:rPr>
      </w:pPr>
      <w:bookmarkStart w:id="7" w:name="_Toc75446574"/>
      <w:r>
        <w:rPr>
          <w:color w:val="000000" w:themeColor="text1"/>
          <w:sz w:val="24"/>
          <w:szCs w:val="24"/>
        </w:rPr>
        <w:t xml:space="preserve">Требования к объемам и срокам </w:t>
      </w:r>
      <w:r>
        <w:rPr>
          <w:color w:val="000000" w:themeColor="text1"/>
          <w:sz w:val="24"/>
          <w:szCs w:val="24"/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1"/>
        </w:numPr>
        <w:ind w:left="0" w:firstLine="709"/>
        <w:rPr>
          <w:sz w:val="24"/>
          <w:szCs w:val="24"/>
        </w:rPr>
      </w:pPr>
      <w:bookmarkStart w:id="8" w:name="_Toc75446575"/>
      <w:r>
        <w:rPr>
          <w:color w:val="000000" w:themeColor="text1"/>
          <w:sz w:val="24"/>
          <w:szCs w:val="24"/>
        </w:rPr>
        <w:t>Перечень и объем закупаемой продукции</w:t>
      </w:r>
      <w:bookmarkEnd w:id="8"/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>
        <w:rPr>
          <w:rFonts w:cs="Times New Roman"/>
          <w:color w:val="000000" w:themeColor="text1"/>
          <w:sz w:val="24"/>
          <w:szCs w:val="24"/>
          <w:lang w:val="x-none" w:eastAsia="x-none"/>
        </w:rPr>
      </w:r>
    </w:p>
    <w:p>
      <w:pPr>
        <w:pStyle w:val="Normal"/>
        <w:jc w:val="both"/>
        <w:rPr>
          <w:sz w:val="24"/>
          <w:szCs w:val="24"/>
        </w:rPr>
      </w:pPr>
      <w:bookmarkStart w:id="9" w:name="_Toc75446576"/>
      <w:bookmarkStart w:id="10" w:name="_Toc51339695"/>
      <w:r>
        <w:rPr>
          <w:rFonts w:cs="Times New Roman"/>
          <w:color w:val="000000" w:themeColor="text1"/>
          <w:sz w:val="24"/>
          <w:szCs w:val="24"/>
        </w:rPr>
        <w:t xml:space="preserve">Таблица 2.1 Перечень </w:t>
      </w:r>
      <w:bookmarkEnd w:id="10"/>
      <w:r>
        <w:rPr>
          <w:rFonts w:cs="Times New Roman"/>
          <w:color w:val="000000" w:themeColor="text1"/>
          <w:sz w:val="24"/>
          <w:szCs w:val="24"/>
        </w:rPr>
        <w:t>и объем закупаемой продукци</w:t>
      </w:r>
      <w:bookmarkEnd w:id="9"/>
      <w:r>
        <w:rPr>
          <w:rFonts w:cs="Times New Roman"/>
          <w:color w:val="000000" w:themeColor="text1"/>
          <w:sz w:val="24"/>
          <w:szCs w:val="24"/>
        </w:rPr>
        <w:t>и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645" w:type="dxa"/>
        <w:jc w:val="left"/>
        <w:tblInd w:w="-1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0"/>
        <w:gridCol w:w="5132"/>
        <w:gridCol w:w="1512"/>
        <w:gridCol w:w="915"/>
        <w:gridCol w:w="1246"/>
      </w:tblGrid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1695" w:leader="none"/>
              </w:tabs>
              <w:suppressAutoHyphens w:val="true"/>
              <w:bidi w:val="0"/>
              <w:spacing w:before="0" w:after="0"/>
              <w:ind w:left="0" w:right="-17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Классифика-тор ОКПД2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  <w:lang w:val="en-US"/>
              </w:rPr>
              <w:t>*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6" w:before="22" w:after="0"/>
              <w:ind w:left="150"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Антисептик для рук спиртосодержащий (70%) с распылителем 750мл,дезинфицирующий,жидкость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-113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20.41.32.111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45" w:before="33" w:after="0"/>
              <w:ind w:left="181" w:right="169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2" w:before="19" w:after="0"/>
              <w:ind w:left="146"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Мыло жидкое 5л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20.41.31.130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41" w:before="29" w:after="0"/>
              <w:ind w:left="181" w:right="167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70" w:before="17" w:after="0"/>
              <w:ind w:left="142" w:right="848" w:firstLine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Мыло -крем жидкое 5л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20.41.31.130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33" w:after="0"/>
              <w:ind w:left="181" w:right="167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74" w:before="4" w:after="0"/>
              <w:ind w:left="138" w:right="848" w:firstLine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Мыло-крем жидкое 1л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227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20.41.31.130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right="17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5.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2" w:before="3" w:after="0"/>
              <w:ind w:left="138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Средство для уборки туалета,5л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20.41.32.114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45" w:before="10" w:after="0"/>
              <w:ind w:left="181" w:right="171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70" w:before="17" w:after="0"/>
              <w:ind w:left="134" w:right="345" w:firstLine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Средство для уборки туалета 750г 3в1,активный хлор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-57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20.41.32.114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70" w:before="17" w:after="0"/>
              <w:ind w:left="134" w:right="345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Таблетки чистящие для унитаза 2шт*50 гр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-227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20.41.32.114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70" w:before="17" w:after="0"/>
              <w:ind w:left="134" w:right="345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туалетный подвесной твердый 4шт*50 гр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20.41.32.114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9.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" w:after="0"/>
              <w:ind w:left="139"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Средство для чистки ванн и душевых 500мл , распылитель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20.41.32.114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10.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" w:after="0"/>
              <w:ind w:left="13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Освежитель воздуха аэрозольный 300 мл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20.41.41.000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11.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" w:after="0"/>
              <w:ind w:left="13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Освежитель воздуха аэрозольный  300 мл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227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20.41.41.000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" w:after="0"/>
              <w:ind w:left="13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Ароматизатор аромадиффузор с палочками, освежитель 30мл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20.41.41.000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36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6" w:before="22" w:after="0"/>
              <w:ind w:left="135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Средство для удаления известкового налета и ржавчины 500мл , распылитель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20.41.44.190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22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36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6" w:before="19" w:after="0"/>
              <w:ind w:left="132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Средство для мытья пола и стен 5л, концентрированное «Антибактериальный эффект»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20.41.32.110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2" w:before="22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36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22" w:after="0"/>
              <w:ind w:left="132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Средство для мытья пола и поверхностей 5л , c дезинфицирующим эффектом, биоразлагаемое.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20.41.32.110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26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36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15" w:after="0"/>
              <w:ind w:left="128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Реагент противогололедный 20кг  до -30С, хлорид кальция +минеральной соли, мешок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20.59.43.130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36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6" w:before="19" w:after="0"/>
              <w:ind w:left="124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Средство для мытья посуды 5л , концентрат.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20.41.32.111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>
          <w:trHeight w:val="515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18.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22" w:after="0"/>
              <w:ind w:left="124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Средство для мытья посуды 450мл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20.41.32.111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26" w:after="0"/>
              <w:ind w:left="181" w:right="156" w:hanging="147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19.</w:t>
            </w:r>
            <w:r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22" w:after="0"/>
              <w:ind w:left="127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Средство для мытья стекол и зеркал 500мл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20.41.32.113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63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20.</w:t>
            </w: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19" w:after="0"/>
              <w:ind w:left="123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Мешки для мусора 30л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397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22.22.11.190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19" w:after="0"/>
              <w:ind w:left="123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Мешки для мусора 60л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227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22.22.11.190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22.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19" w:after="0"/>
              <w:ind w:left="12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Мешки для мусора 120л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227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22.22.11.190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23.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19" w:after="0"/>
              <w:ind w:left="12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Тряпка для пола 60*80см, трехслойная, нитепрошивная  360г/м2,светлая,100% хлопок,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13.92.29.110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24.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19" w:after="0"/>
              <w:ind w:left="12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Тряпка для мытья  пола из микрофибры, Супер плотная,70*80 см, синяя,300г/м2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13.92.29.110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25.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2" w:before="15" w:after="0"/>
              <w:ind w:left="115" w:right="238"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Салфетка универсальная в рулоне 200 шт.Чудесная тряпка 20*22 см, вискоза 45г/м2,белая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13.92.29.110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26.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80" w:before="6" w:after="0"/>
              <w:ind w:left="117" w:firstLine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Салфетки вискозные универсальные 30*38, комплект 3шт,90г/м2,желтые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13.92.29.110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27.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3" w:after="0"/>
              <w:ind w:left="122"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Салфетки из микрофибры 30*30 см, комплект 10шт,180г/м2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13.92.29.110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28.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22" w:after="0"/>
              <w:ind w:left="118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Швабра для пола деревянная,  высший сорт, черенок 120см.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32.91.11.000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29.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22" w:after="0"/>
              <w:ind w:left="119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Швабра самоотжимная, механизм «Бабочка»,насадка спонж/микрофибра 26см, телескопический черенок 115см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32.91.11.000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30.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5" w:after="0"/>
              <w:ind w:left="119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Веник сорго 3-х прошивной, ручка в пленке, длина 79см.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32.91.11.000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31.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13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  <w:lang w:val="en-US"/>
              </w:rPr>
              <w:t>Щетка для уборки с черенком 110см  в сборе, ширина 35см, щетина 8см,пластик, еврорезьба,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32.91.11.000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32.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13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  <w:lang w:val="en-US"/>
              </w:rPr>
              <w:t>Пипидастр (сметка-метелка)3 насадки: метелка, щетка, швабра, рукоятка 40-208 см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32.91.11.000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33.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09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Лопата снеговая 4*38 см   Прочная, алюминевый черенок с ручкой,130см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25.99.29.120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34.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0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Метла синтетическая плоская 25*22см ,с черенком 120 см, евро резьба №3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32.91.11.000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35.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0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Метла синтетическая плоская  ширина 35см, высота 26,8 см, без черенка, евро резьба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32.91.11.000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36.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0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Черенок рукоятка для уборочного инвентаря 120 см, еврорезьба  пластиковая, прочный деревянный Высший сорт 2,2*2,4 см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16.29.11.120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37.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0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Черенок рукоятка 120 см, еврорезьба, дерево +пленка (ЭВКАЛИПТ),d=2,2 см, ассорти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13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16.29.11.120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38.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9"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Ведро пластиковое 10 л,без крышки ,пластиковое,хозяйственное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227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22.29.23.120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39.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9"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Ведро пластиковое 6 л,без крышки ,пластиковое,хозяйственное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227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22.29.23.120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8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40.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8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Совок для мусора, высокая рукоятка 20см, резиновая кромка пластик.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-227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22.29.23.120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8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41.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8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Бумага туалетная 170м, (Т2),PREMIUM,2слойная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17.22.11.110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62"/>
              <w:ind w:left="181" w:right="160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42.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44"/>
              <w:ind w:left="148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Бумага туалетная бытовая, спайка 32 шт,3слойная(32*16,8) белая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17.22.11.11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1"/>
              <w:ind w:left="181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43.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" w:after="0"/>
              <w:ind w:left="148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Бумажные полотенца 250шт, (Н3) 1 -слойные, белые, комплект 15пачек,23*23,V-сложение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17.22.11.130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" w:after="0"/>
              <w:ind w:left="181" w:hanging="147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44.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45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Коврик входной изностойкий влаговпитывающий 80*120,толщина 8мм,ТАФТИНГ,серый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22.19.72.000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" w:after="0"/>
              <w:ind w:left="145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Корзина для бумаг квадратная 17 литров, металл  ,черная.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-17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28.75.27.144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1" w:after="0"/>
              <w:ind w:left="181" w:hanging="147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46.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45" w:hanging="0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Липкая лента от мух, мухоловка комплект 4шт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20.20.11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уп.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47.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78"/>
              <w:ind w:left="137" w:firstLine="3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Средство инсектицидное от тараканов, клопов, мух муравьев Дихлофос 440 мл, Варан без запаха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20.20.11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hanging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48.</w:t>
            </w:r>
          </w:p>
        </w:tc>
        <w:tc>
          <w:tcPr>
            <w:tcW w:w="5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3"/>
              <w:ind w:left="138"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Гель от муравьев в шприце 5мл,Абсолют Супер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20.20.11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9" w:after="0"/>
              <w:ind w:left="181" w:hanging="147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шт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6"/>
        </w:numPr>
        <w:spacing w:before="0" w:after="0"/>
        <w:contextualSpacing/>
        <w:jc w:val="both"/>
        <w:rPr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  <w:lang w:eastAsia="en-US"/>
        </w:rPr>
        <w:t>Количество поставляемой продукции определяется по заявкам, согласно годовой потребности филиала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1"/>
        </w:numPr>
        <w:ind w:left="0" w:firstLine="709"/>
        <w:rPr>
          <w:sz w:val="24"/>
          <w:szCs w:val="24"/>
        </w:rPr>
      </w:pPr>
      <w:bookmarkStart w:id="11" w:name="_Toc75446578"/>
      <w:bookmarkStart w:id="12" w:name="_Toc51339696"/>
      <w:r>
        <w:rPr>
          <w:color w:val="000000" w:themeColor="text1"/>
          <w:sz w:val="24"/>
          <w:szCs w:val="24"/>
        </w:rPr>
        <w:t xml:space="preserve">Требования </w:t>
      </w:r>
      <w:bookmarkEnd w:id="12"/>
      <w:r>
        <w:rPr>
          <w:color w:val="000000" w:themeColor="text1"/>
          <w:sz w:val="24"/>
          <w:szCs w:val="24"/>
        </w:rPr>
        <w:t xml:space="preserve">к срокам поставки продукции </w:t>
      </w:r>
      <w:bookmarkEnd w:id="11"/>
    </w:p>
    <w:p>
      <w:pPr>
        <w:pStyle w:val="Normal"/>
        <w:ind w:left="0" w:firstLine="709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13" w:name="_Toc75446579"/>
      <w:bookmarkStart w:id="14" w:name="_Toc50125127"/>
      <w:bookmarkStart w:id="15" w:name="_Toc51339697"/>
      <w:r>
        <w:rPr>
          <w:rFonts w:eastAsia="Calibri" w:cs="Times New Roman"/>
          <w:color w:val="000000" w:themeColor="text1"/>
          <w:sz w:val="24"/>
          <w:szCs w:val="24"/>
          <w:lang w:eastAsia="x-none"/>
        </w:rPr>
        <w:t xml:space="preserve">Таблица 2.2 </w:t>
      </w:r>
      <w:bookmarkStart w:id="16" w:name="_Hlk50465284"/>
      <w:r>
        <w:rPr>
          <w:rFonts w:eastAsia="Calibri" w:cs="Times New Roman"/>
          <w:color w:val="000000" w:themeColor="text1"/>
          <w:sz w:val="24"/>
          <w:szCs w:val="24"/>
          <w:lang w:eastAsia="x-none"/>
        </w:rPr>
        <w:t xml:space="preserve">Требования по срокам </w:t>
      </w:r>
      <w:bookmarkEnd w:id="14"/>
      <w:bookmarkEnd w:id="15"/>
      <w:bookmarkEnd w:id="16"/>
      <w:r>
        <w:rPr>
          <w:rFonts w:eastAsia="Calibri" w:cs="Times New Roman"/>
          <w:color w:val="000000" w:themeColor="text1"/>
          <w:sz w:val="24"/>
          <w:szCs w:val="24"/>
          <w:lang w:eastAsia="x-none"/>
        </w:rPr>
        <w:t>поставки продукции</w:t>
      </w:r>
      <w:bookmarkEnd w:id="13"/>
    </w:p>
    <w:p>
      <w:pPr>
        <w:pStyle w:val="Normal"/>
        <w:rPr>
          <w:sz w:val="24"/>
          <w:szCs w:val="24"/>
        </w:rPr>
      </w:pPr>
      <w:r>
        <w:rPr>
          <w:rFonts w:eastAsia="Calibri" w:cs="Times New Roman"/>
          <w:color w:val="000000" w:themeColor="text1"/>
          <w:sz w:val="24"/>
          <w:szCs w:val="24"/>
          <w:lang w:eastAsia="x-none"/>
        </w:rPr>
        <w:t xml:space="preserve"> </w:t>
      </w:r>
    </w:p>
    <w:tbl>
      <w:tblPr>
        <w:tblW w:w="9553" w:type="dxa"/>
        <w:jc w:val="left"/>
        <w:tblInd w:w="1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8"/>
        <w:gridCol w:w="4854"/>
        <w:gridCol w:w="1757"/>
        <w:gridCol w:w="2243"/>
      </w:tblGrid>
      <w:tr>
        <w:trPr>
          <w:trHeight w:val="1114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74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>
        <w:trPr>
          <w:trHeight w:val="274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продукции, указанный в Таблице №2.1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31.12.202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</w:tr>
    </w:tbl>
    <w:p>
      <w:pPr>
        <w:pStyle w:val="Normal"/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/>
          <w:i/>
          <w:color w:val="000000" w:themeColor="text1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Поставка Продукции осуществляется на основании заявки Покупателя, направленной Поставщику посредством телефона или электронной почты, в которой указывается количество Продукции и срок поставки. Срок поставки в течение 3-х рабочих дней с момента поступления Заявки, если иное не оговорено в представленной заявке.</w:t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color w:val="000000"/>
          <w:w w:val="105"/>
          <w:sz w:val="24"/>
          <w:szCs w:val="24"/>
        </w:rPr>
      </w:pPr>
      <w:r>
        <w:rPr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color w:val="000000"/>
          <w:w w:val="105"/>
          <w:sz w:val="24"/>
          <w:szCs w:val="24"/>
        </w:rPr>
      </w:pPr>
      <w:r>
        <w:rPr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color w:val="000000"/>
          <w:w w:val="105"/>
          <w:sz w:val="24"/>
          <w:szCs w:val="24"/>
        </w:rPr>
      </w:pPr>
      <w:r>
        <w:rPr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color w:val="000000"/>
          <w:w w:val="105"/>
          <w:sz w:val="24"/>
          <w:szCs w:val="24"/>
        </w:rPr>
      </w:pPr>
      <w:r>
        <w:rPr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color w:val="000000"/>
          <w:w w:val="105"/>
          <w:sz w:val="24"/>
          <w:szCs w:val="24"/>
        </w:rPr>
      </w:pPr>
      <w:r>
        <w:rPr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color w:val="000000"/>
          <w:w w:val="105"/>
          <w:sz w:val="24"/>
          <w:szCs w:val="24"/>
        </w:rPr>
      </w:pPr>
      <w:r>
        <w:rPr>
          <w:color w:val="000000"/>
          <w:w w:val="105"/>
          <w:sz w:val="24"/>
          <w:szCs w:val="24"/>
        </w:rPr>
      </w:r>
    </w:p>
    <w:p>
      <w:pPr>
        <w:pStyle w:val="Normal"/>
        <w:ind w:left="851" w:hanging="0"/>
        <w:rPr>
          <w:b/>
        </w:rPr>
      </w:pPr>
      <w:r>
        <w:rPr>
          <w:sz w:val="24"/>
          <w:szCs w:val="24"/>
        </w:rPr>
      </w:r>
    </w:p>
    <w:p>
      <w:pPr>
        <w:pStyle w:val="Normal"/>
        <w:ind w:left="851" w:hanging="0"/>
        <w:rPr>
          <w:b/>
        </w:rPr>
      </w:pPr>
      <w:r>
        <w:rPr>
          <w:sz w:val="24"/>
          <w:szCs w:val="24"/>
        </w:rPr>
      </w:r>
    </w:p>
    <w:p>
      <w:pPr>
        <w:pStyle w:val="Normal"/>
        <w:ind w:left="851" w:hanging="0"/>
        <w:rPr>
          <w:b/>
        </w:rPr>
      </w:pPr>
      <w:r>
        <w:rPr>
          <w:sz w:val="24"/>
          <w:szCs w:val="24"/>
        </w:rPr>
      </w:r>
    </w:p>
    <w:p>
      <w:pPr>
        <w:pStyle w:val="Normal"/>
        <w:ind w:left="851" w:hanging="0"/>
        <w:rPr>
          <w:b/>
        </w:rPr>
      </w:pPr>
      <w:r>
        <w:rPr>
          <w:sz w:val="24"/>
          <w:szCs w:val="24"/>
        </w:rPr>
      </w:r>
    </w:p>
    <w:p>
      <w:pPr>
        <w:pStyle w:val="Normal"/>
        <w:ind w:left="851" w:hanging="0"/>
        <w:rPr>
          <w:b/>
        </w:rPr>
      </w:pPr>
      <w:r>
        <w:rPr>
          <w:sz w:val="24"/>
          <w:szCs w:val="24"/>
        </w:rPr>
      </w:r>
    </w:p>
    <w:p>
      <w:pPr>
        <w:pStyle w:val="Normal"/>
        <w:ind w:left="851" w:hanging="0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r>
        <w:rPr>
          <w:b/>
          <w:color w:val="000000"/>
          <w:sz w:val="24"/>
          <w:szCs w:val="24"/>
          <w:lang w:eastAsia="x-none"/>
        </w:rPr>
        <w:t>Требования к качеству продукции</w:t>
      </w:r>
    </w:p>
    <w:p>
      <w:pPr>
        <w:pStyle w:val="Normal"/>
        <w:spacing w:lineRule="auto" w:line="252" w:before="12" w:after="140"/>
        <w:ind w:left="208" w:right="294" w:firstLine="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Таблица 2.3. Требования к продукции </w:t>
      </w:r>
    </w:p>
    <w:p>
      <w:pPr>
        <w:pStyle w:val="Normal"/>
        <w:spacing w:lineRule="auto" w:line="252" w:before="12" w:after="0"/>
        <w:ind w:left="208" w:right="294" w:firstLine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продукции: </w:t>
      </w:r>
      <w:r>
        <w:rPr>
          <w:bCs/>
          <w:iCs/>
          <w:sz w:val="24"/>
          <w:szCs w:val="24"/>
          <w:lang w:eastAsia="ar-SA"/>
        </w:rPr>
        <w:t>согласно Таблицы 2.1 «Перечень и объем закупаемой продукции»</w:t>
      </w:r>
    </w:p>
    <w:tbl>
      <w:tblPr>
        <w:tblpPr w:bottomFromText="0" w:horzAnchor="text" w:leftFromText="181" w:rightFromText="181" w:tblpX="0" w:tblpXSpec="center" w:tblpY="1" w:topFromText="0" w:vertAnchor="text"/>
        <w:tblW w:w="95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8"/>
        <w:gridCol w:w="1696"/>
        <w:gridCol w:w="50"/>
        <w:gridCol w:w="7321"/>
      </w:tblGrid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 представлены в Таблице №2.1 настоящих ТТ «Перечень и объем закупаемой продукции»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2" w:right="-126" w:hanging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4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РФ, 445351, Самарская область, г. Жигулевск, территория Жигулевская ГЭС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2" w:right="-126" w:hanging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2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продукции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Только в рабочие дни с 9-00 до 11-00 и с 14-00 до 16-00</w:t>
            </w:r>
          </w:p>
        </w:tc>
      </w:tr>
      <w:tr>
        <w:trPr>
          <w:trHeight w:val="56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2" w:right="-126" w:hanging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на территорию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078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Документы, передаваемые вместе с продукцией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14" w:leader="none"/>
              </w:tabs>
              <w:suppressAutoHyphens w:val="false"/>
              <w:spacing w:before="0" w:after="0"/>
              <w:ind w:left="31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14" w:leader="none"/>
              </w:tabs>
              <w:suppressAutoHyphens w:val="false"/>
              <w:spacing w:before="0" w:after="0"/>
              <w:ind w:left="31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технические паспорта;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14" w:leader="none"/>
              </w:tabs>
              <w:suppressAutoHyphens w:val="false"/>
              <w:spacing w:before="0" w:after="0"/>
              <w:ind w:left="31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14" w:leader="none"/>
              </w:tabs>
              <w:suppressAutoHyphens w:val="false"/>
              <w:spacing w:before="0" w:after="0"/>
              <w:ind w:left="31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товарную накладную унифицированной формы ТОРГ-12(УПД) в 2 экз.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val="en-US" w:eastAsia="x-none"/>
              </w:rPr>
              <w:t>Гарантийный срок хранения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eastAsia="x-none"/>
              </w:rPr>
              <w:t xml:space="preserve">Общий срок гарантийного хранения 12 месяцев от даты изготовления, остаточный  срок гарантийного хранения не менее 2/3 от общего срока гарантийного хранения </w:t>
            </w:r>
            <w:bookmarkStart w:id="17" w:name="_GoBack_Копия_1"/>
            <w:bookmarkEnd w:id="17"/>
            <w:r>
              <w:rPr>
                <w:rFonts w:cs="Times New Roman"/>
                <w:b/>
                <w:sz w:val="24"/>
                <w:szCs w:val="24"/>
                <w:lang w:eastAsia="x-none"/>
              </w:rPr>
              <w:t>на момент поставки товара на склад покупателя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Продукция должна быть новой, ранее не использовавшейся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pStyle w:val="Normal"/>
        <w:spacing w:lineRule="auto" w:line="252" w:before="12" w:after="0"/>
        <w:ind w:right="29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color w:val="000000"/>
          <w:w w:val="105"/>
          <w:sz w:val="24"/>
          <w:szCs w:val="24"/>
        </w:rPr>
      </w:pPr>
      <w:r>
        <w:rPr>
          <w:color w:val="000000"/>
          <w:w w:val="105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Calibri" w:cs="Times New Roman"/>
          <w:b/>
          <w:sz w:val="24"/>
          <w:szCs w:val="24"/>
          <w:lang w:eastAsia="x-none"/>
        </w:rPr>
        <w:t>3. Требования к документации по ценообразованию на этапе закупки</w:t>
      </w:r>
    </w:p>
    <w:p>
      <w:pPr>
        <w:pStyle w:val="Normal"/>
        <w:numPr>
          <w:ilvl w:val="1"/>
          <w:numId w:val="12"/>
        </w:numPr>
        <w:suppressAutoHyphens w:val="false"/>
        <w:spacing w:before="0" w:after="0"/>
        <w:ind w:firstLine="284"/>
        <w:contextualSpacing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18" w:name="_Hlk88325985_Копия_1"/>
      <w:r>
        <w:rPr>
          <w:rFonts w:eastAsia="Calibri" w:cs="Times New Roman"/>
          <w:sz w:val="24"/>
          <w:szCs w:val="24"/>
          <w:lang w:eastAsia="x-none"/>
        </w:rPr>
        <w:t>(с учетом прилагаемой к ней инструкции по заполнению)</w:t>
      </w:r>
      <w:bookmarkEnd w:id="18"/>
      <w:r>
        <w:rPr>
          <w:rFonts w:eastAsia="Calibri" w:cs="Times New Roman"/>
          <w:sz w:val="24"/>
          <w:szCs w:val="24"/>
          <w:lang w:eastAsia="x-none"/>
        </w:rPr>
        <w:t>, приведенной в Документации о закупке.</w:t>
      </w:r>
      <w:bookmarkStart w:id="19" w:name="_Hlk88327292_Копия_1"/>
    </w:p>
    <w:p>
      <w:pPr>
        <w:pStyle w:val="Normal"/>
        <w:numPr>
          <w:ilvl w:val="1"/>
          <w:numId w:val="13"/>
        </w:numPr>
        <w:suppressAutoHyphens w:val="false"/>
        <w:spacing w:before="0" w:after="0"/>
        <w:ind w:firstLine="284"/>
        <w:contextualSpacing/>
        <w:rPr>
          <w:sz w:val="24"/>
          <w:szCs w:val="24"/>
        </w:rPr>
      </w:pPr>
      <w:r>
        <w:rPr>
          <w:rFonts w:eastAsia="Calibri" w:cs="Times New Roman"/>
          <w:sz w:val="24"/>
          <w:szCs w:val="24"/>
          <w:lang w:eastAsia="x-none"/>
        </w:rPr>
        <w:t>Дополнительные документы по ценообразованию</w:t>
      </w:r>
      <w:bookmarkEnd w:id="19"/>
      <w:r>
        <w:rPr>
          <w:rFonts w:eastAsia="Calibri" w:cs="Times New Roman"/>
          <w:sz w:val="24"/>
          <w:szCs w:val="24"/>
          <w:lang w:eastAsia="x-none"/>
        </w:rPr>
        <w:t xml:space="preserve"> в состав заявки не включаются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Lines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>
          <w:rStyle w:val="Strong"/>
          <w:b w:val="false"/>
          <w:w w:val="105"/>
          <w:sz w:val="24"/>
          <w:szCs w:val="24"/>
        </w:rPr>
        <w:t xml:space="preserve">Начальник цеха ГТС                 </w:t>
      </w:r>
      <w:r>
        <w:rPr>
          <w:rStyle w:val="Strong"/>
          <w:b w:val="false"/>
          <w:w w:val="105"/>
          <w:sz w:val="24"/>
          <w:szCs w:val="24"/>
          <w:u w:val="single"/>
        </w:rPr>
        <w:t xml:space="preserve">                                                  </w:t>
      </w:r>
      <w:r>
        <w:rPr>
          <w:rStyle w:val="Strong"/>
          <w:b w:val="false"/>
          <w:w w:val="105"/>
          <w:sz w:val="24"/>
          <w:szCs w:val="24"/>
        </w:rPr>
        <w:t xml:space="preserve">                    К.В. Сенчев</w:t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color w:val="000000"/>
          <w:w w:val="105"/>
          <w:sz w:val="24"/>
          <w:szCs w:val="24"/>
        </w:rPr>
      </w:pPr>
      <w:r>
        <w:rPr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color w:val="000000"/>
          <w:w w:val="105"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93987373"/>
    </w:sdtPr>
    <w:sdtContent>
      <w:p>
        <w:pPr>
          <w:pStyle w:val="Footer"/>
          <w:jc w:val="center"/>
          <w:rPr>
            <w:b/>
            <w:bCs/>
            <w:sz w:val="24"/>
            <w:szCs w:val="24"/>
          </w:rPr>
        </w:pPr>
        <w:r>
          <w:rPr>
            <w:b/>
            <w:bCs/>
            <w:sz w:val="24"/>
            <w:szCs w:val="24"/>
          </w:rPr>
        </w:r>
      </w:p>
      <w:p>
        <w:pPr>
          <w:pStyle w:val="Footer"/>
          <w:rPr>
            <w:sz w:val="24"/>
            <w:szCs w:val="24"/>
          </w:rPr>
        </w:pPr>
        <w:r>
          <w:rPr>
            <w:sz w:val="24"/>
            <w:szCs w:val="24"/>
          </w:rPr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bullet"/>
      <w:lvlText w:val="*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9"/>
    <w:lvlOverride w:ilvl="0">
      <w:startOverride w:val="3"/>
    </w:lvlOverride>
    <w:lvlOverride w:ilvl="1">
      <w:startOverride w:val="1"/>
    </w:lvlOverride>
  </w:num>
  <w:num w:numId="13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20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basedOn w:val="DefaultParagraphFont"/>
    <w:uiPriority w:val="99"/>
    <w:semiHidden/>
    <w:unhideWhenUsed/>
    <w:qFormat/>
    <w:rsid w:val="00917def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6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5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2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0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C-gruppedpropsprop-value" w:customStyle="1">
    <w:name w:val="c-gruppedprops__prop-value"/>
    <w:basedOn w:val="DefaultParagraphFont"/>
    <w:qFormat/>
    <w:rsid w:val="003f318e"/>
    <w:rPr/>
  </w:style>
  <w:style w:type="character" w:styleId="Label" w:customStyle="1">
    <w:name w:val="label"/>
    <w:basedOn w:val="DefaultParagraphFont"/>
    <w:qFormat/>
    <w:rsid w:val="00e57f3c"/>
    <w:rPr/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20" w:customStyle="1">
    <w:name w:val="Раздел положения"/>
    <w:basedOn w:val="Normal"/>
    <w:autoRedefine/>
    <w:qFormat/>
    <w:rsid w:val="00734d42"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1" w:customStyle="1">
    <w:name w:val="Подраздел раздела положения"/>
    <w:basedOn w:val="Normal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2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3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5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6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5" w:customStyle="1">
    <w:name w:val="Подпункт"/>
    <w:basedOn w:val="Normal"/>
    <w:link w:val="12"/>
    <w:qFormat/>
    <w:rsid w:val="00cd6e45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6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7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8" w:customStyle="1">
    <w:name w:val="Знак Знак Знак Знак Знак Знак Знак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29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0" w:customStyle="1">
    <w:name w:val="Пункт"/>
    <w:basedOn w:val="Normal"/>
    <w:qFormat/>
    <w:rsid w:val="00cd6e45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8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1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2" w:customStyle="1">
    <w:name w:val="Подподпункт"/>
    <w:basedOn w:val="Style25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cd6e45"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cd6e45"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0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6" w:customStyle="1">
    <w:name w:val="Знак Знак Знак Знак"/>
    <w:basedOn w:val="Normal"/>
    <w:qFormat/>
    <w:rsid w:val="00b736b0"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20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20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1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7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8" w:customStyle="1">
    <w:name w:val="Подпункт договора"/>
    <w:basedOn w:val="Normal"/>
    <w:qFormat/>
    <w:rsid w:val="00cd6e45"/>
    <w:pPr>
      <w:tabs>
        <w:tab w:val="clear" w:pos="720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39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2" w:customStyle="1">
    <w:name w:val="Знак Знак Знак Знак1"/>
    <w:basedOn w:val="Normal"/>
    <w:qFormat/>
    <w:rsid w:val="002d6799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rsid w:val="00ef1440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rsid w:val="00674776"/>
    <w:pPr>
      <w:suppressAutoHyphens w:val="false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c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5AFE3-30B0-4155-B17D-DDB7C543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13436</TotalTime>
  <Application>AlterOffice/3.4.0.9$Linux_X86_64 LibreOffice_project/b8daf9e823b1a5463a2f48435ddc2e8696e7d4fc</Application>
  <AppVersion>15.0000</AppVersion>
  <Pages>6</Pages>
  <Words>1060</Words>
  <Characters>6813</Characters>
  <CharactersWithSpaces>7804</CharactersWithSpaces>
  <Paragraphs>322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2023-12-08T06:27:00Z</dcterms:created>
  <dc:creator>Попадьина Светлана Алексеевна</dc:creator>
  <dc:description/>
  <dc:language>ru-RU</dc:language>
  <cp:lastModifiedBy/>
  <cp:lastPrinted>2025-12-08T14:52:11Z</cp:lastPrinted>
  <dcterms:modified xsi:type="dcterms:W3CDTF">2026-08-03T15:54:38Z</dcterms:modified>
  <cp:revision>249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