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9856287"/>
      <w:bookmarkStart w:id="1" w:name="_Toc137554584"/>
      <w:bookmarkStart w:id="2" w:name="_Toc141696704"/>
      <w:bookmarkStart w:id="3" w:name="_Toc139856287"/>
      <w:bookmarkStart w:id="4" w:name="_Toc137554584"/>
      <w:bookmarkStart w:id="5" w:name="_Toc141696704"/>
      <w:bookmarkEnd w:id="3"/>
      <w:bookmarkEnd w:id="4"/>
      <w:bookmarkEnd w:id="5"/>
    </w:p>
    <w:p>
      <w:pPr>
        <w:pStyle w:val="Normal"/>
        <w:widowControl w:val="false"/>
        <w:jc w:val="both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left="0" w:right="0" w:firstLine="709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«ОКПД 2: 38.21.29 Оказание услуг по обращению с отходами 4 класса опасности, а именно утилизация утративших потребительские свойства, не подлежащих ремонту и восстановлению оргтехники, образующихся при осуществлении производственного процесса АО «ВНИИГ им. Б.Е. Веденеева»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widowControl w:val="false"/>
        <w:jc w:val="both"/>
        <w:rPr>
          <w:b/>
          <w:b/>
        </w:rPr>
      </w:pPr>
      <w:r>
        <w:rPr>
          <w:b/>
        </w:rPr>
        <w:t>СОДЕРЖАНИЕ</w:t>
      </w:r>
      <w:bookmarkStart w:id="6" w:name="_GoBack"/>
      <w:bookmarkEnd w:id="6"/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6"/>
            <w:tabs>
              <w:tab w:val="clear" w:pos="708"/>
              <w:tab w:val="left" w:pos="560" w:leader="none"/>
              <w:tab w:val="right" w:pos="9627" w:leader="dot"/>
            </w:tabs>
            <w:rPr/>
          </w:pPr>
          <w:r>
            <w:fldChar w:fldCharType="begin"/>
          </w:r>
          <w:r>
            <w:rPr>
              <w:vanish w:val="false"/>
              <w:rFonts w:eastAsia="Calibri"/>
            </w:rPr>
            <w:instrText> TOC \o "1-4" \h</w:instrText>
          </w:r>
          <w:r>
            <w:rPr>
              <w:vanish w:val="false"/>
              <w:rFonts w:eastAsia="Calibri"/>
            </w:rPr>
            <w:fldChar w:fldCharType="separate"/>
          </w:r>
          <w:hyperlink w:anchor="_Toc193800996">
            <w:r>
              <w:rPr>
                <w:rFonts w:eastAsia="Calibri"/>
                <w:vanish w:val="false"/>
              </w:rPr>
              <w:t>1.</w:t>
            </w:r>
          </w:hyperlink>
          <w:hyperlink w:anchor="_Toc19380099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_Toc193800996 \h</w:instrText>
            </w:r>
            <w:r>
              <w:rPr>
                <w:webHidden/>
              </w:rPr>
              <w:fldChar w:fldCharType="separate"/>
            </w:r>
            <w:r>
              <w:rPr>
                <w:rFonts w:eastAsia="新細明體" w:cs="Arial" w:ascii="Calibri" w:hAnsi="Calibr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9380099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_Toc193800996 \h</w:instrText>
            </w:r>
            <w:r>
              <w:rPr>
                <w:webHidden/>
              </w:rPr>
              <w:fldChar w:fldCharType="separate"/>
            </w:r>
            <w:r>
              <w:rPr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end"/>
            </w:r>
          </w:hyperlink>
          <w:hyperlink w:anchor="_Toc19380099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_Toc193800996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rPr/>
          </w:pPr>
          <w:hyperlink w:anchor="_Toc193800997">
            <w:r>
              <w:rPr>
                <w:rFonts w:eastAsia="Calibri"/>
                <w:iCs/>
                <w:vanish w:val="false"/>
                <w:lang w:val="en-US"/>
              </w:rPr>
              <w:t>1.1.</w:t>
            </w:r>
          </w:hyperlink>
          <w:hyperlink w:anchor="_Toc19380099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_Toc193800997 \h</w:instrText>
            </w:r>
            <w:r>
              <w:rPr>
                <w:webHidden/>
              </w:rPr>
              <w:fldChar w:fldCharType="separate"/>
            </w:r>
            <w:r>
              <w:rPr>
                <w:rFonts w:eastAsia="新細明體" w:cs="Arial" w:ascii="Calibri" w:hAnsi="Calibri"/>
                <w:sz w:val="22"/>
                <w:szCs w:val="22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9380099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_Toc193800997 \h</w:instrText>
            </w:r>
            <w:r>
              <w:rPr>
                <w:webHidden/>
              </w:rPr>
              <w:fldChar w:fldCharType="separate"/>
            </w:r>
            <w:r>
              <w:rPr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end"/>
            </w:r>
          </w:hyperlink>
          <w:hyperlink w:anchor="_Toc19380099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_Toc193800997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rPr/>
          </w:pPr>
          <w:hyperlink w:anchor="_Toc193800998">
            <w:r>
              <w:rPr>
                <w:rFonts w:eastAsia="Calibri"/>
                <w:iCs/>
                <w:vanish w:val="false"/>
              </w:rPr>
              <w:t>1.2.</w:t>
            </w:r>
          </w:hyperlink>
          <w:hyperlink w:anchor="_Toc19380099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_Toc193800998 \h</w:instrText>
            </w:r>
            <w:r>
              <w:rPr>
                <w:webHidden/>
              </w:rPr>
              <w:fldChar w:fldCharType="separate"/>
            </w:r>
            <w:r>
              <w:rPr>
                <w:rFonts w:eastAsia="新細明體" w:cs="Arial" w:ascii="Calibri" w:hAnsi="Calibri"/>
                <w:sz w:val="22"/>
                <w:szCs w:val="22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9380099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_Toc193800998 \h</w:instrText>
            </w:r>
            <w:r>
              <w:rPr>
                <w:webHidden/>
              </w:rPr>
              <w:fldChar w:fldCharType="separate"/>
            </w:r>
            <w:r>
              <w:rPr>
                <w:rFonts w:eastAsia="Calibri"/>
              </w:rPr>
              <w:t>Цель оказания услуг</w:t>
            </w:r>
            <w:r>
              <w:rPr>
                <w:webHidden/>
              </w:rPr>
              <w:fldChar w:fldCharType="end"/>
            </w:r>
          </w:hyperlink>
          <w:hyperlink w:anchor="_Toc19380099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_Toc193800998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rPr/>
          </w:pPr>
          <w:hyperlink w:anchor="_Toc193800999">
            <w:r>
              <w:rPr>
                <w:rFonts w:eastAsia="Calibri"/>
                <w:iCs/>
                <w:vanish w:val="false"/>
              </w:rPr>
              <w:t>1.3.</w:t>
            </w:r>
          </w:hyperlink>
          <w:hyperlink w:anchor="_Toc1938009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_Toc193800999 \h</w:instrText>
            </w:r>
            <w:r>
              <w:rPr>
                <w:webHidden/>
              </w:rPr>
              <w:fldChar w:fldCharType="separate"/>
            </w:r>
            <w:r>
              <w:rPr>
                <w:rFonts w:eastAsia="新細明體" w:cs="Arial" w:ascii="Calibri" w:hAnsi="Calibri"/>
                <w:sz w:val="22"/>
                <w:szCs w:val="22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938009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_Toc193800999 \h</w:instrText>
            </w:r>
            <w:r>
              <w:rPr>
                <w:webHidden/>
              </w:rPr>
              <w:fldChar w:fldCharType="separate"/>
            </w:r>
            <w:r>
              <w:rPr>
                <w:rFonts w:eastAsia="Calibri"/>
              </w:rPr>
              <w:t>Существующее положение</w:t>
            </w:r>
            <w:r>
              <w:rPr>
                <w:webHidden/>
              </w:rPr>
              <w:fldChar w:fldCharType="end"/>
            </w:r>
          </w:hyperlink>
          <w:hyperlink w:anchor="_Toc1938009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_Toc193800999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rPr/>
          </w:pPr>
          <w:hyperlink w:anchor="_Toc193801000">
            <w:r>
              <w:rPr>
                <w:rFonts w:eastAsia="Calibri"/>
                <w:iCs/>
                <w:vanish w:val="false"/>
              </w:rPr>
              <w:t>1.4.</w:t>
            </w:r>
          </w:hyperlink>
          <w:hyperlink w:anchor="_Toc19380100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_Toc193801000 \h</w:instrText>
            </w:r>
            <w:r>
              <w:rPr>
                <w:webHidden/>
              </w:rPr>
              <w:fldChar w:fldCharType="separate"/>
            </w:r>
            <w:r>
              <w:rPr>
                <w:rFonts w:eastAsia="新細明體" w:cs="Arial" w:ascii="Calibri" w:hAnsi="Calibri"/>
                <w:sz w:val="22"/>
                <w:szCs w:val="22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9380100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_Toc193801000 \h</w:instrText>
            </w:r>
            <w:r>
              <w:rPr>
                <w:webHidden/>
              </w:rPr>
              <w:fldChar w:fldCharType="separate"/>
            </w:r>
            <w:r>
              <w:rPr>
                <w:rFonts w:eastAsia="Calibri"/>
              </w:rPr>
              <w:t>Таблица 1. Перечень объектов заказчика.</w:t>
            </w:r>
            <w:r>
              <w:rPr>
                <w:webHidden/>
              </w:rPr>
              <w:fldChar w:fldCharType="end"/>
            </w:r>
          </w:hyperlink>
          <w:hyperlink w:anchor="_Toc19380100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_Toc193801000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6"/>
            <w:tabs>
              <w:tab w:val="clear" w:pos="708"/>
              <w:tab w:val="left" w:pos="560" w:leader="none"/>
              <w:tab w:val="right" w:pos="9627" w:leader="dot"/>
            </w:tabs>
            <w:rPr/>
          </w:pPr>
          <w:hyperlink w:anchor="_Toc193801001">
            <w:r>
              <w:rPr>
                <w:rFonts w:eastAsia="Calibri"/>
                <w:vanish w:val="false"/>
              </w:rPr>
              <w:t>2.</w:t>
            </w:r>
          </w:hyperlink>
          <w:hyperlink w:anchor="_Toc19380100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_Toc193801001 \h</w:instrText>
            </w:r>
            <w:r>
              <w:rPr>
                <w:webHidden/>
              </w:rPr>
              <w:fldChar w:fldCharType="separate"/>
            </w:r>
            <w:r>
              <w:rPr>
                <w:rFonts w:eastAsia="新細明體" w:cs="Arial" w:ascii="Calibri" w:hAnsi="Calibr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9380100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_Toc193801001 \h</w:instrText>
            </w:r>
            <w:r>
              <w:rPr>
                <w:webHidden/>
              </w:rPr>
              <w:fldChar w:fldCharType="separate"/>
            </w:r>
            <w:r>
              <w:rPr>
                <w:rFonts w:eastAsia="Calibri"/>
              </w:rPr>
              <w:t>Требования к продукции</w:t>
            </w:r>
            <w:r>
              <w:rPr>
                <w:webHidden/>
              </w:rPr>
              <w:fldChar w:fldCharType="end"/>
            </w:r>
          </w:hyperlink>
          <w:hyperlink w:anchor="_Toc19380100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_Toc193801001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rPr/>
          </w:pPr>
          <w:hyperlink w:anchor="_Toc193801002">
            <w:r>
              <w:rPr>
                <w:rFonts w:eastAsia="Calibri"/>
                <w:iCs/>
                <w:vanish w:val="false"/>
              </w:rPr>
              <w:t>2.1.</w:t>
            </w:r>
          </w:hyperlink>
          <w:hyperlink w:anchor="_Toc19380100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_Toc193801002 \h</w:instrText>
            </w:r>
            <w:r>
              <w:rPr>
                <w:webHidden/>
              </w:rPr>
              <w:fldChar w:fldCharType="separate"/>
            </w:r>
            <w:r>
              <w:rPr>
                <w:rFonts w:eastAsia="新細明體" w:cs="Arial" w:ascii="Calibri" w:hAnsi="Calibri"/>
                <w:sz w:val="22"/>
                <w:szCs w:val="22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9380100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_Toc193801002 \h</w:instrText>
            </w:r>
            <w:r>
              <w:rPr>
                <w:webHidden/>
              </w:rPr>
              <w:fldChar w:fldCharType="separate"/>
            </w:r>
            <w:r>
              <w:rPr>
                <w:rFonts w:eastAsia="Calibri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end"/>
            </w:r>
          </w:hyperlink>
          <w:hyperlink w:anchor="_Toc19380100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_Toc193801002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4"/>
            <w:tabs>
              <w:tab w:val="clear" w:pos="708"/>
              <w:tab w:val="left" w:pos="1120" w:leader="none"/>
              <w:tab w:val="right" w:pos="9627" w:leader="dot"/>
            </w:tabs>
            <w:rPr/>
          </w:pPr>
          <w:hyperlink w:anchor="_Toc193801003">
            <w:r>
              <w:rPr>
                <w:rFonts w:eastAsia="Calibri"/>
                <w:vanish w:val="false"/>
              </w:rPr>
              <w:t>2.1.1.</w:t>
            </w:r>
          </w:hyperlink>
          <w:hyperlink w:anchor="_Toc19380100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_Toc193801003 \h</w:instrText>
            </w:r>
            <w:r>
              <w:rPr>
                <w:webHidden/>
              </w:rPr>
              <w:fldChar w:fldCharType="separate"/>
            </w:r>
            <w:r>
              <w:rPr>
                <w:rFonts w:eastAsia="新細明體" w:cs="Arial" w:ascii="Calibri" w:hAnsi="Calibri"/>
                <w:sz w:val="22"/>
                <w:szCs w:val="22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9380100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_Toc193801003 \h</w:instrText>
            </w:r>
            <w:r>
              <w:rPr>
                <w:webHidden/>
              </w:rPr>
              <w:fldChar w:fldCharType="separate"/>
            </w:r>
            <w:r>
              <w:rPr>
                <w:rFonts w:eastAsia="Calibri"/>
              </w:rPr>
              <w:t>Требования к перечню и объему услуг</w:t>
            </w:r>
            <w:r>
              <w:rPr>
                <w:webHidden/>
              </w:rPr>
              <w:fldChar w:fldCharType="end"/>
            </w:r>
          </w:hyperlink>
          <w:hyperlink w:anchor="_Toc19380100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_Toc193801003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6"/>
            <w:tabs>
              <w:tab w:val="clear" w:pos="708"/>
              <w:tab w:val="right" w:pos="9627" w:leader="dot"/>
            </w:tabs>
            <w:rPr/>
          </w:pPr>
          <w:hyperlink w:anchor="_Toc193801004">
            <w:r>
              <w:rPr>
                <w:rFonts w:eastAsia="Calibri"/>
                <w:vanish w:val="false"/>
              </w:rPr>
              <w:t>Таблица 2. Перечень и объем оказываемых услуг</w:t>
            </w:r>
          </w:hyperlink>
          <w:hyperlink w:anchor="_Toc19380100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_Toc193801004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4"/>
            <w:tabs>
              <w:tab w:val="clear" w:pos="708"/>
              <w:tab w:val="left" w:pos="1120" w:leader="none"/>
              <w:tab w:val="right" w:pos="9627" w:leader="dot"/>
            </w:tabs>
            <w:rPr/>
          </w:pPr>
          <w:hyperlink w:anchor="_Toc193801005">
            <w:r>
              <w:rPr>
                <w:rFonts w:eastAsia="Calibri"/>
                <w:vanish w:val="false"/>
              </w:rPr>
              <w:t>2.1.2.</w:t>
            </w:r>
          </w:hyperlink>
          <w:hyperlink w:anchor="_Toc1938010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_Toc193801005 \h</w:instrText>
            </w:r>
            <w:r>
              <w:rPr>
                <w:webHidden/>
              </w:rPr>
              <w:fldChar w:fldCharType="separate"/>
            </w:r>
            <w:r>
              <w:rPr>
                <w:rFonts w:eastAsia="新細明體" w:cs="Arial" w:ascii="Calibri" w:hAnsi="Calibri"/>
                <w:sz w:val="22"/>
                <w:szCs w:val="22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938010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_Toc193801005 \h</w:instrText>
            </w:r>
            <w:r>
              <w:rPr>
                <w:webHidden/>
              </w:rPr>
              <w:fldChar w:fldCharType="separate"/>
            </w:r>
            <w:r>
              <w:rPr>
                <w:rFonts w:eastAsia="Calibri"/>
              </w:rPr>
              <w:t>Требования к срокам оказания услуг</w:t>
            </w:r>
            <w:r>
              <w:rPr>
                <w:webHidden/>
              </w:rPr>
              <w:fldChar w:fldCharType="end"/>
            </w:r>
          </w:hyperlink>
          <w:hyperlink w:anchor="_Toc1938010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_Toc193801005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6"/>
            <w:tabs>
              <w:tab w:val="clear" w:pos="708"/>
              <w:tab w:val="right" w:pos="9627" w:leader="dot"/>
            </w:tabs>
            <w:rPr/>
          </w:pPr>
          <w:hyperlink w:anchor="_Toc193801006">
            <w:r>
              <w:rPr>
                <w:rFonts w:eastAsia="Calibri"/>
                <w:vanish w:val="false"/>
              </w:rPr>
              <w:t>Таблица 3. Требования к срокам оказания услуг</w:t>
            </w:r>
          </w:hyperlink>
          <w:hyperlink w:anchor="_Toc19380100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_Toc193801006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rPr/>
          </w:pPr>
          <w:hyperlink w:anchor="_Toc193801007">
            <w:r>
              <w:rPr>
                <w:rFonts w:eastAsia="Calibri"/>
                <w:iCs/>
                <w:vanish w:val="false"/>
              </w:rPr>
              <w:t>2.2.</w:t>
            </w:r>
          </w:hyperlink>
          <w:hyperlink w:anchor="_Toc19380100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_Toc193801007 \h</w:instrText>
            </w:r>
            <w:r>
              <w:rPr>
                <w:webHidden/>
              </w:rPr>
              <w:fldChar w:fldCharType="separate"/>
            </w:r>
            <w:r>
              <w:rPr>
                <w:rFonts w:eastAsia="新細明體" w:cs="Arial" w:ascii="Calibri" w:hAnsi="Calibri"/>
                <w:sz w:val="22"/>
                <w:szCs w:val="22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9380100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_Toc193801007 \h</w:instrText>
            </w:r>
            <w:r>
              <w:rPr>
                <w:webHidden/>
              </w:rPr>
              <w:fldChar w:fldCharType="separate"/>
            </w:r>
            <w:r>
              <w:rPr>
                <w:rFonts w:eastAsia="Calibri"/>
              </w:rPr>
              <w:t>Требования к качеству услуг</w:t>
            </w:r>
            <w:r>
              <w:rPr>
                <w:webHidden/>
              </w:rPr>
              <w:fldChar w:fldCharType="end"/>
            </w:r>
          </w:hyperlink>
          <w:hyperlink w:anchor="_Toc19380100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_Toc193801007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6"/>
            <w:tabs>
              <w:tab w:val="clear" w:pos="708"/>
              <w:tab w:val="right" w:pos="9627" w:leader="dot"/>
            </w:tabs>
            <w:rPr/>
          </w:pPr>
          <w:hyperlink w:anchor="_Toc193801008">
            <w:r>
              <w:rPr>
                <w:rFonts w:eastAsia="Calibri"/>
                <w:vanish w:val="false"/>
              </w:rPr>
              <w:t>Таблица 4. Требования к качеству услуг</w:t>
            </w:r>
          </w:hyperlink>
          <w:hyperlink w:anchor="_Toc19380100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_Toc193801008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6"/>
            <w:tabs>
              <w:tab w:val="clear" w:pos="708"/>
              <w:tab w:val="right" w:pos="9627" w:leader="dot"/>
            </w:tabs>
            <w:rPr/>
          </w:pPr>
          <w:hyperlink w:anchor="_Toc193801009">
            <w:r>
              <w:rPr>
                <w:rFonts w:eastAsia="Calibri"/>
                <w:vanish w:val="false"/>
              </w:rPr>
              <w:t>Таблица 5. Список оргтехники на утилизацию</w:t>
            </w:r>
          </w:hyperlink>
          <w:hyperlink w:anchor="_Toc19380100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_Toc193801009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vanish w:val="false"/>
            </w:rPr>
            <w:fldChar w:fldCharType="end"/>
          </w:r>
        </w:p>
      </w:sdtContent>
    </w:sdt>
    <w:p>
      <w:pPr>
        <w:pStyle w:val="16"/>
        <w:tabs>
          <w:tab w:val="clear" w:pos="708"/>
          <w:tab w:val="right" w:pos="9627" w:leader="dot"/>
        </w:tabs>
        <w:rPr>
          <w:rFonts w:ascii="Calibri" w:hAnsi="Calibri" w:eastAsia="新細明體" w:cs="Arial"/>
          <w:b w:val="false"/>
          <w:b w:val="false"/>
          <w:bCs w:val="false"/>
          <w:sz w:val="22"/>
          <w:szCs w:val="22"/>
        </w:rPr>
      </w:pPr>
      <w:r>
        <w:rPr>
          <w:rFonts w:eastAsia="新細明體" w:cs="Arial" w:ascii="Calibri" w:hAnsi="Calibri"/>
          <w:b w:val="false"/>
          <w:bCs w:val="false"/>
          <w:sz w:val="22"/>
          <w:szCs w:val="22"/>
        </w:rPr>
      </w:r>
    </w:p>
    <w:p>
      <w:pPr>
        <w:pStyle w:val="2"/>
        <w:tabs>
          <w:tab w:val="clear" w:pos="0"/>
        </w:tabs>
        <w:ind w:left="0" w:right="0" w:hanging="0"/>
        <w:rPr/>
      </w:pPr>
      <w:r>
        <w:rPr/>
      </w:r>
    </w:p>
    <w:p>
      <w:pPr>
        <w:pStyle w:val="Normal"/>
        <w:widowControl w:val="false"/>
        <w:jc w:val="both"/>
        <w:rPr>
          <w:rFonts w:cs="Calibri Light (Заголовки)"/>
          <w:bCs/>
          <w:i/>
          <w:i/>
          <w:sz w:val="24"/>
          <w:szCs w:val="24"/>
        </w:rPr>
      </w:pPr>
      <w:r>
        <w:rPr>
          <w:rFonts w:cs="Calibri Light (Заголовки)"/>
          <w:bCs/>
          <w:i/>
          <w:sz w:val="24"/>
          <w:szCs w:val="24"/>
        </w:rPr>
      </w:r>
      <w:r>
        <w:br w:type="page"/>
      </w:r>
    </w:p>
    <w:p>
      <w:pPr>
        <w:pStyle w:val="1"/>
        <w:ind w:left="4253" w:right="0" w:hanging="505"/>
        <w:rPr/>
      </w:pPr>
      <w:bookmarkStart w:id="7" w:name="_Toc193800996"/>
      <w:r>
        <w:rPr/>
        <w:t>Общие сведения</w:t>
      </w:r>
      <w:bookmarkEnd w:id="7"/>
    </w:p>
    <w:p>
      <w:pPr>
        <w:pStyle w:val="4"/>
        <w:numPr>
          <w:ilvl w:val="1"/>
          <w:numId w:val="10"/>
        </w:numPr>
        <w:ind w:left="574" w:right="0" w:hanging="505"/>
        <w:rPr/>
      </w:pPr>
      <w:bookmarkStart w:id="8" w:name="_Toc46743506"/>
      <w:bookmarkStart w:id="9" w:name="_Toc148965729"/>
      <w:bookmarkStart w:id="10" w:name="_Toc193800997"/>
      <w:bookmarkStart w:id="11" w:name="_Toc148965719"/>
      <w:bookmarkStart w:id="12" w:name="_Toc148966116"/>
      <w:bookmarkStart w:id="13" w:name="_Toc148966232"/>
      <w:bookmarkStart w:id="14" w:name="_Toc148965720"/>
      <w:bookmarkStart w:id="15" w:name="_Toc148966117"/>
      <w:bookmarkStart w:id="16" w:name="_Toc148965721"/>
      <w:bookmarkStart w:id="17" w:name="_Toc148966118"/>
      <w:bookmarkStart w:id="18" w:name="_Toc148966234"/>
      <w:bookmarkStart w:id="19" w:name="_Toc148965724"/>
      <w:bookmarkStart w:id="20" w:name="_Toc148966237"/>
      <w:bookmarkStart w:id="21" w:name="_Toc148965727"/>
      <w:bookmarkStart w:id="22" w:name="_Toc148966124"/>
      <w:bookmarkStart w:id="23" w:name="_Toc148966240"/>
      <w:bookmarkStart w:id="24" w:name="_Toc148965728"/>
      <w:bookmarkStart w:id="25" w:name="_Toc148966125"/>
      <w:bookmarkStart w:id="26" w:name="_Toc148966241"/>
      <w:bookmarkStart w:id="27" w:name="_Toc148966121"/>
      <w:bookmarkStart w:id="28" w:name="_Toc148966233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>
        <w:rPr/>
        <w:t>Наименование закупаемой продукции</w:t>
      </w:r>
      <w:bookmarkEnd w:id="8"/>
      <w:bookmarkEnd w:id="9"/>
      <w:bookmarkEnd w:id="10"/>
    </w:p>
    <w:p>
      <w:pPr>
        <w:pStyle w:val="Normal"/>
        <w:widowControl w:val="false"/>
        <w:ind w:left="0" w:right="0" w:firstLine="567"/>
        <w:jc w:val="both"/>
        <w:rPr>
          <w:sz w:val="24"/>
          <w:lang w:eastAsia="x-none"/>
        </w:rPr>
      </w:pPr>
      <w:r>
        <w:rPr>
          <w:sz w:val="24"/>
          <w:lang w:eastAsia="x-none"/>
        </w:rPr>
        <w:t>«ОКПД 2: 38.21.29 Оказание услуг по обращению с отходами 4 класса опасности, а именно утилизация утративших потребительские свойства, не подлежащих ремонту и восстановлению оргтехники, образующихся при осуществлении производственного процесса АО «ВНИИГ им. Б.Е. Веденеева»</w:t>
      </w:r>
    </w:p>
    <w:p>
      <w:pPr>
        <w:pStyle w:val="4"/>
        <w:numPr>
          <w:ilvl w:val="1"/>
          <w:numId w:val="18"/>
        </w:numPr>
        <w:ind w:left="574" w:right="0" w:hanging="505"/>
        <w:rPr/>
      </w:pPr>
      <w:bookmarkStart w:id="29" w:name="_Toc148965730"/>
      <w:bookmarkStart w:id="30" w:name="_Toc193800998"/>
      <w:bookmarkStart w:id="31" w:name="_Toc46743507"/>
      <w:r>
        <w:rPr/>
        <w:t xml:space="preserve">Цель </w:t>
      </w:r>
      <w:bookmarkEnd w:id="31"/>
      <w:r>
        <w:rPr/>
        <w:t>оказания услуг</w:t>
      </w:r>
      <w:bookmarkEnd w:id="29"/>
      <w:bookmarkEnd w:id="30"/>
      <w:r>
        <w:rPr/>
        <w:t xml:space="preserve"> </w:t>
      </w:r>
    </w:p>
    <w:p>
      <w:pPr>
        <w:pStyle w:val="Normal"/>
        <w:widowControl w:val="false"/>
        <w:ind w:left="0" w:right="0" w:firstLine="431"/>
        <w:jc w:val="both"/>
        <w:rPr>
          <w:sz w:val="24"/>
          <w:lang w:eastAsia="x-none"/>
        </w:rPr>
      </w:pPr>
      <w:r>
        <w:rPr>
          <w:sz w:val="24"/>
          <w:lang w:eastAsia="x-none"/>
        </w:rPr>
        <w:t>Оказание услуг по утилизации утративших потребительские свойства, не подлежащие ремонту и восстановлению оргтехники</w:t>
      </w:r>
    </w:p>
    <w:p>
      <w:pPr>
        <w:pStyle w:val="4"/>
        <w:numPr>
          <w:ilvl w:val="1"/>
          <w:numId w:val="19"/>
        </w:numPr>
        <w:ind w:left="574" w:right="0" w:hanging="505"/>
        <w:rPr/>
      </w:pPr>
      <w:bookmarkStart w:id="32" w:name="_Toc193800999"/>
      <w:r>
        <w:rPr/>
        <w:t>Существующее положение</w:t>
      </w:r>
      <w:bookmarkEnd w:id="32"/>
    </w:p>
    <w:p>
      <w:pPr>
        <w:pStyle w:val="Normal"/>
        <w:widowControl w:val="false"/>
        <w:ind w:left="0" w:right="0" w:firstLine="431"/>
        <w:jc w:val="both"/>
        <w:rPr>
          <w:sz w:val="24"/>
          <w:lang w:eastAsia="x-none"/>
        </w:rPr>
      </w:pPr>
      <w:r>
        <w:rPr>
          <w:sz w:val="24"/>
          <w:lang w:eastAsia="x-none"/>
        </w:rPr>
        <w:t>Услуги оказываются в соответствии с п.30 ч.1 ст. 12 Федерального закона от 04.05.2011 № 99-Фз «О лицензировании отдельных видов деятельности» и Постановлением Правительства Российской Федерации от 26.12.2020 г. № 2290 «О лицензировании деятельности по сбору, транспортированию, обработке, утилизации, обезвреживанию, размещению отходов I - IV классов опасности»;</w:t>
      </w:r>
      <w:bookmarkStart w:id="33" w:name="_Toc148965731"/>
      <w:bookmarkStart w:id="34" w:name="_Toc46743508"/>
      <w:bookmarkEnd w:id="33"/>
      <w:bookmarkEnd w:id="34"/>
    </w:p>
    <w:p>
      <w:pPr>
        <w:pStyle w:val="Normal"/>
        <w:widowControl w:val="false"/>
        <w:ind w:left="0" w:right="0" w:firstLine="432"/>
        <w:jc w:val="both"/>
        <w:rPr/>
      </w:pPr>
      <w:r>
        <w:rPr/>
      </w:r>
    </w:p>
    <w:p>
      <w:pPr>
        <w:pStyle w:val="4"/>
        <w:numPr>
          <w:ilvl w:val="1"/>
          <w:numId w:val="20"/>
        </w:numPr>
        <w:ind w:left="574" w:right="0" w:hanging="505"/>
        <w:rPr/>
      </w:pPr>
      <w:bookmarkStart w:id="35" w:name="_Toc193801000"/>
      <w:bookmarkStart w:id="36" w:name="_Toc148965733"/>
      <w:r>
        <w:rPr/>
        <w:t>Таблица 1. Перечень объектов заказчика</w:t>
      </w:r>
      <w:r>
        <w:rPr>
          <w:lang w:val="ru-RU"/>
        </w:rPr>
        <w:t>.</w:t>
      </w:r>
      <w:bookmarkStart w:id="37" w:name="_Toc148966247"/>
      <w:bookmarkStart w:id="38" w:name="_Toc148965734"/>
      <w:bookmarkEnd w:id="35"/>
      <w:bookmarkEnd w:id="36"/>
      <w:bookmarkEnd w:id="37"/>
      <w:bookmarkEnd w:id="38"/>
    </w:p>
    <w:tbl>
      <w:tblPr>
        <w:tblW w:w="10031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561"/>
        <w:gridCol w:w="2107"/>
        <w:gridCol w:w="2429"/>
        <w:gridCol w:w="2126"/>
      </w:tblGrid>
      <w:tr>
        <w:trPr/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объекта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360" w:right="0" w:hanging="360"/>
              <w:jc w:val="both"/>
              <w:rPr/>
            </w:pPr>
            <w:r>
              <w:rPr/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АО «ВНИИГ им. Б.Е. Веденеева»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195220, г. Санкт-Петербург, ул. Гжатская, д. 21, литер А</w:t>
            </w:r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lang w:eastAsia="x-none"/>
              </w:rPr>
            </w:pPr>
            <w:r>
              <w:rPr>
                <w:sz w:val="24"/>
                <w:lang w:eastAsia="x-none"/>
              </w:rPr>
              <w:t>Утратившие потребительские свойства оргтехника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Наименование и количество оргтехники указаны в таблице 5</w:t>
            </w:r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jc w:val="both"/>
        <w:rPr>
          <w:rFonts w:eastAsia="Calibri"/>
          <w:b/>
          <w:b/>
          <w:lang w:val="x-none" w:eastAsia="x-none"/>
        </w:rPr>
      </w:pPr>
      <w:r>
        <w:rPr>
          <w:rFonts w:eastAsia="Calibri"/>
          <w:b/>
          <w:lang w:val="x-none" w:eastAsia="x-none"/>
        </w:rPr>
      </w:r>
    </w:p>
    <w:p>
      <w:pPr>
        <w:pStyle w:val="1"/>
        <w:ind w:left="4253" w:right="0" w:hanging="505"/>
        <w:rPr/>
      </w:pPr>
      <w:bookmarkStart w:id="39" w:name="_Toc51339693"/>
      <w:bookmarkStart w:id="40" w:name="_Toc193801001"/>
      <w:bookmarkStart w:id="41" w:name="_Toc148966132"/>
      <w:bookmarkStart w:id="42" w:name="_Toc148966248"/>
      <w:bookmarkStart w:id="43" w:name="_Toc148966133"/>
      <w:bookmarkStart w:id="44" w:name="_Toc148965736"/>
      <w:bookmarkStart w:id="45" w:name="_Toc148966249"/>
      <w:bookmarkStart w:id="46" w:name="_Toc148965735"/>
      <w:bookmarkEnd w:id="41"/>
      <w:bookmarkEnd w:id="42"/>
      <w:bookmarkEnd w:id="43"/>
      <w:bookmarkEnd w:id="44"/>
      <w:bookmarkEnd w:id="45"/>
      <w:bookmarkEnd w:id="46"/>
      <w:r>
        <w:rPr>
          <w:lang w:val="ru-RU"/>
        </w:rPr>
        <w:t>Требования</w:t>
      </w:r>
      <w:r>
        <w:rPr/>
        <w:t xml:space="preserve"> к продукции</w:t>
      </w:r>
      <w:bookmarkEnd w:id="39"/>
      <w:bookmarkEnd w:id="40"/>
    </w:p>
    <w:p>
      <w:pPr>
        <w:pStyle w:val="4"/>
        <w:numPr>
          <w:ilvl w:val="1"/>
          <w:numId w:val="21"/>
        </w:numPr>
        <w:ind w:left="574" w:right="0" w:hanging="505"/>
        <w:rPr/>
      </w:pPr>
      <w:bookmarkStart w:id="47" w:name="_Toc193801002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47"/>
    </w:p>
    <w:p>
      <w:pPr>
        <w:pStyle w:val="3"/>
        <w:numPr>
          <w:ilvl w:val="2"/>
          <w:numId w:val="22"/>
        </w:numPr>
        <w:ind w:left="1225" w:right="0" w:hanging="505"/>
        <w:rPr/>
      </w:pPr>
      <w:bookmarkStart w:id="48" w:name="_Toc193801003"/>
      <w:r>
        <w:rPr/>
        <w:t>Требования к перечню и объему услуг</w:t>
      </w:r>
      <w:bookmarkEnd w:id="48"/>
    </w:p>
    <w:p>
      <w:pPr>
        <w:pStyle w:val="1"/>
        <w:numPr>
          <w:ilvl w:val="0"/>
          <w:numId w:val="0"/>
        </w:numPr>
        <w:ind w:left="0" w:right="0" w:hanging="0"/>
        <w:rPr/>
      </w:pPr>
      <w:bookmarkStart w:id="49" w:name="_Toc193801004"/>
      <w:bookmarkStart w:id="50" w:name="_Toc51339695"/>
      <w:r>
        <w:rPr/>
        <w:t xml:space="preserve">Таблица 2. Перечень </w:t>
      </w:r>
      <w:bookmarkEnd w:id="50"/>
      <w:r>
        <w:rPr/>
        <w:t>и объем оказываемых услуг</w:t>
      </w:r>
      <w:bookmarkEnd w:id="49"/>
    </w:p>
    <w:tbl>
      <w:tblPr>
        <w:tblW w:w="9810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4849"/>
        <w:gridCol w:w="1996"/>
        <w:gridCol w:w="2116"/>
      </w:tblGrid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360" w:right="0" w:hanging="360"/>
              <w:jc w:val="both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lang w:eastAsia="x-none"/>
              </w:rPr>
            </w:pPr>
            <w:r>
              <w:rPr>
                <w:sz w:val="24"/>
                <w:lang w:eastAsia="x-none"/>
              </w:rPr>
              <w:t>Оказание услуг по обращению с отходами 4 класса опасности, а именно утилизация утративших потребительские свойства, не подлежащих ремонту и восстановлению оргтехники, образующихся при осуществлении производственного процесса АО «ВНИИГ им. Б.Е. Веденеева»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у.е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Наименование и количество оргтехники указаны в таблице 5</w:t>
            </w:r>
          </w:p>
          <w:p>
            <w:pPr>
              <w:pStyle w:val="Normal"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left="0" w:right="0" w:firstLine="142"/>
        <w:jc w:val="both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left="0" w:right="0" w:firstLine="142"/>
        <w:jc w:val="both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left="0" w:right="0" w:firstLine="142"/>
        <w:jc w:val="both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left="0" w:right="0" w:firstLine="142"/>
        <w:jc w:val="both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left="0" w:right="0" w:firstLine="142"/>
        <w:jc w:val="both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3"/>
        <w:numPr>
          <w:ilvl w:val="2"/>
          <w:numId w:val="23"/>
        </w:numPr>
        <w:ind w:left="1225" w:right="0" w:hanging="505"/>
        <w:rPr/>
      </w:pPr>
      <w:bookmarkStart w:id="51" w:name="_Toc193801005"/>
      <w:bookmarkStart w:id="52" w:name="_Toc51339696"/>
      <w:r>
        <w:rPr/>
        <w:t xml:space="preserve">Требования </w:t>
      </w:r>
      <w:bookmarkEnd w:id="52"/>
      <w:r>
        <w:rPr/>
        <w:t>к срокам оказания услуг</w:t>
      </w:r>
      <w:bookmarkEnd w:id="51"/>
    </w:p>
    <w:p>
      <w:pPr>
        <w:pStyle w:val="1"/>
        <w:numPr>
          <w:ilvl w:val="0"/>
          <w:numId w:val="0"/>
        </w:numPr>
        <w:ind w:left="0" w:right="0" w:hanging="0"/>
        <w:rPr/>
      </w:pPr>
      <w:bookmarkStart w:id="53" w:name="_Toc193801006"/>
      <w:bookmarkStart w:id="54" w:name="_Toc50125127"/>
      <w:bookmarkStart w:id="55" w:name="_Toc51339697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56" w:name="_Hlk50465284"/>
      <w:r>
        <w:rPr/>
        <w:t xml:space="preserve">Требования </w:t>
      </w:r>
      <w:r>
        <w:rPr>
          <w:lang w:val="ru-RU"/>
        </w:rPr>
        <w:t>к</w:t>
      </w:r>
      <w:r>
        <w:rPr/>
        <w:t xml:space="preserve"> срокам </w:t>
      </w:r>
      <w:bookmarkEnd w:id="54"/>
      <w:bookmarkEnd w:id="55"/>
      <w:bookmarkEnd w:id="56"/>
      <w:r>
        <w:rPr>
          <w:lang w:val="ru-RU"/>
        </w:rPr>
        <w:t>оказания услуг</w:t>
      </w:r>
      <w:bookmarkEnd w:id="53"/>
    </w:p>
    <w:tbl>
      <w:tblPr>
        <w:tblW w:w="9776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3573"/>
        <w:gridCol w:w="2388"/>
        <w:gridCol w:w="2574"/>
      </w:tblGrid>
      <w:tr>
        <w:trPr/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(квартал)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5"/>
              <w:keepNext w:val="false"/>
              <w:widowControl w:val="false"/>
              <w:spacing w:before="40" w:after="4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5"/>
              <w:keepNext w:val="false"/>
              <w:widowControl w:val="false"/>
              <w:spacing w:before="40" w:after="4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ind w:left="360" w:right="0" w:hanging="360"/>
              <w:jc w:val="center"/>
              <w:rPr/>
            </w:pPr>
            <w:r>
              <w:rPr/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lang w:eastAsia="x-none"/>
              </w:rPr>
            </w:pPr>
            <w:r>
              <w:rPr>
                <w:sz w:val="24"/>
                <w:lang w:eastAsia="x-none"/>
              </w:rPr>
              <w:t>Оказание услуг по обращению с отходами 4 класса опасности, а именно утилизация утративших потребительские свойства, не подлежащих ремонту и восстановлению оргтехники, образующихся при осуществлении производственного процесса АО «ВНИИГ им. Б.Е. Веденеева»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(тридцать) календарных дней с даты, следующей за датой начала оказания Услуг  по Договору.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418" w:right="851" w:header="680" w:top="1134" w:footer="0" w:bottom="992" w:gutter="0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4"/>
        <w:numPr>
          <w:ilvl w:val="1"/>
          <w:numId w:val="24"/>
        </w:numPr>
        <w:ind w:left="574" w:right="0" w:hanging="505"/>
        <w:rPr/>
      </w:pPr>
      <w:bookmarkStart w:id="57" w:name="_Toc51339698"/>
      <w:bookmarkStart w:id="58" w:name="_Toc193801007"/>
      <w:bookmarkStart w:id="59" w:name="_Toc46743511"/>
      <w:r>
        <w:rPr/>
        <w:t xml:space="preserve">Требования к </w:t>
      </w:r>
      <w:bookmarkEnd w:id="59"/>
      <w:r>
        <w:rPr>
          <w:lang w:val="ru-RU"/>
        </w:rPr>
        <w:t>качеству услуг</w:t>
      </w:r>
      <w:bookmarkEnd w:id="58"/>
    </w:p>
    <w:p>
      <w:pPr>
        <w:pStyle w:val="1"/>
        <w:numPr>
          <w:ilvl w:val="0"/>
          <w:numId w:val="0"/>
        </w:numPr>
        <w:ind w:left="0" w:right="0" w:hanging="0"/>
        <w:rPr/>
      </w:pPr>
      <w:bookmarkStart w:id="60" w:name="_Toc193801008"/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bookmarkEnd w:id="57"/>
      <w:r>
        <w:rPr>
          <w:lang w:val="ru-RU"/>
        </w:rPr>
        <w:t>качеству услуг</w:t>
      </w:r>
      <w:bookmarkEnd w:id="60"/>
      <w:r>
        <w:rPr/>
        <w:t xml:space="preserve"> </w:t>
      </w:r>
    </w:p>
    <w:p>
      <w:pPr>
        <w:pStyle w:val="Normal"/>
        <w:widowControl w:val="false"/>
        <w:jc w:val="both"/>
        <w:rPr/>
      </w:pPr>
      <w:r>
        <w:rPr>
          <w:b/>
          <w:bCs/>
          <w:sz w:val="24"/>
          <w:szCs w:val="24"/>
        </w:rPr>
        <w:t xml:space="preserve">Наименование услуг/этапа услуг (позиция № </w:t>
      </w:r>
      <w:r>
        <w:rPr/>
        <w:t xml:space="preserve">1 </w:t>
      </w:r>
      <w:r>
        <w:rPr>
          <w:b/>
          <w:bCs/>
          <w:sz w:val="24"/>
          <w:szCs w:val="24"/>
        </w:rPr>
        <w:t xml:space="preserve">Таблицы 2): </w:t>
      </w:r>
      <w:r>
        <w:rPr>
          <w:rFonts w:eastAsia="Calibri"/>
          <w:b/>
          <w:bCs/>
          <w:sz w:val="24"/>
          <w:szCs w:val="26"/>
        </w:rPr>
        <w:t>Оказание услуг по обращению с отходами 4 класса опасности, а именно утилизация утративших потребительские свойства, не подлежащих ремонту и восстановлению оргтехники, образующихся при осуществлении производственного процесса АО «ВНИИГ им. Б.Е. Веденеева»</w:t>
      </w:r>
    </w:p>
    <w:tbl>
      <w:tblPr>
        <w:tblW w:w="14885" w:type="dxa"/>
        <w:jc w:val="left"/>
        <w:tblInd w:w="-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13676"/>
      </w:tblGrid>
      <w:tr>
        <w:trPr/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b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b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b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b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bookmarkStart w:id="61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61"/>
          </w:p>
        </w:tc>
        <w:tc>
          <w:tcPr>
            <w:tcW w:w="1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b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360" w:right="0" w:hanging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b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</w:tr>
      <w:tr>
        <w:trPr/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right="0" w:firstLine="142"/>
              <w:contextualSpacing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rFonts w:eastAsia="Times New Roman" w:cs="Times New Roman"/>
                <w:b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</w:tr>
      <w:tr>
        <w:trPr/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right="0" w:hanging="1199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left="0" w:right="284" w:hanging="0"/>
              <w:jc w:val="left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включают транспортировку, обработку, утилизацию оргтехники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right="0" w:hanging="0"/>
              <w:contextualSpacing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Подлежащая утилизации оргтехника передаются Исполнителю по месту нахождения Заказчика. Исполнитель осуществляет сбор и доставку оборудования собственными силами и средствами.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right="0" w:hanging="0"/>
              <w:contextualSpacing/>
              <w:jc w:val="both"/>
              <w:rPr>
                <w:rFonts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Оргтехника, не требующая разборки, переработки, утилизации, вывозится и размещается Исполнителем своими силами и средствами на санкционированный полигон твердых бытовых отходов. Оборудование, требующее разборки, переработки, утилизации, Исполнитель утилизирует в соответствии с действующим законодательством.</w:t>
            </w:r>
          </w:p>
        </w:tc>
      </w:tr>
      <w:tr>
        <w:trPr/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right="0" w:hanging="1199"/>
              <w:contextualSpacing/>
              <w:jc w:val="both"/>
              <w:rPr>
                <w:rFonts w:ascii="Times New Roman" w:hAnsi="Times New Roman" w:cs="Times New Roman"/>
                <w:kern w:val="0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1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left="0" w:right="284" w:hanging="0"/>
              <w:jc w:val="left"/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 окончании оказания услуг по утилизации Исполнитель оформляет: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left="720" w:right="284" w:hanging="360"/>
              <w:contextualSpacing/>
              <w:jc w:val="left"/>
              <w:rPr>
                <w:rFonts w:cs="Times New Roman"/>
                <w:kern w:val="0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  <w:t>Акты оказания услуг по утилизации оргтехники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left="720" w:right="284" w:hanging="360"/>
              <w:contextualSpacing/>
              <w:jc w:val="left"/>
              <w:rPr>
                <w:rFonts w:cs="Times New Roman"/>
                <w:kern w:val="0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  <w:t>Акт приема-передачи отходов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left="720" w:right="284" w:hanging="360"/>
              <w:contextualSpacing/>
              <w:jc w:val="left"/>
              <w:rPr>
                <w:rFonts w:cs="Times New Roman"/>
                <w:kern w:val="0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  <w:t>Акты утилизации основных средств</w:t>
            </w:r>
          </w:p>
        </w:tc>
      </w:tr>
      <w:tr>
        <w:trPr/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right="0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b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1.2.1</w:t>
            </w:r>
          </w:p>
        </w:tc>
        <w:tc>
          <w:tcPr>
            <w:tcW w:w="1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оказывать Услуги силами только квалифицированных специалистов, прошедших соответствующую подготовку, квалификация, опыт и компетенция которых позволяет обеспечить надлежащее и качественное оказание Услуг.</w:t>
            </w:r>
          </w:p>
        </w:tc>
      </w:tr>
      <w:tr>
        <w:trPr/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1.2.2.</w:t>
            </w:r>
          </w:p>
        </w:tc>
        <w:tc>
          <w:tcPr>
            <w:tcW w:w="1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right="0" w:hanging="0"/>
              <w:contextualSpacing/>
              <w:jc w:val="both"/>
              <w:rPr>
                <w:rFonts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  <w:t xml:space="preserve">Исполнитель должен иметь лицензию на деятельность по сбору, транспортировке, обработке, утилизации, обезвреживанию, размещению отходов </w:t>
            </w:r>
            <w:r>
              <w:rPr>
                <w:rFonts w:cs="Times New Roman"/>
                <w:kern w:val="0"/>
                <w:shd w:fill="auto" w:val="clear"/>
                <w:lang w:val="en-US" w:eastAsia="ru-RU" w:bidi="ar-SA"/>
              </w:rPr>
              <w:t>I</w:t>
            </w: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  <w:t>-</w:t>
            </w:r>
            <w:r>
              <w:rPr>
                <w:rFonts w:cs="Times New Roman"/>
                <w:kern w:val="0"/>
                <w:shd w:fill="auto" w:val="clear"/>
                <w:lang w:val="en-US" w:eastAsia="ru-RU" w:bidi="ar-SA"/>
              </w:rPr>
              <w:t>IV</w:t>
            </w: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  <w:t xml:space="preserve"> классов опасности.</w:t>
            </w:r>
          </w:p>
        </w:tc>
      </w:tr>
    </w:tbl>
    <w:p>
      <w:pPr>
        <w:sectPr>
          <w:headerReference w:type="default" r:id="rId4"/>
          <w:type w:val="nextPage"/>
          <w:pgSz w:orient="landscape" w:w="16838" w:h="11906"/>
          <w:pgMar w:left="992" w:right="1134" w:header="680" w:top="1134" w:footer="0" w:bottom="851" w:gutter="0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widowControl w:val="false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1"/>
        <w:numPr>
          <w:ilvl w:val="0"/>
          <w:numId w:val="0"/>
        </w:numPr>
        <w:ind w:left="0" w:right="0" w:hanging="0"/>
        <w:rPr/>
      </w:pPr>
      <w:bookmarkStart w:id="62" w:name="_Toc193801009"/>
      <w:r>
        <w:rPr/>
        <w:t>Таблица </w:t>
      </w:r>
      <w:r>
        <w:rPr>
          <w:lang w:val="ru-RU"/>
        </w:rPr>
        <w:t>5</w:t>
      </w:r>
      <w:r>
        <w:rPr/>
        <w:t xml:space="preserve">. </w:t>
      </w:r>
      <w:r>
        <w:rPr>
          <w:lang w:val="ru-RU"/>
        </w:rPr>
        <w:t>Список оргтехники на утилизацию</w:t>
      </w:r>
      <w:bookmarkEnd w:id="62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jc w:val="center"/>
        <w:rPr>
          <w:lang w:eastAsia="x-none"/>
        </w:rPr>
      </w:pPr>
      <w:r>
        <w:rPr>
          <w:lang w:eastAsia="x-none"/>
        </w:rPr>
      </w:r>
    </w:p>
    <w:tbl>
      <w:tblPr>
        <w:tblW w:w="867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95"/>
        <w:gridCol w:w="3595"/>
        <w:gridCol w:w="1115"/>
        <w:gridCol w:w="853"/>
        <w:gridCol w:w="2519"/>
      </w:tblGrid>
      <w:tr>
        <w:trPr>
          <w:trHeight w:val="1206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отхода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>
        <w:trPr>
          <w:trHeight w:val="915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Клавиатура, манипулятор «мышь» с соединительным проводом, утратившие потребительские свойства 4 81 204 01 52 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у.е.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0"/>
                <w:szCs w:val="20"/>
                <w:shd w:fill="auto" w:val="clear"/>
              </w:rPr>
            </w:pPr>
            <w:r>
              <w:rPr>
                <w:b w:val="false"/>
                <w:bCs w:val="false"/>
                <w:sz w:val="20"/>
                <w:szCs w:val="20"/>
                <w:shd w:fill="auto" w:val="clear"/>
              </w:rPr>
              <w:t>35</w:t>
            </w:r>
            <w:r>
              <w:rPr>
                <w:b/>
                <w:bCs/>
                <w:sz w:val="20"/>
                <w:szCs w:val="20"/>
                <w:shd w:fill="auto" w:val="clear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  <w:shd w:fill="auto" w:val="clear"/>
              </w:rPr>
              <w:t>(«мышь 14 шт.,  клавиатура 21 шт.)</w:t>
            </w:r>
          </w:p>
        </w:tc>
        <w:tc>
          <w:tcPr>
            <w:tcW w:w="2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Дополнительно другие отходы электроники (нет паспортов):</w:t>
            </w:r>
          </w:p>
          <w:p>
            <w:pPr>
              <w:pStyle w:val="Normal"/>
              <w:widowControl w:val="false"/>
              <w:jc w:val="center"/>
              <w:rPr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инженерная система-1 шт., микроволновка — 1 шт., ноутбук -1 шт.,  стабилизатор напряжения — 1шт.</w:t>
            </w:r>
          </w:p>
          <w:p>
            <w:pPr>
              <w:pStyle w:val="Normal"/>
              <w:widowControl w:val="false"/>
              <w:jc w:val="center"/>
              <w:rPr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(включить в отходы)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По запросу предоставляются фотографии</w:t>
            </w:r>
          </w:p>
        </w:tc>
      </w:tr>
      <w:tr>
        <w:trPr>
          <w:trHeight w:val="688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right="0" w:hanging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Картриджи печатающих устройств с содержанием тонера менее 7% отработанные 4 81 203 02 52 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0"/>
                <w:szCs w:val="20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у.е.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>115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auto"/>
                <w:sz w:val="20"/>
                <w:szCs w:val="20"/>
                <w:shd w:fill="auto" w:val="clear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2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674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right="0" w:hanging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Системный блок компьютера, утративший потребительские свойства</w:t>
            </w:r>
          </w:p>
          <w:p>
            <w:pPr>
              <w:pStyle w:val="Normal"/>
              <w:widowControl w:val="false"/>
              <w:ind w:left="10" w:right="0" w:hanging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4 81 201 01 52 4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0"/>
                <w:szCs w:val="20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у.е.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0"/>
                <w:szCs w:val="20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>11</w:t>
            </w:r>
          </w:p>
        </w:tc>
        <w:tc>
          <w:tcPr>
            <w:tcW w:w="2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785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right="0" w:hanging="0"/>
              <w:rPr>
                <w:b w:val="false"/>
                <w:b w:val="false"/>
                <w:bCs w:val="false"/>
                <w:color w:val="auto"/>
                <w:sz w:val="20"/>
                <w:szCs w:val="20"/>
              </w:rPr>
            </w:pPr>
            <w:r>
              <w:rPr>
                <w:b w:val="false"/>
                <w:bCs w:val="false"/>
                <w:color w:val="auto"/>
                <w:sz w:val="20"/>
                <w:szCs w:val="20"/>
              </w:rPr>
              <w:t>Принтеры, сканеры, многофункциональные устройства (МФУ), утратившие потребительские свойства 4 81 202 01 524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0"/>
                <w:szCs w:val="20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>у.е.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0"/>
                <w:szCs w:val="20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>18</w:t>
            </w:r>
          </w:p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0"/>
                <w:szCs w:val="20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>(сканеры 5 шт., принтер 4 шт.,  МФУ 9 шт.)</w:t>
            </w:r>
          </w:p>
        </w:tc>
        <w:tc>
          <w:tcPr>
            <w:tcW w:w="2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9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rPr>
                <w:b w:val="false"/>
                <w:b w:val="false"/>
                <w:bCs w:val="false"/>
                <w:color w:val="auto"/>
                <w:sz w:val="20"/>
                <w:szCs w:val="20"/>
              </w:rPr>
            </w:pPr>
            <w:r>
              <w:rPr>
                <w:b w:val="false"/>
                <w:bCs w:val="false"/>
                <w:color w:val="auto"/>
                <w:sz w:val="20"/>
                <w:szCs w:val="20"/>
              </w:rPr>
              <w:t>Мониторы компьютерные жидкокристаллические, утратившие потребительские свойства 48120502524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0"/>
                <w:szCs w:val="20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>у.е.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0"/>
                <w:szCs w:val="20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>11</w:t>
            </w:r>
          </w:p>
        </w:tc>
        <w:tc>
          <w:tcPr>
            <w:tcW w:w="2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97" w:hRule="atLeast"/>
        </w:trPr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Телефонные и факсимильные аппараты, утратившие потребительские свойства </w:t>
            </w:r>
          </w:p>
          <w:p>
            <w:pPr>
              <w:pStyle w:val="Normal"/>
              <w:widowControl w:val="false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4 81 321 01 52 4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0"/>
                <w:szCs w:val="20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у.е.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0"/>
                <w:szCs w:val="20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>5</w:t>
            </w:r>
          </w:p>
        </w:tc>
        <w:tc>
          <w:tcPr>
            <w:tcW w:w="2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97" w:hRule="atLeast"/>
        </w:trPr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Кондиционеры бытовые, не содержащие озоноразрушающих веществ, утратившие потребительские свойства</w:t>
            </w:r>
          </w:p>
          <w:p>
            <w:pPr>
              <w:pStyle w:val="Normal"/>
              <w:widowControl w:val="false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4 82 713 11 52 4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у.е.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 w:val="false"/>
                <w:b w:val="false"/>
                <w:bCs w:val="false"/>
                <w:color w:val="auto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2</w:t>
            </w:r>
          </w:p>
        </w:tc>
        <w:tc>
          <w:tcPr>
            <w:tcW w:w="25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</w:tbl>
    <w:p>
      <w:pPr>
        <w:pStyle w:val="Normal"/>
        <w:rPr/>
      </w:pPr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headerReference w:type="default" r:id="rId5"/>
      <w:headerReference w:type="first" r:id="rId6"/>
      <w:type w:val="nextPage"/>
      <w:pgSz w:w="11906" w:h="16838"/>
      <w:pgMar w:left="1134" w:right="851" w:header="680" w:top="1134" w:footer="0" w:bottom="992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charset w:val="01"/>
    <w:family w:val="auto"/>
    <w:pitch w:val="variable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decimal"/>
      <w:lvlText w:val="%1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3.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3"/>
    <w:next w:val="Normal"/>
    <w:qFormat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2">
    <w:name w:val="Heading 2"/>
    <w:basedOn w:val="4"/>
    <w:next w:val="Normal"/>
    <w:qFormat/>
    <w:pPr>
      <w:outlineLvl w:val="1"/>
    </w:pPr>
    <w:rPr/>
  </w:style>
  <w:style w:type="paragraph" w:styleId="3">
    <w:name w:val="Heading 3"/>
    <w:basedOn w:val="Normal"/>
    <w:next w:val="Normal"/>
    <w:autoRedefine/>
    <w:qFormat/>
    <w:pPr>
      <w:widowControl w:val="false"/>
      <w:numPr>
        <w:ilvl w:val="2"/>
        <w:numId w:val="1"/>
      </w:numPr>
      <w:ind w:left="1225" w:right="0" w:hanging="505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Normal"/>
    <w:qFormat/>
    <w:pPr>
      <w:numPr>
        <w:ilvl w:val="0"/>
        <w:numId w:val="0"/>
      </w:numPr>
      <w:tabs>
        <w:tab w:val="clear" w:pos="708"/>
        <w:tab w:val="left" w:pos="0" w:leader="none"/>
      </w:tabs>
      <w:ind w:left="574" w:right="0" w:hanging="505"/>
      <w:outlineLvl w:val="3"/>
    </w:pPr>
    <w:rPr>
      <w:bCs/>
    </w:rPr>
  </w:style>
  <w:style w:type="paragraph" w:styleId="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Normal"/>
    <w:next w:val="Normal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Normal"/>
    <w:next w:val="Normal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Style5">
    <w:name w:val="Символ сноски"/>
    <w:qFormat/>
    <w:rPr>
      <w:vertAlign w:val="superscript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Style7">
    <w:name w:val="Интернет-ссылка"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1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1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1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1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1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1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1">
    <w:name w:val="Заголовок 5 Знак"/>
    <w:qFormat/>
    <w:rPr>
      <w:b/>
      <w:bCs/>
      <w:i/>
      <w:iCs/>
      <w:sz w:val="26"/>
      <w:szCs w:val="26"/>
    </w:rPr>
  </w:style>
  <w:style w:type="character" w:styleId="91">
    <w:name w:val="Заголовок 9 Знак"/>
    <w:qFormat/>
    <w:rPr>
      <w:rFonts w:ascii="Arial" w:hAnsi="Arial" w:cs="Arial"/>
      <w:sz w:val="22"/>
      <w:szCs w:val="22"/>
    </w:rPr>
  </w:style>
  <w:style w:type="character" w:styleId="Style8">
    <w:name w:val="Название Знак"/>
    <w:qFormat/>
    <w:rPr>
      <w:sz w:val="28"/>
    </w:rPr>
  </w:style>
  <w:style w:type="character" w:styleId="Style9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Style10">
    <w:name w:val="Выделение"/>
    <w:qFormat/>
    <w:rPr>
      <w:i/>
      <w:iCs/>
    </w:rPr>
  </w:style>
  <w:style w:type="character" w:styleId="22">
    <w:name w:val="Цитата 2 Знак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11">
    <w:name w:val="Выделенная цитата Знак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12">
    <w:name w:val="Электронная подпись Знак"/>
    <w:qFormat/>
    <w:rPr>
      <w:rFonts w:eastAsia="Calibri"/>
      <w:sz w:val="24"/>
      <w:szCs w:val="24"/>
    </w:rPr>
  </w:style>
  <w:style w:type="character" w:styleId="12">
    <w:name w:val="Подпункт Знак1"/>
    <w:qFormat/>
    <w:rPr>
      <w:sz w:val="28"/>
    </w:rPr>
  </w:style>
  <w:style w:type="character" w:styleId="Style13">
    <w:name w:val="Текст сноски Знак"/>
    <w:qFormat/>
    <w:rPr/>
  </w:style>
  <w:style w:type="character" w:styleId="Style14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15">
    <w:name w:val="Абзац списка Знак"/>
    <w:qFormat/>
    <w:rPr>
      <w:rFonts w:eastAsia="Calibri"/>
      <w:sz w:val="24"/>
      <w:szCs w:val="24"/>
    </w:rPr>
  </w:style>
  <w:style w:type="character" w:styleId="Style16">
    <w:name w:val="комментарий"/>
    <w:qFormat/>
    <w:rPr>
      <w:b/>
      <w:i/>
      <w:shd w:fill="FFFF99" w:val="clear"/>
    </w:rPr>
  </w:style>
  <w:style w:type="character" w:styleId="Style17">
    <w:name w:val="Подподпункт Знак"/>
    <w:qFormat/>
    <w:rPr>
      <w:sz w:val="26"/>
      <w:szCs w:val="26"/>
    </w:rPr>
  </w:style>
  <w:style w:type="character" w:styleId="32">
    <w:name w:val="УРОВЕНЬ_Абзац_тип3 Знак"/>
    <w:qFormat/>
    <w:rPr>
      <w:rFonts w:eastAsia="Calibri"/>
      <w:sz w:val="26"/>
      <w:szCs w:val="28"/>
      <w:lang w:eastAsia="en-US"/>
    </w:rPr>
  </w:style>
  <w:style w:type="character" w:styleId="Style18">
    <w:name w:val="Верхний колонтитул Знак"/>
    <w:qFormat/>
    <w:rPr>
      <w:sz w:val="24"/>
      <w:szCs w:val="24"/>
    </w:rPr>
  </w:style>
  <w:style w:type="character" w:styleId="Style19">
    <w:name w:val="Текст примечания Знак"/>
    <w:qFormat/>
    <w:rPr/>
  </w:style>
  <w:style w:type="character" w:styleId="Style20">
    <w:name w:val="Текст концевой сноски Знак"/>
    <w:basedOn w:val="DefaultParagraphFont"/>
    <w:qFormat/>
    <w:rPr/>
  </w:style>
  <w:style w:type="character" w:styleId="Style21">
    <w:name w:val="Символ концевой сноски"/>
    <w:basedOn w:val="DefaultParagraphFont"/>
    <w:qFormat/>
    <w:rPr>
      <w:vertAlign w:val="superscript"/>
    </w:rPr>
  </w:style>
  <w:style w:type="character" w:styleId="Style22">
    <w:name w:val="Привязка концевой сноски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23">
    <w:name w:val="Пункт2 Знак"/>
    <w:qFormat/>
    <w:rPr>
      <w:b/>
      <w:sz w:val="28"/>
    </w:rPr>
  </w:style>
  <w:style w:type="character" w:styleId="13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Style23">
    <w:name w:val="Ссылка указателя"/>
    <w:qFormat/>
    <w:rPr/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eastAsia="WenQuanYi Zen Hei Sharp" w:cs="Lohit Devanagari"/>
    </w:rPr>
  </w:style>
  <w:style w:type="paragraph" w:styleId="Style25">
    <w:name w:val="Body Text"/>
    <w:basedOn w:val="Normal"/>
    <w:pPr>
      <w:spacing w:before="0" w:after="120"/>
    </w:pPr>
    <w:rPr/>
  </w:style>
  <w:style w:type="paragraph" w:styleId="Style26">
    <w:name w:val="List"/>
    <w:basedOn w:val="Style25"/>
    <w:pPr/>
    <w:rPr>
      <w:rFonts w:cs="Lohit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Style24"/>
    <w:qFormat/>
    <w:pPr/>
    <w:rPr/>
  </w:style>
  <w:style w:type="paragraph" w:styleId="Style29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30">
    <w:name w:val="Раздел положения"/>
    <w:basedOn w:val="Normal"/>
    <w:autoRedefine/>
    <w:qFormat/>
    <w:pPr>
      <w:numPr>
        <w:ilvl w:val="0"/>
        <w:numId w:val="2"/>
      </w:numPr>
      <w:spacing w:before="80" w:after="80"/>
      <w:jc w:val="center"/>
    </w:pPr>
    <w:rPr>
      <w:b/>
      <w:sz w:val="32"/>
      <w:szCs w:val="32"/>
    </w:rPr>
  </w:style>
  <w:style w:type="paragraph" w:styleId="Style31">
    <w:name w:val="Подраздел раздела положения"/>
    <w:basedOn w:val="Normal"/>
    <w:autoRedefine/>
    <w:qFormat/>
    <w:pPr>
      <w:numPr>
        <w:ilvl w:val="0"/>
        <w:numId w:val="2"/>
      </w:numPr>
      <w:spacing w:before="80" w:after="80"/>
      <w:jc w:val="both"/>
    </w:pPr>
    <w:rPr/>
  </w:style>
  <w:style w:type="paragraph" w:styleId="Style32">
    <w:name w:val="Footnote Text"/>
    <w:basedOn w:val="Normal"/>
    <w:pPr/>
    <w:rPr>
      <w:sz w:val="20"/>
      <w:szCs w:val="20"/>
    </w:rPr>
  </w:style>
  <w:style w:type="paragraph" w:styleId="14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>
    <w:name w:val="Название1"/>
    <w:basedOn w:val="Normal"/>
    <w:qFormat/>
    <w:pPr>
      <w:jc w:val="center"/>
    </w:pPr>
    <w:rPr>
      <w:szCs w:val="20"/>
      <w:lang w:val="x-none" w:eastAsia="x-none"/>
    </w:rPr>
  </w:style>
  <w:style w:type="paragraph" w:styleId="Style33">
    <w:name w:val="Колонтитул"/>
    <w:basedOn w:val="Normal"/>
    <w:qFormat/>
    <w:pPr/>
    <w:rPr/>
  </w:style>
  <w:style w:type="paragraph" w:styleId="Style34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5">
    <w:name w:val="Body Text Indent"/>
    <w:basedOn w:val="Normal"/>
    <w:pPr>
      <w:ind w:left="360" w:right="0" w:hanging="0"/>
    </w:pPr>
    <w:rPr>
      <w:sz w:val="24"/>
      <w:szCs w:val="24"/>
    </w:rPr>
  </w:style>
  <w:style w:type="paragraph" w:styleId="Style36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7">
    <w:name w:val="Подпункт"/>
    <w:basedOn w:val="Normal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right="0" w:hanging="1134"/>
      <w:jc w:val="both"/>
    </w:pPr>
    <w:rPr>
      <w:szCs w:val="20"/>
      <w:lang w:val="x-none" w:eastAsia="x-none"/>
    </w:rPr>
  </w:style>
  <w:style w:type="paragraph" w:styleId="25">
    <w:name w:val="Пункт2"/>
    <w:basedOn w:val="Normal"/>
    <w:qFormat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16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4">
    <w:name w:val="TOC 3"/>
    <w:basedOn w:val="Normal"/>
    <w:next w:val="Normal"/>
    <w:autoRedefine/>
    <w:pPr>
      <w:ind w:left="280" w:right="0" w:hanging="0"/>
    </w:pPr>
    <w:rPr>
      <w:rFonts w:cs="Calibri"/>
      <w:sz w:val="20"/>
      <w:szCs w:val="20"/>
    </w:rPr>
  </w:style>
  <w:style w:type="paragraph" w:styleId="Style38">
    <w:name w:val="Раздел регламента"/>
    <w:basedOn w:val="Normal"/>
    <w:qFormat/>
    <w:pPr/>
    <w:rPr/>
  </w:style>
  <w:style w:type="paragraph" w:styleId="Style39">
    <w:name w:val="Приложение к регламенту"/>
    <w:basedOn w:val="Normal"/>
    <w:qFormat/>
    <w:pPr>
      <w:jc w:val="right"/>
    </w:pPr>
    <w:rPr/>
  </w:style>
  <w:style w:type="paragraph" w:styleId="26">
    <w:name w:val="TOC 2"/>
    <w:basedOn w:val="Normal"/>
    <w:next w:val="Normal"/>
    <w:autoRedefine/>
    <w:pPr>
      <w:spacing w:before="240" w:after="0"/>
    </w:pPr>
    <w:rPr>
      <w:rFonts w:cs="Calibri"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7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next w:val="Normal"/>
    <w:autoRedefine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52">
    <w:name w:val="TOC 5"/>
    <w:basedOn w:val="Normal"/>
    <w:next w:val="Normal"/>
    <w:autoRedefine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42">
    <w:name w:val="TOC 4"/>
    <w:basedOn w:val="Normal"/>
    <w:next w:val="Normal"/>
    <w:autoRedefine/>
    <w:pPr>
      <w:tabs>
        <w:tab w:val="clear" w:pos="708"/>
        <w:tab w:val="left" w:pos="1120" w:leader="none"/>
        <w:tab w:val="right" w:pos="9911" w:leader="none"/>
      </w:tabs>
      <w:ind w:left="560" w:right="0" w:hanging="0"/>
    </w:pPr>
    <w:rPr>
      <w:rFonts w:cs="Calibri"/>
      <w:sz w:val="20"/>
      <w:szCs w:val="20"/>
    </w:rPr>
  </w:style>
  <w:style w:type="paragraph" w:styleId="27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40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tyle41">
    <w:name w:val="Subtitle"/>
    <w:basedOn w:val="Normal"/>
    <w:next w:val="Normal"/>
    <w:qFormat/>
    <w:p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TOCHeading">
    <w:name w:val="TOC Heading"/>
    <w:basedOn w:val="1"/>
    <w:next w:val="Normal"/>
    <w:qFormat/>
    <w:pPr>
      <w:keepLines/>
      <w:numPr>
        <w:ilvl w:val="0"/>
        <w:numId w:val="0"/>
      </w:numPr>
      <w:spacing w:before="480" w:after="0"/>
      <w:ind w:left="1225" w:right="0" w:hanging="505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qFormat/>
    <w:pPr/>
    <w:rPr>
      <w:rFonts w:eastAsia="Calibri"/>
      <w:sz w:val="24"/>
      <w:szCs w:val="24"/>
      <w:lang w:val="x-none" w:eastAsia="x-none"/>
    </w:rPr>
  </w:style>
  <w:style w:type="paragraph" w:styleId="Style42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>
    <w:name w:val="Нумерованный список ур3"/>
    <w:basedOn w:val="Normal"/>
    <w:qFormat/>
    <w:pPr>
      <w:numPr>
        <w:ilvl w:val="0"/>
        <w:numId w:val="3"/>
      </w:numPr>
      <w:jc w:val="both"/>
    </w:pPr>
    <w:rPr>
      <w:rFonts w:ascii="Garamond" w:hAnsi="Garamond"/>
      <w:sz w:val="24"/>
      <w:szCs w:val="20"/>
    </w:rPr>
  </w:style>
  <w:style w:type="paragraph" w:styleId="311">
    <w:name w:val="Список 31"/>
    <w:basedOn w:val="Normal"/>
    <w:qFormat/>
    <w:pPr>
      <w:numPr>
        <w:ilvl w:val="0"/>
        <w:numId w:val="3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>
    <w:name w:val="Нумерованный список ур2"/>
    <w:basedOn w:val="Normal"/>
    <w:qFormat/>
    <w:pPr>
      <w:numPr>
        <w:ilvl w:val="0"/>
        <w:numId w:val="3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3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4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5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6">
    <w:name w:val="Подподпункт"/>
    <w:basedOn w:val="Style37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right="0" w:hanging="567"/>
    </w:pPr>
    <w:rPr>
      <w:sz w:val="26"/>
      <w:szCs w:val="26"/>
      <w:lang w:val="ru-RU" w:eastAsia="ru-RU"/>
    </w:rPr>
  </w:style>
  <w:style w:type="paragraph" w:styleId="Style47">
    <w:name w:val="УРОВЕНЬ_(а)"/>
    <w:basedOn w:val="ListParagraph"/>
    <w:qFormat/>
    <w:pPr>
      <w:spacing w:lineRule="exact" w:line="360" w:before="120" w:after="0"/>
      <w:ind w:left="720" w:right="0" w:hanging="0"/>
      <w:contextualSpacing/>
      <w:jc w:val="both"/>
      <w:outlineLvl w:val="3"/>
    </w:pPr>
    <w:rPr>
      <w:sz w:val="26"/>
      <w:szCs w:val="28"/>
      <w:lang w:eastAsia="en-US"/>
    </w:rPr>
  </w:style>
  <w:style w:type="paragraph" w:styleId="Style48">
    <w:name w:val="УРОВЕНЬ_-"/>
    <w:basedOn w:val="ListParagraph"/>
    <w:qFormat/>
    <w:pPr>
      <w:spacing w:lineRule="exact" w:line="360" w:before="120" w:after="0"/>
      <w:ind w:left="720" w:right="0" w:hanging="0"/>
      <w:contextualSpacing/>
      <w:jc w:val="both"/>
      <w:outlineLvl w:val="4"/>
    </w:pPr>
    <w:rPr>
      <w:sz w:val="26"/>
      <w:szCs w:val="28"/>
      <w:lang w:eastAsia="en-US"/>
    </w:rPr>
  </w:style>
  <w:style w:type="paragraph" w:styleId="29">
    <w:name w:val="УРОВЕНЬ_Абзац_тип2"/>
    <w:basedOn w:val="ListParagraph"/>
    <w:qFormat/>
    <w:pPr>
      <w:numPr>
        <w:ilvl w:val="0"/>
        <w:numId w:val="4"/>
      </w:num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7">
    <w:name w:val="УРОВЕНЬ_Абзац_тип3"/>
    <w:basedOn w:val="ListParagraph"/>
    <w:qFormat/>
    <w:pPr>
      <w:numPr>
        <w:ilvl w:val="0"/>
        <w:numId w:val="4"/>
      </w:num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49">
    <w:name w:val="УРОВЕНЬ_Подпись"/>
    <w:basedOn w:val="ListParagraph"/>
    <w:qFormat/>
    <w:pPr>
      <w:keepNext w:val="true"/>
      <w:spacing w:lineRule="exact" w:line="360" w:before="120" w:after="120"/>
      <w:ind w:left="720" w:right="0" w:hanging="0"/>
      <w:contextualSpacing/>
      <w:jc w:val="right"/>
      <w:outlineLvl w:val="3"/>
    </w:pPr>
    <w:rPr>
      <w:sz w:val="26"/>
      <w:szCs w:val="28"/>
      <w:lang w:eastAsia="en-US"/>
    </w:rPr>
  </w:style>
  <w:style w:type="paragraph" w:styleId="19">
    <w:name w:val="Стиль Заголовок 1 + по ширине"/>
    <w:basedOn w:val="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right="0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Style50">
    <w:name w:val="Endnote Text"/>
    <w:basedOn w:val="Normal"/>
    <w:pPr/>
    <w:rPr>
      <w:sz w:val="20"/>
      <w:szCs w:val="20"/>
    </w:rPr>
  </w:style>
  <w:style w:type="paragraph" w:styleId="210">
    <w:name w:val="Заголовок 2 КВВ"/>
    <w:basedOn w:val="Normal"/>
    <w:qFormat/>
    <w:pPr>
      <w:keepNext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5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10">
    <w:name w:val="УРОВЕНЬ_1."/>
    <w:basedOn w:val="ListParagraph"/>
    <w:qFormat/>
    <w:pPr>
      <w:keepNext w:val="true"/>
      <w:keepLines/>
      <w:spacing w:lineRule="auto" w:line="276" w:before="240" w:after="120"/>
      <w:ind w:left="0" w:righ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62">
    <w:name w:val="TOC 6"/>
    <w:basedOn w:val="Normal"/>
    <w:next w:val="Normal"/>
    <w:autoRedefine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72">
    <w:name w:val="TOC 7"/>
    <w:basedOn w:val="Normal"/>
    <w:next w:val="Normal"/>
    <w:autoRedefine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82">
    <w:name w:val="TOC 8"/>
    <w:basedOn w:val="Normal"/>
    <w:next w:val="Normal"/>
    <w:autoRedefine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Msonormalmrcssattrmrcssattrmrcssattr">
    <w:name w:val="msonormalmrcssattrmrcssattr_mr_css_attr"/>
    <w:basedOn w:val="Normal"/>
    <w:qFormat/>
    <w:pPr>
      <w:spacing w:before="280" w:after="280"/>
    </w:pPr>
    <w:rPr>
      <w:sz w:val="24"/>
      <w:szCs w:val="24"/>
    </w:rPr>
  </w:style>
  <w:style w:type="paragraph" w:styleId="Style52">
    <w:name w:val="Содержимое врезки"/>
    <w:basedOn w:val="Normal"/>
    <w:qFormat/>
    <w:pPr/>
    <w:rPr/>
  </w:style>
  <w:style w:type="paragraph" w:styleId="Style53">
    <w:name w:val="Содержимое таблицы"/>
    <w:basedOn w:val="Normal"/>
    <w:qFormat/>
    <w:pPr>
      <w:widowControl w:val="false"/>
      <w:suppressLineNumbers/>
    </w:pPr>
    <w:rPr/>
  </w:style>
  <w:style w:type="paragraph" w:styleId="Style54">
    <w:name w:val="Заголовок таблицы"/>
    <w:basedOn w:val="Style53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  <w:style w:type="numbering" w:styleId="111">
    <w:name w:val="Стиль1"/>
    <w:qFormat/>
  </w:style>
  <w:style w:type="numbering" w:styleId="211">
    <w:name w:val="Стиль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2757</TotalTime>
  <Application>LibreOffice/7.1.8.1$Linux_X86_64 LibreOffice_project/10$Build-1</Application>
  <AppVersion>15.0000</AppVersion>
  <Pages>6</Pages>
  <Words>837</Words>
  <Characters>5362</Characters>
  <CharactersWithSpaces>10445</CharactersWithSpaces>
  <Paragraphs>151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2024-04-08T12:31:00Z</dcterms:created>
  <dc:creator>Быстров Олег Геннадьевич</dc:creator>
  <dc:description/>
  <dc:language>ru-RU</dc:language>
  <cp:lastModifiedBy/>
  <cp:lastPrinted>2025-11-07T13:43:06Z</cp:lastPrinted>
  <dcterms:modified xsi:type="dcterms:W3CDTF">2026-08-04T10:12:19Z</dcterms:modified>
  <cp:revision>31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