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header4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 w:val="false"/>
        <w:jc w:val="right"/>
        <w:rPr>
          <w:b/>
          <w:b/>
          <w:bCs/>
          <w:sz w:val="26"/>
          <w:szCs w:val="26"/>
        </w:rPr>
      </w:pPr>
      <w:r>
        <w:rPr>
          <w:b/>
          <w:bCs/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  <w:t>Технические требования на поставку МТР</w:t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sz w:val="26"/>
          <w:szCs w:val="26"/>
        </w:rPr>
      </w:pPr>
      <w:r>
        <w:rPr>
          <w:rFonts w:eastAsia="Calibri"/>
          <w:b/>
          <w:sz w:val="26"/>
          <w:szCs w:val="26"/>
        </w:rPr>
      </w:r>
    </w:p>
    <w:p>
      <w:pPr>
        <w:pStyle w:val="1"/>
        <w:widowControl w:val="false"/>
        <w:numPr>
          <w:ilvl w:val="0"/>
          <w:numId w:val="0"/>
        </w:numPr>
        <w:ind w:left="851" w:hanging="0"/>
        <w:jc w:val="center"/>
        <w:rPr>
          <w:rFonts w:ascii="Times New Roman" w:hAnsi="Times New Roman"/>
          <w:b/>
          <w:b/>
          <w:bCs/>
        </w:rPr>
      </w:pPr>
      <w:bookmarkStart w:id="0" w:name="_Toc236750704"/>
      <w:r>
        <w:rPr>
          <w:rFonts w:ascii="Times New Roman" w:hAnsi="Times New Roman"/>
          <w:b/>
          <w:bCs/>
          <w:sz w:val="24"/>
          <w:szCs w:val="24"/>
        </w:rPr>
        <w:t xml:space="preserve">ОКПД 2: </w:t>
      </w:r>
      <w:r>
        <w:rPr>
          <w:rFonts w:ascii="Times New Roman" w:hAnsi="Times New Roman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26.51.53</w:t>
      </w:r>
      <w:r>
        <w:rPr>
          <w:rFonts w:ascii="Times New Roman" w:hAnsi="Times New Roman"/>
          <w:b/>
          <w:bCs/>
          <w:sz w:val="24"/>
          <w:szCs w:val="24"/>
        </w:rPr>
        <w:t>. Поставка лабораторных реакторов (автоклавов) высокого давления для оснащения лаборатории глубокой переработки и утилизации золошлаковых отходов АО «ВНИИГ им.  Б.Е. Веденеева».</w:t>
      </w:r>
      <w:bookmarkEnd w:id="0"/>
    </w:p>
    <w:p>
      <w:pPr>
        <w:pStyle w:val="Normal"/>
        <w:widowControl w:val="false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trike/>
          <w:sz w:val="26"/>
          <w:szCs w:val="26"/>
        </w:rPr>
      </w:pPr>
      <w:r>
        <w:rPr>
          <w:rFonts w:eastAsia="Calibri"/>
          <w:b/>
          <w:sz w:val="26"/>
          <w:szCs w:val="26"/>
        </w:rPr>
        <w:t xml:space="preserve">Лот № </w:t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6"/>
          <w:szCs w:val="26"/>
        </w:rPr>
      </w:pPr>
      <w:r>
        <w:rPr>
          <w:rFonts w:eastAsia="Calibri"/>
          <w:b/>
          <w:i/>
          <w:sz w:val="26"/>
          <w:szCs w:val="26"/>
        </w:rPr>
      </w:r>
    </w:p>
    <w:p>
      <w:pPr>
        <w:pStyle w:val="Normal"/>
        <w:widowControl w:val="false"/>
        <w:jc w:val="both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widowControl w:val="false"/>
        <w:rPr>
          <w:sz w:val="26"/>
          <w:szCs w:val="26"/>
        </w:rPr>
      </w:pPr>
      <w:r>
        <w:rPr>
          <w:sz w:val="26"/>
          <w:szCs w:val="26"/>
        </w:rPr>
      </w:r>
      <w:r>
        <w:br w:type="page"/>
      </w:r>
    </w:p>
    <w:p>
      <w:pPr>
        <w:pStyle w:val="Normal"/>
        <w:widowControl w:val="false"/>
        <w:jc w:val="center"/>
        <w:rPr>
          <w:b/>
          <w:b/>
        </w:rPr>
      </w:pPr>
      <w:r>
        <w:rPr>
          <w:b/>
        </w:rPr>
        <w:t>СОДЕРЖАНИЕ</w:t>
      </w:r>
      <w:bookmarkStart w:id="1" w:name="_GoBack"/>
      <w:bookmarkEnd w:id="1"/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r>
            <w:fldChar w:fldCharType="begin"/>
          </w:r>
          <w:r>
            <w:rPr>
              <w:webHidden/>
              <w:rFonts w:eastAsia="Arial"/>
            </w:rPr>
            <w:instrText> TOC \z \o "1-4" \u \h</w:instrText>
          </w:r>
          <w:r>
            <w:rPr>
              <w:webHidden/>
              <w:rFonts w:eastAsia="Arial"/>
            </w:rPr>
            <w:fldChar w:fldCharType="separate"/>
          </w:r>
          <w:hyperlink w:anchor="_Toc236750704">
            <w:r>
              <w:rPr>
                <w:webHidden/>
                <w:rFonts w:eastAsia="Arial"/>
              </w:rPr>
              <w:t>ОКПД 2: 32.50.12. Поставка лабораторных реакторов (автоклавов) высокого давления для оснащения лаборатории глубокой переработки и утилизации золошлаковых отходов АО «ВНИИГ им.  Б.Е. Веденеева».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_Toc236750704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1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750705">
            <w:r>
              <w:rPr>
                <w:webHidden/>
                <w:rFonts w:eastAsia="Arial"/>
              </w:rPr>
              <w:t>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</w:rPr>
              <w:t>Общие сведения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_Toc236750705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750706">
            <w:r>
              <w:rPr>
                <w:webHidden/>
                <w:rFonts w:eastAsia="Arial"/>
                <w:i/>
                <w:iCs/>
              </w:rPr>
              <w:t>1.1.</w:t>
            </w:r>
            <w:r>
              <w:rPr>
                <w:rFonts w:eastAsia="Arial"/>
              </w:rPr>
              <w:t xml:space="preserve"> Обозначения и сокращения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_Toc236750706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750707">
            <w:r>
              <w:rPr>
                <w:webHidden/>
                <w:rFonts w:eastAsia="Arial"/>
              </w:rPr>
              <w:t>1.2. Наименование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_Toc236750707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750708">
            <w:r>
              <w:rPr>
                <w:webHidden/>
                <w:rFonts w:eastAsia="Arial"/>
              </w:rPr>
              <w:t>1.3. Цель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_Toc236750708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750709">
            <w:r>
              <w:rPr>
                <w:webHidden/>
                <w:rFonts w:eastAsia="Arial"/>
              </w:rPr>
              <w:t>1.4. 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_Toc236750709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left" w:pos="56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750710">
            <w:r>
              <w:rPr>
                <w:webHidden/>
                <w:rFonts w:eastAsia="Arial"/>
              </w:rPr>
              <w:t>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b w:val="false"/>
                <w:bCs w:val="false"/>
                <w:sz w:val="22"/>
                <w:szCs w:val="22"/>
              </w:rPr>
              <w:tab/>
            </w:r>
            <w:r>
              <w:rPr>
                <w:rFonts w:eastAsia="Arial"/>
                <w:iCs/>
              </w:rPr>
              <w:t>Требования к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_Toc236750710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750711">
            <w:r>
              <w:rPr>
                <w:webHidden/>
                <w:rFonts w:eastAsia="Arial"/>
              </w:rPr>
              <w:t>2.1. Требования к объемам и срокам поставки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_Toc236750711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750712">
            <w:r>
              <w:rPr>
                <w:webHidden/>
                <w:rFonts w:eastAsia="Arial"/>
              </w:rPr>
              <w:t>2.1.1.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_Toc236750712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750713">
            <w:r>
              <w:rPr>
                <w:webHidden/>
                <w:rFonts w:eastAsia="Arial"/>
              </w:rPr>
              <w:t>Таблица 1.1 Перечень и объем закупаемой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_Toc236750713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34"/>
            <w:tabs>
              <w:tab w:val="clear" w:pos="708"/>
              <w:tab w:val="left" w:pos="1120" w:leader="none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750714">
            <w:r>
              <w:rPr>
                <w:webHidden/>
                <w:rFonts w:eastAsia="Arial"/>
              </w:rPr>
              <w:t>2.1.2.</w:t>
            </w:r>
            <w:r>
              <w:rPr>
                <w:rFonts w:eastAsia="Arial" w:cs="Arial" w:ascii="Calibri" w:hAnsi="Calibri" w:asciiTheme="minorHAnsi" w:cstheme="minorBidi" w:eastAsiaTheme="minorEastAsia" w:hAnsiTheme="minorHAnsi"/>
                <w:sz w:val="22"/>
                <w:szCs w:val="22"/>
              </w:rPr>
              <w:tab/>
            </w:r>
            <w:r>
              <w:rPr>
                <w:rFonts w:eastAsia="Arial"/>
              </w:rPr>
              <w:t>Требования к срокам поставки продукции и оказания сопутствующих услуг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_Toc236750714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750715">
            <w:r>
              <w:rPr>
                <w:webHidden/>
                <w:rFonts w:eastAsia="Arial"/>
              </w:rPr>
              <w:t>Таблица 2.1 Требования по срокам поставки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_Toc236750715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42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sz w:val="22"/>
              <w:szCs w:val="22"/>
            </w:rPr>
          </w:pPr>
          <w:hyperlink w:anchor="_Toc236750716">
            <w:r>
              <w:rPr>
                <w:webHidden/>
                <w:rFonts w:eastAsia="Arial"/>
              </w:rPr>
              <w:t>2.2.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_Toc236750716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750717">
            <w:r>
              <w:rPr>
                <w:webHidden/>
                <w:rFonts w:eastAsia="Arial"/>
              </w:rPr>
              <w:t>Таблица 3.1.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_Toc236750717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750718">
            <w:r>
              <w:rPr>
                <w:webHidden/>
                <w:rFonts w:eastAsia="Arial"/>
                <w:i/>
                <w:iCs/>
              </w:rPr>
              <w:t xml:space="preserve">Наименование продукции: </w:t>
            </w:r>
            <w:r>
              <w:rPr>
                <w:rFonts w:eastAsia="Arial"/>
              </w:rPr>
              <w:t>Реактор Модель A3115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_Toc236750718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4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750719">
            <w:r>
              <w:rPr>
                <w:webHidden/>
                <w:rFonts w:eastAsia="Arial"/>
              </w:rPr>
              <w:t>Таблица 3.2. Требования к качеству продукции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_Toc236750719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19"/>
            <w:tabs>
              <w:tab w:val="clear" w:pos="708"/>
              <w:tab w:val="right" w:pos="9911" w:leader="dot"/>
            </w:tabs>
            <w:rPr>
              <w:rFonts w:ascii="Calibri" w:hAnsi="Calibri" w:eastAsia="Arial" w:cs="Arial" w:asciiTheme="minorHAnsi" w:cstheme="minorBidi" w:eastAsiaTheme="minorEastAsia" w:hAnsiTheme="minorHAnsi"/>
              <w:b w:val="false"/>
              <w:b w:val="false"/>
              <w:bCs w:val="false"/>
              <w:sz w:val="22"/>
              <w:szCs w:val="22"/>
            </w:rPr>
          </w:pPr>
          <w:hyperlink w:anchor="_Toc236750720">
            <w:r>
              <w:rPr>
                <w:webHidden/>
                <w:rFonts w:eastAsia="Arial"/>
                <w:i/>
                <w:iCs/>
              </w:rPr>
              <w:t xml:space="preserve">Наименование продукции: </w:t>
            </w:r>
            <w:r>
              <w:rPr>
                <w:rFonts w:eastAsia="Arial"/>
              </w:rPr>
              <w:t>Реактор Модель A3405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>PAGEREF _Toc236750720 \h</w:instrText>
            </w:r>
            <w:r>
              <w:rPr>
                <w:webHidden/>
              </w:rPr>
              <w:fldChar w:fldCharType="separate"/>
            </w:r>
            <w:r>
              <w:rPr>
                <w:vanish w:val="false"/>
              </w:rPr>
              <w:tab/>
              <w:t>6</w:t>
            </w:r>
            <w:r>
              <w:rPr>
                <w:webHidden/>
              </w:rPr>
              <w:fldChar w:fldCharType="end"/>
            </w:r>
          </w:hyperlink>
          <w:r>
            <w:rPr>
              <w:vanish w:val="false"/>
            </w:rPr>
            <w:fldChar w:fldCharType="end"/>
          </w:r>
        </w:p>
      </w:sdtContent>
    </w:sdt>
    <w:p>
      <w:pPr>
        <w:pStyle w:val="19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9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19"/>
        <w:widowControl w:val="false"/>
        <w:tabs>
          <w:tab w:val="clear" w:pos="708"/>
          <w:tab w:val="left" w:pos="560" w:leader="none"/>
          <w:tab w:val="right" w:pos="9911" w:leader="dot"/>
        </w:tabs>
        <w:rPr>
          <w:rFonts w:ascii="Calibri" w:hAnsi="Calibri" w:eastAsia="Arial" w:cs="Arial" w:asciiTheme="minorHAnsi" w:cstheme="minorBidi" w:eastAsiaTheme="minorEastAsia" w:hAnsiTheme="minorHAnsi"/>
          <w:b w:val="false"/>
          <w:b w:val="false"/>
          <w:bCs w:val="false"/>
          <w:sz w:val="22"/>
          <w:szCs w:val="22"/>
        </w:rPr>
      </w:pPr>
      <w:r>
        <w:rPr>
          <w:rFonts w:eastAsia="Arial" w:cs="Arial" w:cstheme="minorBidi" w:eastAsiaTheme="minorEastAsia" w:ascii="Calibri" w:hAnsi="Calibri"/>
          <w:b w:val="false"/>
          <w:bCs w:val="false"/>
          <w:sz w:val="22"/>
          <w:szCs w:val="22"/>
        </w:rPr>
      </w:r>
    </w:p>
    <w:p>
      <w:pPr>
        <w:pStyle w:val="2"/>
        <w:keepNext w:val="false"/>
        <w:widowControl w:val="false"/>
        <w:tabs>
          <w:tab w:val="clear" w:pos="0"/>
        </w:tabs>
        <w:ind w:left="0" w:hanging="0"/>
        <w:rPr>
          <w:b w:val="false"/>
          <w:b w:val="false"/>
          <w:i/>
          <w:i/>
        </w:rPr>
      </w:pPr>
      <w:r>
        <w:rPr>
          <w:b w:val="false"/>
          <w:i/>
        </w:rPr>
      </w:r>
    </w:p>
    <w:p>
      <w:pPr>
        <w:pStyle w:val="Normal"/>
        <w:widowControl w:val="false"/>
        <w:jc w:val="center"/>
        <w:rPr>
          <w:rFonts w:eastAsia="Calibri"/>
          <w:b/>
          <w:b/>
          <w:i/>
          <w:i/>
          <w:sz w:val="24"/>
          <w:szCs w:val="24"/>
        </w:rPr>
      </w:pPr>
      <w:r>
        <w:rPr>
          <w:rFonts w:eastAsia="Calibri"/>
          <w:b/>
          <w:i/>
          <w:sz w:val="24"/>
          <w:szCs w:val="24"/>
        </w:rPr>
      </w:r>
      <w:r>
        <w:br w:type="page"/>
      </w:r>
    </w:p>
    <w:p>
      <w:pPr>
        <w:pStyle w:val="1"/>
        <w:keepNext w:val="false"/>
        <w:widowControl w:val="false"/>
        <w:ind w:left="357" w:hanging="357"/>
        <w:jc w:val="center"/>
        <w:rPr>
          <w:caps/>
        </w:rPr>
      </w:pPr>
      <w:bookmarkStart w:id="2" w:name="_Toc236750705"/>
      <w:bookmarkStart w:id="3" w:name="_Toc51339692"/>
      <w:r>
        <w:rPr/>
        <w:t>Общие сведения</w:t>
      </w:r>
      <w:bookmarkEnd w:id="2"/>
      <w:bookmarkEnd w:id="3"/>
    </w:p>
    <w:p>
      <w:pPr>
        <w:pStyle w:val="4"/>
        <w:keepNext w:val="false"/>
        <w:widowControl w:val="false"/>
        <w:numPr>
          <w:ilvl w:val="1"/>
          <w:numId w:val="15"/>
        </w:numPr>
        <w:ind w:left="0" w:firstLine="567"/>
        <w:rPr>
          <w:rStyle w:val="Style17"/>
          <w:iCs/>
          <w:sz w:val="26"/>
          <w:szCs w:val="26"/>
        </w:rPr>
      </w:pPr>
      <w:bookmarkStart w:id="4" w:name="_Toc236750706"/>
      <w:bookmarkStart w:id="5" w:name="_Toc46743505"/>
      <w:r>
        <w:rPr/>
        <w:t>Обозначения и сокращения</w:t>
      </w:r>
      <w:bookmarkEnd w:id="4"/>
      <w:bookmarkEnd w:id="5"/>
    </w:p>
    <w:tbl>
      <w:tblPr>
        <w:tblW w:w="9783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785"/>
        <w:gridCol w:w="7997"/>
      </w:tblGrid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Государственный стандарт, национальный стандарт РФ</w:t>
            </w:r>
          </w:p>
        </w:tc>
      </w:tr>
      <w:tr>
        <w:trPr>
          <w:cantSplit w:val="true"/>
        </w:trPr>
        <w:tc>
          <w:tcPr>
            <w:tcW w:w="1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/>
            </w:pPr>
            <w:r>
              <w:rPr/>
              <w:t>ГОСТ Р</w:t>
            </w:r>
          </w:p>
        </w:tc>
        <w:tc>
          <w:tcPr>
            <w:tcW w:w="7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ind w:firstLine="567"/>
              <w:jc w:val="both"/>
              <w:rPr>
                <w:i/>
                <w:i/>
                <w:iCs/>
                <w:sz w:val="24"/>
                <w:szCs w:val="24"/>
              </w:rPr>
            </w:pPr>
            <w:r>
              <w:rPr>
                <w:i/>
                <w:iCs/>
                <w:sz w:val="24"/>
                <w:szCs w:val="24"/>
              </w:rPr>
              <w:t>Государственные стандарты, принимаемые только в России</w:t>
            </w:r>
          </w:p>
        </w:tc>
      </w:tr>
    </w:tbl>
    <w:p>
      <w:pPr>
        <w:pStyle w:val="Normal"/>
        <w:widowControl w:val="false"/>
        <w:ind w:firstLine="567"/>
        <w:rPr>
          <w:sz w:val="16"/>
          <w:szCs w:val="16"/>
        </w:rPr>
      </w:pPr>
      <w:r>
        <w:rPr>
          <w:sz w:val="16"/>
          <w:szCs w:val="16"/>
        </w:rPr>
      </w:r>
    </w:p>
    <w:p>
      <w:pPr>
        <w:pStyle w:val="4"/>
        <w:keepNext w:val="false"/>
        <w:widowControl w:val="false"/>
        <w:numPr>
          <w:ilvl w:val="1"/>
          <w:numId w:val="16"/>
        </w:numPr>
        <w:ind w:left="0" w:firstLine="567"/>
        <w:rPr/>
      </w:pPr>
      <w:bookmarkStart w:id="6" w:name="_Toc236750707"/>
      <w:r>
        <w:rPr/>
        <w:t>Наименование закупаемой продукции</w:t>
      </w:r>
      <w:bookmarkEnd w:id="6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rFonts w:eastAsia="Calibri"/>
          <w:bCs/>
          <w:sz w:val="24"/>
          <w:szCs w:val="24"/>
        </w:rPr>
        <w:t>Поставка лабораторных реакторов (автоклавов) высокого давления  для оснащения лаборатории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7"/>
        </w:numPr>
        <w:ind w:left="0" w:firstLine="567"/>
        <w:rPr/>
      </w:pPr>
      <w:bookmarkStart w:id="7" w:name="_Toc236750708"/>
      <w:r>
        <w:rPr/>
        <w:t>Цель поставки</w:t>
      </w:r>
      <w:bookmarkEnd w:id="7"/>
    </w:p>
    <w:p>
      <w:pPr>
        <w:pStyle w:val="Normal"/>
        <w:widowControl w:val="false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Использование закупаемой продукции для оснащения лаборатории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 АО «ВНИИГ им.  Б.Е. Веденеева».</w:t>
      </w:r>
    </w:p>
    <w:p>
      <w:pPr>
        <w:pStyle w:val="4"/>
        <w:keepNext w:val="false"/>
        <w:widowControl w:val="false"/>
        <w:numPr>
          <w:ilvl w:val="1"/>
          <w:numId w:val="18"/>
        </w:numPr>
        <w:ind w:left="0" w:firstLine="567"/>
        <w:rPr/>
      </w:pPr>
      <w:bookmarkStart w:id="8" w:name="_Toc236750709"/>
      <w:bookmarkStart w:id="9" w:name="_Toc46743508"/>
      <w:r>
        <w:rPr/>
        <w:t>Существующее положение</w:t>
      </w:r>
      <w:bookmarkEnd w:id="8"/>
      <w:bookmarkEnd w:id="9"/>
    </w:p>
    <w:p>
      <w:pPr>
        <w:pStyle w:val="Normal"/>
        <w:widowControl w:val="false"/>
        <w:spacing w:lineRule="auto" w:line="276"/>
        <w:ind w:firstLine="567"/>
        <w:jc w:val="both"/>
        <w:rPr>
          <w:bCs/>
          <w:sz w:val="24"/>
          <w:szCs w:val="24"/>
        </w:rPr>
      </w:pPr>
      <w:bookmarkStart w:id="10" w:name="_Toc46743509"/>
      <w:bookmarkStart w:id="11" w:name="_Hlk49857604"/>
      <w:bookmarkEnd w:id="10"/>
      <w:bookmarkEnd w:id="11"/>
      <w:r>
        <w:rPr>
          <w:bCs/>
          <w:sz w:val="24"/>
          <w:szCs w:val="24"/>
        </w:rPr>
        <w:t xml:space="preserve">В настоящее время в </w:t>
      </w:r>
      <w:r>
        <w:rPr>
          <w:sz w:val="24"/>
          <w:szCs w:val="24"/>
        </w:rPr>
        <w:t xml:space="preserve">АО «ВНИИГ им. Б.Е. Веденеева» </w:t>
      </w:r>
      <w:r>
        <w:rPr>
          <w:bCs/>
          <w:sz w:val="24"/>
          <w:szCs w:val="24"/>
        </w:rPr>
        <w:t>отсутствует лабораторная база по направлению исследований</w:t>
      </w:r>
      <w:r>
        <w:rPr>
          <w:rFonts w:eastAsia="Calibri"/>
          <w:sz w:val="24"/>
          <w:szCs w:val="24"/>
        </w:rPr>
        <w:t xml:space="preserve"> глубокой переработки и утилизации золошлаковых отходов.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Поставка закупаемой продукции осуществляются для нужд </w:t>
      </w:r>
      <w:r>
        <w:rPr>
          <w:sz w:val="24"/>
          <w:szCs w:val="24"/>
        </w:rPr>
        <w:t>АО «ВНИИГ им. Б.Е. Веденеева», 195220, г. Санкт-Петербург, ул. Гжатская, д.21.</w:t>
      </w:r>
    </w:p>
    <w:p>
      <w:pPr>
        <w:pStyle w:val="Normal"/>
        <w:widowControl w:val="false"/>
        <w:shd w:val="clear" w:color="auto" w:fill="FFFFFF"/>
        <w:tabs>
          <w:tab w:val="clear" w:pos="708"/>
          <w:tab w:val="left" w:pos="426" w:leader="none"/>
          <w:tab w:val="left" w:pos="1134" w:leader="none"/>
        </w:tabs>
        <w:spacing w:lineRule="auto" w:line="276"/>
        <w:ind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</w:r>
    </w:p>
    <w:p>
      <w:pPr>
        <w:pStyle w:val="1"/>
        <w:keepNext w:val="false"/>
        <w:widowControl w:val="false"/>
        <w:ind w:left="0" w:firstLine="567"/>
        <w:jc w:val="center"/>
        <w:rPr>
          <w:iCs/>
          <w:caps/>
        </w:rPr>
      </w:pPr>
      <w:bookmarkStart w:id="12" w:name="_Toc51339693"/>
      <w:bookmarkStart w:id="13" w:name="_Toc50125126"/>
      <w:bookmarkStart w:id="14" w:name="_Toc236750710"/>
      <w:bookmarkStart w:id="15" w:name="_Toc46743509_Копия_1"/>
      <w:bookmarkStart w:id="16" w:name="_Hlk49857604_Копия_1"/>
      <w:bookmarkStart w:id="17" w:name="_Toc46743510"/>
      <w:bookmarkEnd w:id="15"/>
      <w:bookmarkEnd w:id="16"/>
      <w:bookmarkEnd w:id="17"/>
      <w:r>
        <w:rPr>
          <w:iCs/>
        </w:rPr>
        <w:t>Требования к продукции</w:t>
      </w:r>
      <w:bookmarkEnd w:id="12"/>
      <w:bookmarkEnd w:id="14"/>
    </w:p>
    <w:p>
      <w:pPr>
        <w:pStyle w:val="4"/>
        <w:keepNext w:val="false"/>
        <w:widowControl w:val="false"/>
        <w:numPr>
          <w:ilvl w:val="1"/>
          <w:numId w:val="19"/>
        </w:numPr>
        <w:ind w:left="0" w:firstLine="567"/>
        <w:rPr/>
      </w:pPr>
      <w:bookmarkStart w:id="18" w:name="_Toc236750711"/>
      <w:r>
        <w:rPr/>
        <w:t>Требования к объемам и срокам поставки</w:t>
      </w:r>
      <w:bookmarkEnd w:id="18"/>
    </w:p>
    <w:p>
      <w:pPr>
        <w:pStyle w:val="3"/>
        <w:keepNext w:val="false"/>
        <w:widowControl w:val="false"/>
        <w:numPr>
          <w:ilvl w:val="2"/>
          <w:numId w:val="20"/>
        </w:numPr>
        <w:ind w:left="0" w:firstLine="567"/>
        <w:rPr/>
      </w:pPr>
      <w:bookmarkStart w:id="19" w:name="_Toc236750712"/>
      <w:r>
        <w:rPr/>
        <w:t>Перечень и объем закупаемой продукции</w:t>
      </w:r>
      <w:bookmarkEnd w:id="19"/>
    </w:p>
    <w:p>
      <w:pPr>
        <w:pStyle w:val="1"/>
        <w:keepNext w:val="false"/>
        <w:widowControl w:val="false"/>
        <w:numPr>
          <w:ilvl w:val="0"/>
          <w:numId w:val="0"/>
        </w:numPr>
        <w:spacing w:before="240" w:after="60"/>
        <w:ind w:left="0" w:firstLine="567"/>
        <w:rPr>
          <w:bCs/>
          <w:i/>
          <w:i/>
          <w:sz w:val="24"/>
          <w:szCs w:val="24"/>
          <w:shd w:fill="FFFF99" w:val="clear"/>
        </w:rPr>
      </w:pPr>
      <w:bookmarkStart w:id="20" w:name="_Toc236750713"/>
      <w:bookmarkStart w:id="21" w:name="_Toc51339695"/>
      <w:r>
        <w:rPr>
          <w:sz w:val="24"/>
          <w:szCs w:val="24"/>
        </w:rPr>
        <w:t xml:space="preserve">Таблица 1.1 Перечень </w:t>
      </w:r>
      <w:bookmarkEnd w:id="21"/>
      <w:r>
        <w:rPr>
          <w:sz w:val="24"/>
          <w:szCs w:val="24"/>
        </w:rPr>
        <w:t>и объем закупаемой продукции</w:t>
      </w:r>
      <w:bookmarkEnd w:id="20"/>
    </w:p>
    <w:tbl>
      <w:tblPr>
        <w:tblW w:w="9812" w:type="dxa"/>
        <w:jc w:val="left"/>
        <w:tblInd w:w="109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843"/>
        <w:gridCol w:w="6135"/>
        <w:gridCol w:w="1420"/>
        <w:gridCol w:w="1413"/>
      </w:tblGrid>
      <w:tr>
        <w:trPr>
          <w:tblHeader w:val="true"/>
        </w:trPr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измерения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реактор Модель A3115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реактор Модель A3405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шт.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/>
                <w:i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  <w:tr>
        <w:trPr/>
        <w:tc>
          <w:tcPr>
            <w:tcW w:w="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rPr/>
            </w:pPr>
            <w:r>
              <w:rPr/>
            </w:r>
          </w:p>
        </w:tc>
        <w:tc>
          <w:tcPr>
            <w:tcW w:w="6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Доставка по адресу: г. Санкт-Петербург, ул. Гжатская, д. 21.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Усл.ед.</w:t>
            </w:r>
          </w:p>
        </w:tc>
        <w:tc>
          <w:tcPr>
            <w:tcW w:w="1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426" w:leader="none"/>
        </w:tabs>
        <w:spacing w:before="120" w:after="120"/>
        <w:ind w:firstLine="142"/>
        <w:rPr>
          <w:bCs/>
          <w:i/>
          <w:i/>
          <w:sz w:val="16"/>
          <w:szCs w:val="16"/>
          <w:shd w:fill="FFFF99" w:val="clear"/>
        </w:rPr>
      </w:pPr>
      <w:r>
        <w:rPr>
          <w:bCs/>
          <w:i/>
          <w:sz w:val="16"/>
          <w:szCs w:val="16"/>
          <w:shd w:fill="FFFF99" w:val="clear"/>
        </w:rPr>
      </w:r>
    </w:p>
    <w:p>
      <w:pPr>
        <w:pStyle w:val="3"/>
        <w:keepNext w:val="false"/>
        <w:widowControl w:val="false"/>
        <w:numPr>
          <w:ilvl w:val="2"/>
          <w:numId w:val="21"/>
        </w:numPr>
        <w:rPr/>
      </w:pPr>
      <w:bookmarkStart w:id="22" w:name="_Toc236750714"/>
      <w:bookmarkStart w:id="23" w:name="_Toc51339696"/>
      <w:r>
        <w:rPr/>
        <w:t xml:space="preserve">Требования </w:t>
      </w:r>
      <w:bookmarkEnd w:id="23"/>
      <w:r>
        <w:rPr/>
        <w:t>к срокам поставки продукции и оказания сопутствующих услуг</w:t>
      </w:r>
      <w:bookmarkStart w:id="24" w:name="_Toc50125127"/>
      <w:bookmarkStart w:id="25" w:name="_Toc51339697"/>
      <w:bookmarkEnd w:id="13"/>
      <w:bookmarkEnd w:id="22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sz w:val="24"/>
          <w:szCs w:val="24"/>
        </w:rPr>
      </w:pPr>
      <w:bookmarkStart w:id="26" w:name="_Toc236750715"/>
      <w:r>
        <w:rPr>
          <w:sz w:val="24"/>
          <w:szCs w:val="24"/>
        </w:rPr>
        <w:t xml:space="preserve">Таблица 2.1 </w:t>
      </w:r>
      <w:bookmarkStart w:id="27" w:name="_Hlk50465284"/>
      <w:r>
        <w:rPr>
          <w:sz w:val="24"/>
          <w:szCs w:val="24"/>
        </w:rPr>
        <w:t xml:space="preserve">Требования по срокам </w:t>
      </w:r>
      <w:bookmarkEnd w:id="24"/>
      <w:bookmarkEnd w:id="25"/>
      <w:bookmarkEnd w:id="27"/>
      <w:r>
        <w:rPr>
          <w:sz w:val="24"/>
          <w:szCs w:val="24"/>
        </w:rPr>
        <w:t>поставки продукции</w:t>
      </w:r>
      <w:bookmarkEnd w:id="26"/>
      <w:r>
        <w:rPr>
          <w:sz w:val="24"/>
          <w:szCs w:val="24"/>
        </w:rPr>
        <w:t xml:space="preserve"> </w:t>
      </w:r>
    </w:p>
    <w:p>
      <w:pPr>
        <w:pStyle w:val="Normal"/>
        <w:widowControl w:val="false"/>
        <w:jc w:val="right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pPr w:bottomFromText="0" w:horzAnchor="text" w:leftFromText="180" w:rightFromText="180" w:tblpX="0" w:tblpY="1" w:topFromText="0" w:vertAnchor="text"/>
        <w:tblW w:w="10031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1132"/>
        <w:gridCol w:w="2805"/>
        <w:gridCol w:w="2979"/>
        <w:gridCol w:w="3114"/>
      </w:tblGrid>
      <w:tr>
        <w:trPr>
          <w:tblHeader w:val="true"/>
        </w:trPr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продукции / партии продукции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началу срока поставки продукции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к окончанию срока поставки продукции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Style49"/>
              <w:keepNext w:val="false"/>
              <w:widowControl w:val="false"/>
              <w:spacing w:before="40" w:after="40"/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реактор Модель A3115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130 рабочих дней с даты заключения договора</w:t>
            </w:r>
          </w:p>
        </w:tc>
      </w:tr>
      <w:tr>
        <w:trPr/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ListParagraph"/>
              <w:widowControl w:val="false"/>
              <w:numPr>
                <w:ilvl w:val="0"/>
                <w:numId w:val="4"/>
              </w:numPr>
              <w:rPr/>
            </w:pPr>
            <w:r>
              <w:rPr/>
            </w:r>
          </w:p>
        </w:tc>
        <w:tc>
          <w:tcPr>
            <w:tcW w:w="2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rPr>
                <w:rFonts w:eastAsia="Calibri"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</w:rPr>
              <w:t>реактор Модель A3405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 даты, следующей за датой заключения Договора.</w:t>
            </w:r>
          </w:p>
        </w:tc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В течение  130 рабочих дней с даты заключения договора</w:t>
            </w:r>
          </w:p>
        </w:tc>
      </w:tr>
    </w:tbl>
    <w:p>
      <w:pPr>
        <w:sectPr>
          <w:headerReference w:type="default" r:id="rId2"/>
          <w:headerReference w:type="first" r:id="rId3"/>
          <w:type w:val="nextPage"/>
          <w:pgSz w:w="11906" w:h="16838"/>
          <w:pgMar w:left="1134" w:right="851" w:header="680" w:top="1134" w:footer="0" w:bottom="992" w:gutter="0"/>
          <w:pgNumType w:fmt="decimal"/>
          <w:formProt w:val="false"/>
          <w:titlePg/>
          <w:textDirection w:val="lrTb"/>
          <w:docGrid w:type="default" w:linePitch="360" w:charSpace="0"/>
        </w:sectPr>
      </w:pPr>
    </w:p>
    <w:p>
      <w:pPr>
        <w:pStyle w:val="4"/>
        <w:keepNext w:val="false"/>
        <w:widowControl w:val="false"/>
        <w:numPr>
          <w:ilvl w:val="1"/>
          <w:numId w:val="22"/>
        </w:numPr>
        <w:ind w:left="432" w:hanging="0"/>
        <w:rPr/>
      </w:pPr>
      <w:bookmarkStart w:id="28" w:name="_Toc236750716"/>
      <w:bookmarkStart w:id="29" w:name="_Toc46743511"/>
      <w:r>
        <w:rPr/>
        <w:t xml:space="preserve">Требования к </w:t>
      </w:r>
      <w:bookmarkEnd w:id="29"/>
      <w:r>
        <w:rPr/>
        <w:t>качеству продукции</w:t>
      </w:r>
      <w:bookmarkEnd w:id="28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i/>
          <w:i/>
          <w:sz w:val="24"/>
          <w:szCs w:val="24"/>
        </w:rPr>
      </w:pPr>
      <w:r>
        <w:rPr>
          <w:sz w:val="24"/>
          <w:szCs w:val="24"/>
        </w:rPr>
        <w:t xml:space="preserve"> </w:t>
      </w:r>
      <w:bookmarkStart w:id="30" w:name="_Toc236750717"/>
      <w:r>
        <w:rPr>
          <w:sz w:val="24"/>
          <w:szCs w:val="24"/>
        </w:rPr>
        <w:t>Таблица 3.1. Требования к качеству продукции</w:t>
      </w:r>
      <w:bookmarkEnd w:id="30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rStyle w:val="Style17"/>
          <w:b/>
          <w:b/>
          <w:i w:val="false"/>
          <w:i w:val="false"/>
          <w:sz w:val="24"/>
          <w:szCs w:val="24"/>
        </w:rPr>
      </w:pPr>
      <w:bookmarkStart w:id="31" w:name="_Toc236750718"/>
      <w:r>
        <w:rPr>
          <w:bCs/>
          <w:i/>
          <w:iCs/>
          <w:sz w:val="24"/>
          <w:szCs w:val="24"/>
        </w:rPr>
        <w:t xml:space="preserve">Наименование продукции: </w:t>
      </w:r>
      <w:r>
        <w:rPr>
          <w:sz w:val="26"/>
          <w:szCs w:val="26"/>
        </w:rPr>
        <w:t>Реактор Модель A3115</w:t>
      </w:r>
      <w:bookmarkEnd w:id="31"/>
    </w:p>
    <w:tbl>
      <w:tblPr>
        <w:tblStyle w:val="affff9"/>
        <w:tblW w:w="9945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1"/>
        <w:gridCol w:w="2883"/>
        <w:gridCol w:w="6321"/>
      </w:tblGrid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2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32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Объем, л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 л чистая вместимость</w:t>
            </w:r>
          </w:p>
        </w:tc>
      </w:tr>
      <w:tr>
        <w:trPr>
          <w:trHeight w:val="413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Материал конструкции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Части, контактирующие со средой: хастеллой C276</w:t>
            </w:r>
          </w:p>
        </w:tc>
      </w:tr>
      <w:tr>
        <w:trPr>
          <w:trHeight w:val="558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Расчетное давление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100 бар (Безопасное давление для продолжительной работы около 85% от расчетного)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Расчетная температура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500 °C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Максимальная рабочая температура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450 °C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Внутренний диаметр сосуда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185 мм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Внутренняя высота сосуда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420 мм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Минимальный перемешиваемый объем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 л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Монтаж крышки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Съемная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нагрева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Внешний ленточный керамический электронагреватель 7,5 кВт с изоляцией и кожухом и распределительной взрывозащищенной коробкой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Электродвигатель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365 Вт, переменный ток, 750 об/мин, плавный пуск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Мешалка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Двухуровневая турбинная мешалка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Уплотнение вала мешалки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Магнитная муфта М80 с макс. крутящим моментом 7,85 Нм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Охлаждающий змеевик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Спиральный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Уплотнение крышки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Графойл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Тип закрытия крышки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Составной зажим с зажимными болтами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Панель управления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Программируемый ПИД-регулятор температуры с сигнализацией о превышении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Цифровой индикатор давления с сигнализацией о превышении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kern w:val="0"/>
                <w:lang w:val="ru-RU" w:eastAsia="ru-RU" w:bidi="ar-SA"/>
              </w:rPr>
              <w:t>Частотно-регулируемый привод для управления скоростью электродвигателя.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Система автоматического охлаждения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Циркуляционный насос, бак, трубки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Для охлаждения поддержания заданной температуры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Водяной бак 10 л, насос и трубки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Для охлаждения магнитного привода, датчика давления и др. адаптеров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Подъемник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Механический цепной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Электропитание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3-ф., 380 В AC, 50 Гц, 16 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Монтаж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Подвижная рама-тележка с блокируемыми колесами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Ориентировочные габариты (Ш x Д x В) мм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</w:rPr>
            </w:pPr>
            <w:r>
              <w:rPr>
                <w:rFonts w:eastAsia="Times New Roman" w:cs="Times New Roman"/>
                <w:kern w:val="0"/>
                <w:lang w:val="ru-RU" w:eastAsia="ru-RU" w:bidi="ar-SA"/>
              </w:rPr>
              <w:t>1310 x 760 x 2300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912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Стандартные фитинги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32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Внешние клапаны и фитинги: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Мембранный манометр, н/ж сталь 316 покрытая ПТФЭ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Электронный датчик давления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Разрывная мембрана из хастеллоя C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Игольчатый клапан для впуска газа и клапан для отбора проб на общей погружной трубке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Выпускной игольчатый клапан для газа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Шаровой клапан 3/4 с конической воронкой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Донный клапан с диаметром 15 мм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Примечание: Все соединения имеют резьбу 1/4” NPT (M), а клапаны и фитинги сделаны из хастеллоя C, если не указано иное.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Внутренние фитинги:</w:t>
            </w:r>
          </w:p>
          <w:p>
            <w:pPr>
              <w:pStyle w:val="NoSpacing"/>
              <w:widowControl w:val="false"/>
              <w:numPr>
                <w:ilvl w:val="0"/>
                <w:numId w:val="14"/>
              </w:numPr>
              <w:suppressAutoHyphens w:val="false"/>
              <w:spacing w:lineRule="auto" w:line="240" w:before="0" w:after="0"/>
              <w:ind w:left="183" w:hanging="18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Термогильза (с RTD PT100 термодатчиком, взрывозащищенный)</w:t>
            </w:r>
          </w:p>
          <w:p>
            <w:pPr>
              <w:pStyle w:val="NoSpacing"/>
              <w:widowControl w:val="false"/>
              <w:numPr>
                <w:ilvl w:val="0"/>
                <w:numId w:val="14"/>
              </w:numPr>
              <w:suppressAutoHyphens w:val="false"/>
              <w:spacing w:lineRule="auto" w:line="240" w:before="0" w:after="0"/>
              <w:ind w:left="183" w:hanging="18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Погружная трубка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Ребра турбулентности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4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i/>
          <w:i/>
          <w:sz w:val="24"/>
          <w:szCs w:val="24"/>
        </w:rPr>
      </w:pPr>
      <w:bookmarkStart w:id="32" w:name="_Toc236750719"/>
      <w:r>
        <w:rPr>
          <w:sz w:val="24"/>
          <w:szCs w:val="24"/>
        </w:rPr>
        <w:t>Таблица 3.2. Требования к качеству продукции</w:t>
      </w:r>
      <w:bookmarkEnd w:id="32"/>
    </w:p>
    <w:p>
      <w:pPr>
        <w:pStyle w:val="1"/>
        <w:keepNext w:val="false"/>
        <w:widowControl w:val="false"/>
        <w:numPr>
          <w:ilvl w:val="0"/>
          <w:numId w:val="0"/>
        </w:numPr>
        <w:spacing w:before="0" w:after="0"/>
        <w:ind w:left="0" w:hanging="0"/>
        <w:rPr>
          <w:rStyle w:val="Style17"/>
          <w:b/>
          <w:b/>
          <w:i w:val="false"/>
          <w:i w:val="false"/>
          <w:sz w:val="24"/>
          <w:szCs w:val="24"/>
        </w:rPr>
      </w:pPr>
      <w:bookmarkStart w:id="33" w:name="_Toc236750720"/>
      <w:r>
        <w:rPr>
          <w:bCs/>
          <w:i/>
          <w:iCs/>
          <w:sz w:val="24"/>
          <w:szCs w:val="24"/>
        </w:rPr>
        <w:t xml:space="preserve">Наименование продукции: </w:t>
      </w:r>
      <w:r>
        <w:rPr>
          <w:sz w:val="26"/>
          <w:szCs w:val="26"/>
        </w:rPr>
        <w:t>Реактор Модель A3405</w:t>
      </w:r>
      <w:bookmarkEnd w:id="33"/>
    </w:p>
    <w:tbl>
      <w:tblPr>
        <w:tblStyle w:val="affff9"/>
        <w:tblW w:w="9945" w:type="dxa"/>
        <w:jc w:val="left"/>
        <w:tblInd w:w="28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41"/>
        <w:gridCol w:w="2883"/>
        <w:gridCol w:w="6321"/>
      </w:tblGrid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п/п</w:t>
            </w:r>
          </w:p>
        </w:tc>
        <w:tc>
          <w:tcPr>
            <w:tcW w:w="2883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Наименование параметра</w:t>
            </w:r>
          </w:p>
        </w:tc>
        <w:tc>
          <w:tcPr>
            <w:tcW w:w="632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Требование заказчика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2883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32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center"/>
              <w:rPr>
                <w:rFonts w:ascii="Times New Roman" w:hAnsi="Times New Roman" w:eastAsia="Times New Roman" w:cs="Times New Roman"/>
                <w:kern w:val="0"/>
                <w:lang w:val="ru-RU" w:eastAsia="ru-RU" w:bidi="ar-SA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1</w:t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2</w:t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3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Объем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50 л чистая вместимость</w:t>
            </w:r>
          </w:p>
        </w:tc>
      </w:tr>
      <w:tr>
        <w:trPr>
          <w:trHeight w:val="413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Материал конструкции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Части, контактирующие со средой: хастеллой C276</w:t>
            </w:r>
          </w:p>
        </w:tc>
      </w:tr>
      <w:tr>
        <w:trPr>
          <w:trHeight w:val="558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Расчетное давление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50 бар (Безопасное давление для продолжительной работы около 85% от расчетного)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Расчетная температура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500 °C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Максимальная рабочая температура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450 °C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Внутренний диаметр сосуда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355 мм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Внутренняя высота сосуда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558 мм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Минимальный перемешиваемый объем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6 л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Монтаж крышки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Съемная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Тип нагрева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Внешний ленточный керамический электронагреватель 7,5 х 2 кВт с изоляцией и кожухом и распределительной взрывозащищенной коробкой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Электродвигатель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735 Вт, переменный ток, 440 об/мин, плавный пуск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Мешалка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Двухуровневая турбинная мешалка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Уплотнение вала мешалки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Магнитная муфта М120 с макс. крутящим моментом 11,7 Нм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Охлаждающий змеевик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Спиральный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Уплотнение крышки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Графойл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Тип закрытия крышки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Фланцевое соединение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Панель управления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Программируемый ПИД-регулятор температуры с сигнализацией о превышении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Цифровой индикатор давления с сигнализацией о превышении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 xml:space="preserve">• </w:t>
            </w: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Частотно-регулируемый привод для управления скоростью электродвигателя.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Система автоматического охлаждения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Циркуляционный насос, бак, трубки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Для охлаждения поддержания заданной температуры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Водяной бак 10 л, насос и трубки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Для охлаждения магнитного привода, датчика давления и др. адаптеров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Подъемник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Механический цепной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Электропитание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3-ф., 380 В AC, 50 Гц, 16 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Монтаж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Подвижная рама-тележка с блокируемыми колесами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Ориентировочные габариты (Ш x Д x В) мм</w:t>
            </w:r>
          </w:p>
        </w:tc>
        <w:tc>
          <w:tcPr>
            <w:tcW w:w="6321" w:type="dxa"/>
            <w:tcBorders/>
            <w:shd w:color="auto" w:fill="auto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center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1500 x 850 x 3200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безопасности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/>
            </w:pPr>
            <w:r>
              <w:rPr>
                <w:rStyle w:val="Fontstyle01"/>
                <w:rFonts w:eastAsia="Times New Roman" w:cs="Times New Roman"/>
                <w:bCs/>
                <w:color w:val="auto"/>
                <w:kern w:val="0"/>
                <w:lang w:val="ru-RU" w:eastAsia="ru-RU" w:bidi="ar-SA"/>
              </w:rPr>
              <w:t>-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конструкции, изготовлению и материалам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  <w:tc>
          <w:tcPr>
            <w:tcW w:w="6321" w:type="dxa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-</w:t>
            </w:r>
          </w:p>
        </w:tc>
      </w:tr>
      <w:tr>
        <w:trPr>
          <w:trHeight w:val="912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</w:tr>
      <w:tr>
        <w:trPr>
          <w:trHeight w:val="655" w:hRule="atLeast"/>
        </w:trPr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Требования к транспортировке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Транспортировка силами и средствами поставщика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гарантиям, гарантийному и послегарантийному обслуживанию</w:t>
            </w:r>
          </w:p>
          <w:p>
            <w:pPr>
              <w:pStyle w:val="Normal"/>
              <w:widowControl w:val="false"/>
              <w:suppressAutoHyphens w:val="true"/>
              <w:spacing w:before="20" w:after="0"/>
              <w:jc w:val="both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Срок гарантийного обслуживания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>Не менее 12 месяцев с момента поставки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60" w:after="60"/>
              <w:jc w:val="left"/>
              <w:rPr>
                <w:b/>
                <w:b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kern w:val="0"/>
                <w:sz w:val="24"/>
                <w:szCs w:val="24"/>
                <w:lang w:val="ru-RU" w:eastAsia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документам, передаваемым вместе с оборудованием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Поставщик обязан одновременно с передачей оборудования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сертификаты качества либо декларация соответствия;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Паспорт изделия;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руководства по эксплуатации;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товарную накладную унифицированной формы ТОРГ-12 либо УПД.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Стандартные фитинги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6321" w:type="dxa"/>
            <w:tcBorders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Внешние клапаны и фитинги: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Мембранный манометр, н/ж сталь 316 покрытая ПТФЭ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Электронный датчик давления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Разрывная мембрана из хастеллоя C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Игольчатый клапан для впуска газа и клапан для отбора проб на общей погружной трубке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Выпускной игольчатый клапан для газа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Шаровой клапан 1 с конической воронкой</w:t>
            </w:r>
          </w:p>
          <w:p>
            <w:pPr>
              <w:pStyle w:val="NoSpacing"/>
              <w:widowControl w:val="false"/>
              <w:numPr>
                <w:ilvl w:val="0"/>
                <w:numId w:val="13"/>
              </w:numPr>
              <w:suppressAutoHyphens w:val="false"/>
              <w:spacing w:lineRule="auto" w:line="240" w:before="0" w:after="0"/>
              <w:ind w:left="166" w:hanging="194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Донный клапан с диаметром 25 мм</w:t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ind w:left="-28" w:hanging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Примечание: Все соединения имеют резьбу 1/2” NPT (M), а клапаны и фитинги сделаны из хастеллоя C, если не указано иное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</w:r>
          </w:p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Внутренние фитинги:</w:t>
            </w:r>
          </w:p>
          <w:p>
            <w:pPr>
              <w:pStyle w:val="NoSpacing"/>
              <w:widowControl w:val="false"/>
              <w:numPr>
                <w:ilvl w:val="0"/>
                <w:numId w:val="14"/>
              </w:numPr>
              <w:suppressAutoHyphens w:val="false"/>
              <w:spacing w:lineRule="auto" w:line="240" w:before="0" w:after="0"/>
              <w:ind w:left="183" w:hanging="18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Термогильза (с RTD PT100 термодатчиком, взрывозащищенный)</w:t>
            </w:r>
          </w:p>
          <w:p>
            <w:pPr>
              <w:pStyle w:val="NoSpacing"/>
              <w:widowControl w:val="false"/>
              <w:numPr>
                <w:ilvl w:val="0"/>
                <w:numId w:val="14"/>
              </w:numPr>
              <w:suppressAutoHyphens w:val="false"/>
              <w:spacing w:lineRule="auto" w:line="240" w:before="0" w:after="0"/>
              <w:ind w:left="183" w:hanging="180"/>
              <w:jc w:val="left"/>
              <w:rPr>
                <w:rFonts w:eastAsia="Times New Roman"/>
                <w:iCs/>
              </w:rPr>
            </w:pPr>
            <w:r>
              <w:rPr>
                <w:rFonts w:eastAsia="Times New Roman" w:cs="Times New Roman"/>
                <w:iCs/>
                <w:kern w:val="0"/>
                <w:lang w:val="ru-RU" w:eastAsia="ru-RU" w:bidi="ar-SA"/>
              </w:rPr>
              <w:t>Погружная трубка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iCs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kern w:val="0"/>
                <w:sz w:val="24"/>
                <w:szCs w:val="24"/>
                <w:lang w:val="ru-RU" w:eastAsia="ru-RU" w:bidi="ar-SA"/>
              </w:rPr>
              <w:t>Ребра турбулентности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2"/>
              </w:numPr>
              <w:suppressAutoHyphens w:val="true"/>
              <w:spacing w:before="60" w:after="60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9204" w:type="dxa"/>
            <w:gridSpan w:val="2"/>
            <w:tcBorders/>
            <w:vAlign w:val="center"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b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</w:tr>
      <w:tr>
        <w:trPr/>
        <w:tc>
          <w:tcPr>
            <w:tcW w:w="741" w:type="dxa"/>
            <w:tcBorders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2"/>
              </w:numPr>
              <w:suppressAutoHyphens w:val="tru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cs="Times New Roman"/>
                <w:kern w:val="0"/>
                <w:lang w:val="ru-RU" w:eastAsia="ru-RU" w:bidi="ar-SA"/>
              </w:rPr>
            </w:pPr>
            <w:r>
              <w:rPr>
                <w:rFonts w:cs="Times New Roman"/>
                <w:kern w:val="0"/>
                <w:lang w:val="ru-RU" w:eastAsia="ru-RU" w:bidi="ar-SA"/>
              </w:rPr>
            </w:r>
          </w:p>
        </w:tc>
        <w:tc>
          <w:tcPr>
            <w:tcW w:w="2883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bCs/>
                <w:spacing w:val="-10"/>
                <w:kern w:val="0"/>
                <w:sz w:val="24"/>
                <w:szCs w:val="24"/>
                <w:lang w:val="ru-RU" w:eastAsia="ru-RU" w:bidi="ar-SA"/>
              </w:rPr>
              <w:t>Требования к соблюдению положений нормативной и иной обязательной для поставщика документации</w:t>
            </w:r>
          </w:p>
        </w:tc>
        <w:tc>
          <w:tcPr>
            <w:tcW w:w="6321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  <w:t xml:space="preserve">Документация на оборудование для передачи Покупателю должна быть оформлена в соответствии с требованиями по ГОСТ Р 2.105-2019 «ЕСКД Общие требования к текстовым документам» </w:t>
            </w:r>
            <w:hyperlink r:id="rId5" w:tgtFrame="https://docs.cntd.ru/document/1200164120">
              <w:r>
                <w:rPr>
                  <w:rFonts w:eastAsia="Times New Roman" w:cs="Times New Roman"/>
                  <w:kern w:val="0"/>
                  <w:sz w:val="24"/>
                  <w:szCs w:val="24"/>
                  <w:lang w:val="ru-RU" w:eastAsia="ru-RU" w:bidi="ar-SA"/>
                </w:rPr>
                <w:t>https://docs.cntd.ru/document/1200164120</w:t>
              </w:r>
            </w:hyperlink>
          </w:p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4"/>
                <w:szCs w:val="24"/>
              </w:rPr>
            </w:pPr>
            <w:r>
              <w:rPr>
                <w:rFonts w:eastAsia="Times New Roman" w:cs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</w:tr>
    </w:tbl>
    <w:p>
      <w:pPr>
        <w:pStyle w:val="Normal"/>
        <w:rPr/>
      </w:pPr>
      <w:r>
        <w:rPr/>
      </w:r>
    </w:p>
    <w:sectPr>
      <w:headerReference w:type="default" r:id="rId6"/>
      <w:headerReference w:type="first" r:id="rId7"/>
      <w:type w:val="nextPage"/>
      <w:pgSz w:w="11906" w:h="16838"/>
      <w:pgMar w:left="851" w:right="851" w:header="680" w:top="992" w:footer="0" w:bottom="567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roman"/>
    <w:pitch w:val="variable"/>
  </w:font>
  <w:font w:name="TimesNewRomanPSMT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Arial Unicode MS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3</w:t>
    </w:r>
    <w:r>
      <w:rPr/>
      <w:fldChar w:fldCharType="end"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8</w:t>
    </w:r>
    <w:r>
      <w:rPr/>
      <w:fldChar w:fldCharType="end"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38"/>
      <w:jc w:val="cent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pStyle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pStyle w:val="3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00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1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2">
    <w:lvl w:ilvl="0">
      <w:start w:val="1"/>
      <w:numFmt w:val="decimal"/>
      <w:lvlText w:val="%1."/>
      <w:lvlJc w:val="left"/>
      <w:pPr>
        <w:tabs>
          <w:tab w:val="num" w:pos="0"/>
        </w:tabs>
        <w:ind w:left="5038" w:hanging="360"/>
      </w:pPr>
      <w:rPr>
        <w:smallCaps w:val="false"/>
        <w:caps w:val="false"/>
        <w:dstrike w:val="false"/>
        <w:strike w:val="false"/>
        <w:vertAlign w:val="baseline"/>
        <w:position w:val="0"/>
        <w:sz w:val="28"/>
        <w:sz w:val="28"/>
        <w:spacing w:val="0"/>
        <w:i w:val="false"/>
        <w:u w:val="none"/>
        <w:b/>
        <w:szCs w:val="28"/>
        <w:iCs w:val="false"/>
        <w:bCs w:val="false"/>
        <w:vanish w:val="false"/>
        <w:rFonts w:ascii="Times New Roman" w:hAnsi="Times New Roman" w:cs="Times New Roman"/>
        <w:color w:val="000000"/>
      </w:rPr>
    </w:lvl>
    <w:lvl w:ilvl="1">
      <w:start w:val="1"/>
      <w:numFmt w:val="decimal"/>
      <w:suff w:val="nothing"/>
      <w:lvlText w:val="%1.%2."/>
      <w:lvlJc w:val="left"/>
      <w:pPr>
        <w:tabs>
          <w:tab w:val="num" w:pos="0"/>
        </w:tabs>
        <w:ind w:left="43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suff w:val="nothing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suff w:val="nothing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suff w:val="nothing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suff w:val="nothing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suff w:val="nothing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suff w:val="nothing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6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7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8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19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0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1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  <w:num w:numId="22">
    <w:abstractNumId w:val="1"/>
    <w:lvlOverride w:ilvl="1">
      <w:lvl w:ilvl="1">
        <w:start w:val="1"/>
        <w:numFmt w:val="decimal"/>
        <w:suff w:val="nothing"/>
        <w:lvlText w:val="%1.%2."/>
        <w:lvlJc w:val="left"/>
        <w:pPr>
          <w:tabs>
            <w:tab w:val="num" w:pos="0"/>
          </w:tabs>
          <w:ind w:left="432" w:hanging="432"/>
        </w:pPr>
      </w:lvl>
    </w:lvlOverride>
    <w:lvlOverride w:ilvl="3">
      <w:lvl w:ilvl="3">
        <w:start w:val="1"/>
        <w:numFmt w:val="decimal"/>
        <w:suff w:val="nothing"/>
        <w:lvlText w:val="%1.%2.%3.%4."/>
        <w:lvlJc w:val="left"/>
        <w:pPr>
          <w:tabs>
            <w:tab w:val="num" w:pos="0"/>
          </w:tabs>
          <w:ind w:left="1728" w:hanging="648"/>
        </w:pPr>
      </w:lvl>
    </w:lvlOverride>
    <w:lvlOverride w:ilvl="4">
      <w:lvl w:ilvl="4">
        <w:start w:val="1"/>
        <w:numFmt w:val="decimal"/>
        <w:suff w:val="nothing"/>
        <w:lvlText w:val="%1.%2.%3.%4.%5."/>
        <w:lvlJc w:val="left"/>
        <w:pPr>
          <w:tabs>
            <w:tab w:val="num" w:pos="0"/>
          </w:tabs>
          <w:ind w:left="2232" w:hanging="792"/>
        </w:pPr>
      </w:lvl>
    </w:lvlOverride>
    <w:lvlOverride w:ilvl="5">
      <w:lvl w:ilvl="5">
        <w:start w:val="1"/>
        <w:numFmt w:val="decimal"/>
        <w:suff w:val="nothing"/>
        <w:lvlText w:val="%1.%2.%3.%4.%5.%6."/>
        <w:lvlJc w:val="left"/>
        <w:pPr>
          <w:tabs>
            <w:tab w:val="num" w:pos="0"/>
          </w:tabs>
          <w:ind w:left="2736" w:hanging="936"/>
        </w:pPr>
      </w:lvl>
    </w:lvlOverride>
    <w:lvlOverride w:ilvl="6">
      <w:lvl w:ilvl="6">
        <w:start w:val="1"/>
        <w:numFmt w:val="decimal"/>
        <w:suff w:val="nothing"/>
        <w:lvlText w:val="%1.%2.%3.%4.%5.%6.%7."/>
        <w:lvlJc w:val="left"/>
        <w:pPr>
          <w:tabs>
            <w:tab w:val="num" w:pos="0"/>
          </w:tabs>
          <w:ind w:left="3240" w:hanging="1080"/>
        </w:pPr>
      </w:lvl>
    </w:lvlOverride>
    <w:lvlOverride w:ilvl="7">
      <w:lvl w:ilvl="7">
        <w:start w:val="1"/>
        <w:numFmt w:val="decimal"/>
        <w:suff w:val="nothing"/>
        <w:lvlText w:val="%1.%2.%3.%4.%5.%6.%7.%8."/>
        <w:lvlJc w:val="left"/>
        <w:pPr>
          <w:tabs>
            <w:tab w:val="num" w:pos="0"/>
          </w:tabs>
          <w:ind w:left="3744" w:hanging="1224"/>
        </w:pPr>
      </w:lvl>
    </w:lvlOverride>
    <w:lvlOverride w:ilvl="8">
      <w:lvl w:ilvl="8">
        <w:start w:val="1"/>
        <w:numFmt w:val="decimal"/>
        <w:suff w:val="nothing"/>
        <w:lvlText w:val="%1.%2.%3.%4.%5.%6.%7.%8.%9."/>
        <w:lvlJc w:val="left"/>
        <w:pPr>
          <w:tabs>
            <w:tab w:val="num" w:pos="0"/>
          </w:tabs>
          <w:ind w:left="4320" w:hanging="1440"/>
        </w:pPr>
      </w:lvl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8"/>
      <w:szCs w:val="28"/>
      <w:lang w:val="ru-RU" w:eastAsia="ru-RU" w:bidi="ar-SA"/>
    </w:rPr>
  </w:style>
  <w:style w:type="paragraph" w:styleId="1">
    <w:name w:val="Heading 1"/>
    <w:basedOn w:val="3"/>
    <w:next w:val="Normal"/>
    <w:qFormat/>
    <w:pPr>
      <w:numPr>
        <w:ilvl w:val="0"/>
        <w:numId w:val="1"/>
      </w:numPr>
      <w:outlineLvl w:val="0"/>
    </w:pPr>
    <w:rPr>
      <w:sz w:val="28"/>
      <w:szCs w:val="28"/>
    </w:rPr>
  </w:style>
  <w:style w:type="paragraph" w:styleId="2">
    <w:name w:val="Heading 2"/>
    <w:basedOn w:val="4"/>
    <w:next w:val="Normal"/>
    <w:qFormat/>
    <w:pPr>
      <w:outlineLvl w:val="1"/>
    </w:pPr>
    <w:rPr/>
  </w:style>
  <w:style w:type="paragraph" w:styleId="3">
    <w:name w:val="Heading 3"/>
    <w:basedOn w:val="Normal"/>
    <w:next w:val="Normal"/>
    <w:link w:val="31"/>
    <w:qFormat/>
    <w:pPr>
      <w:keepNext w:val="true"/>
      <w:numPr>
        <w:ilvl w:val="2"/>
        <w:numId w:val="1"/>
      </w:numPr>
      <w:spacing w:before="120" w:after="60"/>
      <w:outlineLvl w:val="2"/>
    </w:pPr>
    <w:rPr>
      <w:rFonts w:eastAsia="Calibri"/>
      <w:b/>
      <w:sz w:val="24"/>
      <w:szCs w:val="24"/>
    </w:rPr>
  </w:style>
  <w:style w:type="paragraph" w:styleId="4">
    <w:name w:val="Heading 4"/>
    <w:basedOn w:val="3"/>
    <w:next w:val="Normal"/>
    <w:link w:val="40"/>
    <w:qFormat/>
    <w:pPr>
      <w:numPr>
        <w:ilvl w:val="0"/>
        <w:numId w:val="0"/>
      </w:numPr>
      <w:tabs>
        <w:tab w:val="clear" w:pos="708"/>
        <w:tab w:val="left" w:pos="0" w:leader="none"/>
      </w:tabs>
      <w:ind w:left="432" w:hanging="432"/>
      <w:outlineLvl w:val="3"/>
    </w:pPr>
    <w:rPr>
      <w:bCs/>
    </w:rPr>
  </w:style>
  <w:style w:type="paragraph" w:styleId="5">
    <w:name w:val="Heading 5"/>
    <w:basedOn w:val="Normal"/>
    <w:next w:val="Normal"/>
    <w:link w:val="50"/>
    <w:uiPriority w:val="9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Normal"/>
    <w:next w:val="Normal"/>
    <w:link w:val="60"/>
    <w:uiPriority w:val="9"/>
    <w:qFormat/>
    <w:pPr>
      <w:keepNext w:val="true"/>
      <w:keepLines/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Normal"/>
    <w:next w:val="Normal"/>
    <w:link w:val="70"/>
    <w:uiPriority w:val="9"/>
    <w:qFormat/>
    <w:pPr>
      <w:keepNext w:val="true"/>
      <w:keepLines/>
      <w:spacing w:before="200" w:after="0"/>
      <w:outlineLvl w:val="6"/>
    </w:pPr>
    <w:rPr>
      <w:rFonts w:ascii="Cambria" w:hAnsi="Cambria"/>
      <w:i/>
      <w:iCs/>
      <w:color w:val="404040"/>
      <w:sz w:val="20"/>
      <w:szCs w:val="20"/>
    </w:rPr>
  </w:style>
  <w:style w:type="paragraph" w:styleId="8">
    <w:name w:val="Heading 8"/>
    <w:basedOn w:val="Normal"/>
    <w:next w:val="Normal"/>
    <w:link w:val="80"/>
    <w:uiPriority w:val="9"/>
    <w:qFormat/>
    <w:pPr>
      <w:keepNext w:val="true"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9">
    <w:name w:val="Heading 9"/>
    <w:basedOn w:val="Normal"/>
    <w:next w:val="Normal"/>
    <w:link w:val="90"/>
    <w:uiPriority w:val="9"/>
    <w:qFormat/>
    <w:pPr>
      <w:spacing w:before="240" w:after="60"/>
      <w:outlineLvl w:val="8"/>
    </w:pPr>
    <w:rPr>
      <w:rFonts w:ascii="Arial" w:hAnsi="Arial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Char" w:customStyle="1">
    <w:name w:val="Title Char"/>
    <w:basedOn w:val="DefaultParagraphFont"/>
    <w:uiPriority w:val="10"/>
    <w:qFormat/>
    <w:rPr>
      <w:sz w:val="48"/>
      <w:szCs w:val="48"/>
    </w:rPr>
  </w:style>
  <w:style w:type="character" w:styleId="CaptionChar" w:customStyle="1">
    <w:name w:val="Caption Char"/>
    <w:uiPriority w:val="99"/>
    <w:qFormat/>
    <w:rPr/>
  </w:style>
  <w:style w:type="character" w:styleId="Heading1Char" w:customStyle="1">
    <w:name w:val="Heading 1 Char"/>
    <w:basedOn w:val="DefaultParagraphFont"/>
    <w:uiPriority w:val="9"/>
    <w:qFormat/>
    <w:rPr>
      <w:rFonts w:ascii="Arial" w:hAnsi="Arial" w:eastAsia="Arial" w:cs="Arial"/>
      <w:sz w:val="40"/>
      <w:szCs w:val="40"/>
    </w:rPr>
  </w:style>
  <w:style w:type="character" w:styleId="Heading2Char" w:customStyle="1">
    <w:name w:val="Heading 2 Char"/>
    <w:basedOn w:val="DefaultParagraphFont"/>
    <w:uiPriority w:val="9"/>
    <w:qFormat/>
    <w:rPr>
      <w:rFonts w:ascii="Arial" w:hAnsi="Arial" w:eastAsia="Arial" w:cs="Arial"/>
      <w:sz w:val="34"/>
    </w:rPr>
  </w:style>
  <w:style w:type="character" w:styleId="Heading3Char" w:customStyle="1">
    <w:name w:val="Heading 3 Char"/>
    <w:basedOn w:val="DefaultParagraphFont"/>
    <w:uiPriority w:val="9"/>
    <w:qFormat/>
    <w:rPr>
      <w:rFonts w:ascii="Arial" w:hAnsi="Arial" w:eastAsia="Arial" w:cs="Arial"/>
      <w:sz w:val="30"/>
      <w:szCs w:val="30"/>
    </w:rPr>
  </w:style>
  <w:style w:type="character" w:styleId="Heading4Char" w:customStyle="1">
    <w:name w:val="Heading 4 Char"/>
    <w:basedOn w:val="DefaultParagraphFont"/>
    <w:uiPriority w:val="9"/>
    <w:qFormat/>
    <w:rPr>
      <w:rFonts w:ascii="Arial" w:hAnsi="Arial" w:eastAsia="Arial" w:cs="Arial"/>
      <w:b/>
      <w:bCs/>
      <w:sz w:val="26"/>
      <w:szCs w:val="26"/>
    </w:rPr>
  </w:style>
  <w:style w:type="character" w:styleId="Heading5Char" w:customStyle="1">
    <w:name w:val="Heading 5 Char"/>
    <w:basedOn w:val="DefaultParagraphFont"/>
    <w:uiPriority w:val="9"/>
    <w:qFormat/>
    <w:rPr>
      <w:rFonts w:ascii="Arial" w:hAnsi="Arial" w:eastAsia="Arial" w:cs="Arial"/>
      <w:b/>
      <w:bCs/>
      <w:sz w:val="24"/>
      <w:szCs w:val="24"/>
    </w:rPr>
  </w:style>
  <w:style w:type="character" w:styleId="Heading6Char" w:customStyle="1">
    <w:name w:val="Heading 6 Char"/>
    <w:basedOn w:val="DefaultParagraphFont"/>
    <w:uiPriority w:val="9"/>
    <w:qFormat/>
    <w:rPr>
      <w:rFonts w:ascii="Arial" w:hAnsi="Arial" w:eastAsia="Arial" w:cs="Arial"/>
      <w:b/>
      <w:bCs/>
      <w:sz w:val="22"/>
      <w:szCs w:val="22"/>
    </w:rPr>
  </w:style>
  <w:style w:type="character" w:styleId="Heading7Char" w:customStyle="1">
    <w:name w:val="Heading 7 Char"/>
    <w:basedOn w:val="DefaultParagraphFont"/>
    <w:uiPriority w:val="9"/>
    <w:qFormat/>
    <w:rPr>
      <w:rFonts w:ascii="Arial" w:hAnsi="Arial" w:eastAsia="Arial" w:cs="Arial"/>
      <w:b/>
      <w:bCs/>
      <w:i/>
      <w:iCs/>
      <w:sz w:val="22"/>
      <w:szCs w:val="22"/>
    </w:rPr>
  </w:style>
  <w:style w:type="character" w:styleId="Heading8Char" w:customStyle="1">
    <w:name w:val="Heading 8 Char"/>
    <w:basedOn w:val="DefaultParagraphFont"/>
    <w:uiPriority w:val="9"/>
    <w:qFormat/>
    <w:rPr>
      <w:rFonts w:ascii="Arial" w:hAnsi="Arial" w:eastAsia="Arial" w:cs="Arial"/>
      <w:i/>
      <w:iCs/>
      <w:sz w:val="22"/>
      <w:szCs w:val="22"/>
    </w:rPr>
  </w:style>
  <w:style w:type="character" w:styleId="Heading9Char" w:customStyle="1">
    <w:name w:val="Heading 9 Char"/>
    <w:basedOn w:val="DefaultParagraphFont"/>
    <w:uiPriority w:val="9"/>
    <w:qFormat/>
    <w:rPr>
      <w:rFonts w:ascii="Arial" w:hAnsi="Arial" w:eastAsia="Arial" w:cs="Arial"/>
      <w:i/>
      <w:iCs/>
      <w:sz w:val="21"/>
      <w:szCs w:val="21"/>
    </w:rPr>
  </w:style>
  <w:style w:type="character" w:styleId="11" w:customStyle="1">
    <w:name w:val="Название Знак1"/>
    <w:basedOn w:val="DefaultParagraphFont"/>
    <w:link w:val="a3"/>
    <w:uiPriority w:val="10"/>
    <w:qFormat/>
    <w:rPr>
      <w:sz w:val="48"/>
      <w:szCs w:val="48"/>
    </w:rPr>
  </w:style>
  <w:style w:type="character" w:styleId="SubtitleChar" w:customStyle="1">
    <w:name w:val="Subtitle Char"/>
    <w:basedOn w:val="DefaultParagraphFont"/>
    <w:uiPriority w:val="11"/>
    <w:qFormat/>
    <w:rPr>
      <w:sz w:val="24"/>
      <w:szCs w:val="24"/>
    </w:rPr>
  </w:style>
  <w:style w:type="character" w:styleId="QuoteChar" w:customStyle="1">
    <w:name w:val="Quote Char"/>
    <w:uiPriority w:val="29"/>
    <w:qFormat/>
    <w:rPr>
      <w:i/>
    </w:rPr>
  </w:style>
  <w:style w:type="character" w:styleId="IntenseQuoteChar" w:customStyle="1">
    <w:name w:val="Intense Quote Char"/>
    <w:uiPriority w:val="30"/>
    <w:qFormat/>
    <w:rPr>
      <w:i/>
    </w:rPr>
  </w:style>
  <w:style w:type="character" w:styleId="HeaderChar" w:customStyle="1">
    <w:name w:val="Header Char"/>
    <w:basedOn w:val="DefaultParagraphFont"/>
    <w:uiPriority w:val="99"/>
    <w:qFormat/>
    <w:rPr/>
  </w:style>
  <w:style w:type="character" w:styleId="FooterChar" w:customStyle="1">
    <w:name w:val="Footer Char"/>
    <w:basedOn w:val="DefaultParagraphFont"/>
    <w:uiPriority w:val="99"/>
    <w:qFormat/>
    <w:rPr/>
  </w:style>
  <w:style w:type="character" w:styleId="Style5" w:customStyle="1">
    <w:name w:val="Нижний колонтитул Знак"/>
    <w:uiPriority w:val="99"/>
    <w:qFormat/>
    <w:rPr/>
  </w:style>
  <w:style w:type="character" w:styleId="FootnoteTextChar" w:customStyle="1">
    <w:name w:val="Footnote Text Char"/>
    <w:uiPriority w:val="99"/>
    <w:qFormat/>
    <w:rPr>
      <w:sz w:val="18"/>
    </w:rPr>
  </w:style>
  <w:style w:type="character" w:styleId="EndnoteTextChar" w:customStyle="1">
    <w:name w:val="Endnote Text Char"/>
    <w:uiPriority w:val="99"/>
    <w:qFormat/>
    <w:rPr>
      <w:sz w:val="20"/>
    </w:rPr>
  </w:style>
  <w:style w:type="character" w:styleId="Style6" w:customStyle="1">
    <w:name w:val="Символ сноски"/>
    <w:qFormat/>
    <w:rPr>
      <w:vertAlign w:val="superscript"/>
    </w:rPr>
  </w:style>
  <w:style w:type="character" w:styleId="Style7" w:customStyle="1">
    <w:name w:val="Привязка сноски"/>
    <w:rPr>
      <w:vertAlign w:val="superscript"/>
    </w:rPr>
  </w:style>
  <w:style w:type="character" w:styleId="FootnoteCharacters" w:customStyle="1">
    <w:name w:val="Footnote Characters"/>
    <w:qFormat/>
    <w:rPr>
      <w:vertAlign w:val="superscript"/>
    </w:rPr>
  </w:style>
  <w:style w:type="character" w:styleId="Pagenumber">
    <w:name w:val="page number"/>
    <w:basedOn w:val="DefaultParagraphFont"/>
    <w:qFormat/>
    <w:rPr/>
  </w:style>
  <w:style w:type="character" w:styleId="Style8">
    <w:name w:val="Интернет-ссылка"/>
    <w:basedOn w:val="DefaultParagraphFont"/>
    <w:uiPriority w:val="99"/>
    <w:unhideWhenUsed/>
    <w:rsid w:val="00714b9a"/>
    <w:rPr>
      <w:color w:val="0563C1" w:themeColor="hyperlink"/>
      <w:u w:val="single"/>
    </w:rPr>
  </w:style>
  <w:style w:type="character" w:styleId="Annotationreference">
    <w:name w:val="annotation reference"/>
    <w:uiPriority w:val="99"/>
    <w:semiHidden/>
    <w:qFormat/>
    <w:rPr>
      <w:sz w:val="16"/>
      <w:szCs w:val="16"/>
    </w:rPr>
  </w:style>
  <w:style w:type="character" w:styleId="Strong">
    <w:name w:val="Strong"/>
    <w:qFormat/>
    <w:rPr>
      <w:b/>
      <w:bCs/>
    </w:rPr>
  </w:style>
  <w:style w:type="character" w:styleId="61" w:customStyle="1">
    <w:name w:val="Заголовок 6 Знак"/>
    <w:link w:val="6"/>
    <w:uiPriority w:val="9"/>
    <w:qFormat/>
    <w:rPr>
      <w:rFonts w:ascii="Cambria" w:hAnsi="Cambria"/>
      <w:i/>
      <w:iCs/>
      <w:color w:val="243F60"/>
    </w:rPr>
  </w:style>
  <w:style w:type="character" w:styleId="71" w:customStyle="1">
    <w:name w:val="Заголовок 7 Знак"/>
    <w:link w:val="7"/>
    <w:uiPriority w:val="9"/>
    <w:qFormat/>
    <w:rPr>
      <w:rFonts w:ascii="Cambria" w:hAnsi="Cambria"/>
      <w:i/>
      <w:iCs/>
      <w:color w:val="404040"/>
    </w:rPr>
  </w:style>
  <w:style w:type="character" w:styleId="81" w:customStyle="1">
    <w:name w:val="Заголовок 8 Знак"/>
    <w:link w:val="8"/>
    <w:uiPriority w:val="9"/>
    <w:qFormat/>
    <w:rPr>
      <w:rFonts w:ascii="Cambria" w:hAnsi="Cambria"/>
      <w:color w:val="4F81BD"/>
    </w:rPr>
  </w:style>
  <w:style w:type="character" w:styleId="12" w:customStyle="1">
    <w:name w:val="Заголовок 1 Знак"/>
    <w:link w:val="aa"/>
    <w:qFormat/>
    <w:rPr>
      <w:rFonts w:eastAsia="Calibri"/>
      <w:b/>
      <w:sz w:val="28"/>
      <w:szCs w:val="28"/>
    </w:rPr>
  </w:style>
  <w:style w:type="character" w:styleId="21" w:customStyle="1">
    <w:name w:val="Заголовок 2 Знак"/>
    <w:qFormat/>
    <w:rPr>
      <w:rFonts w:eastAsia="Calibri"/>
      <w:b/>
      <w:bCs/>
      <w:sz w:val="24"/>
      <w:szCs w:val="24"/>
    </w:rPr>
  </w:style>
  <w:style w:type="character" w:styleId="31" w:customStyle="1">
    <w:name w:val="Заголовок 3 Знак"/>
    <w:qFormat/>
    <w:rPr>
      <w:rFonts w:eastAsia="Calibri"/>
      <w:b/>
      <w:sz w:val="24"/>
      <w:szCs w:val="24"/>
    </w:rPr>
  </w:style>
  <w:style w:type="character" w:styleId="41" w:customStyle="1">
    <w:name w:val="Заголовок 4 Знак"/>
    <w:link w:val="4"/>
    <w:qFormat/>
    <w:rPr>
      <w:rFonts w:eastAsia="Calibri"/>
      <w:b/>
      <w:bCs/>
      <w:sz w:val="24"/>
      <w:szCs w:val="24"/>
    </w:rPr>
  </w:style>
  <w:style w:type="character" w:styleId="51" w:customStyle="1">
    <w:name w:val="Заголовок 5 Знак"/>
    <w:link w:val="5"/>
    <w:uiPriority w:val="9"/>
    <w:qFormat/>
    <w:rPr>
      <w:b/>
      <w:bCs/>
      <w:i/>
      <w:iCs/>
      <w:sz w:val="26"/>
      <w:szCs w:val="26"/>
    </w:rPr>
  </w:style>
  <w:style w:type="character" w:styleId="91" w:customStyle="1">
    <w:name w:val="Заголовок 9 Знак"/>
    <w:link w:val="9"/>
    <w:uiPriority w:val="9"/>
    <w:qFormat/>
    <w:rPr>
      <w:rFonts w:ascii="Arial" w:hAnsi="Arial" w:cs="Arial"/>
      <w:sz w:val="22"/>
      <w:szCs w:val="22"/>
    </w:rPr>
  </w:style>
  <w:style w:type="character" w:styleId="Style9" w:customStyle="1">
    <w:name w:val="Название Знак"/>
    <w:link w:val="11"/>
    <w:uiPriority w:val="10"/>
    <w:qFormat/>
    <w:rPr>
      <w:sz w:val="28"/>
    </w:rPr>
  </w:style>
  <w:style w:type="character" w:styleId="Style10" w:customStyle="1">
    <w:name w:val="Подзаголовок Знак"/>
    <w:uiPriority w:val="11"/>
    <w:qFormat/>
    <w:rPr>
      <w:rFonts w:ascii="Cambria" w:hAnsi="Cambria"/>
      <w:i/>
      <w:iCs/>
      <w:color w:val="4F81BD"/>
      <w:spacing w:val="15"/>
      <w:sz w:val="24"/>
      <w:szCs w:val="24"/>
    </w:rPr>
  </w:style>
  <w:style w:type="character" w:styleId="Style11">
    <w:name w:val="Выделение"/>
    <w:uiPriority w:val="20"/>
    <w:qFormat/>
    <w:rPr>
      <w:i/>
      <w:iCs/>
    </w:rPr>
  </w:style>
  <w:style w:type="character" w:styleId="22" w:customStyle="1">
    <w:name w:val="Цитата 2 Знак"/>
    <w:uiPriority w:val="29"/>
    <w:qFormat/>
    <w:rPr>
      <w:rFonts w:ascii="Calibri" w:hAnsi="Calibri" w:eastAsia="Calibri"/>
      <w:i/>
      <w:iCs/>
      <w:color w:val="000000"/>
    </w:rPr>
  </w:style>
  <w:style w:type="character" w:styleId="Style12" w:customStyle="1">
    <w:name w:val="Выделенная цитата Знак"/>
    <w:uiPriority w:val="30"/>
    <w:qFormat/>
    <w:rPr>
      <w:rFonts w:ascii="Calibri" w:hAnsi="Calibri" w:eastAsia="Calibri"/>
      <w:b/>
      <w:bCs/>
      <w:i/>
      <w:iCs/>
      <w:color w:val="4F81BD"/>
    </w:rPr>
  </w:style>
  <w:style w:type="character" w:styleId="SubtleEmphasis">
    <w:name w:val="Subtle Emphasis"/>
    <w:uiPriority w:val="19"/>
    <w:qFormat/>
    <w:rPr>
      <w:i/>
      <w:iCs/>
      <w:color w:val="808080"/>
    </w:rPr>
  </w:style>
  <w:style w:type="character" w:styleId="IntenseEmphasis">
    <w:name w:val="Intense Emphasis"/>
    <w:uiPriority w:val="21"/>
    <w:qFormat/>
    <w:rPr>
      <w:b/>
      <w:bCs/>
      <w:i/>
      <w:iCs/>
      <w:color w:val="4F81BD"/>
    </w:rPr>
  </w:style>
  <w:style w:type="character" w:styleId="SubtleReference">
    <w:name w:val="Subtle Reference"/>
    <w:uiPriority w:val="31"/>
    <w:qFormat/>
    <w:rPr>
      <w:smallCaps/>
      <w:color w:val="C0504D"/>
      <w:u w:val="single"/>
    </w:rPr>
  </w:style>
  <w:style w:type="character" w:styleId="IntenseReference">
    <w:name w:val="Intense Reference"/>
    <w:uiPriority w:val="32"/>
    <w:qFormat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Pr>
      <w:b/>
      <w:bCs/>
      <w:smallCaps/>
      <w:spacing w:val="5"/>
    </w:rPr>
  </w:style>
  <w:style w:type="character" w:styleId="Style13" w:customStyle="1">
    <w:name w:val="Электронная подпись Знак"/>
    <w:uiPriority w:val="99"/>
    <w:qFormat/>
    <w:rPr>
      <w:rFonts w:eastAsia="Calibri"/>
      <w:sz w:val="24"/>
      <w:szCs w:val="24"/>
    </w:rPr>
  </w:style>
  <w:style w:type="character" w:styleId="13" w:customStyle="1">
    <w:name w:val="Подпункт Знак1"/>
    <w:link w:val="af4"/>
    <w:qFormat/>
    <w:rPr>
      <w:sz w:val="28"/>
    </w:rPr>
  </w:style>
  <w:style w:type="character" w:styleId="Style14" w:customStyle="1">
    <w:name w:val="Текст сноски Знак"/>
    <w:uiPriority w:val="99"/>
    <w:qFormat/>
    <w:rPr/>
  </w:style>
  <w:style w:type="character" w:styleId="Style15" w:customStyle="1">
    <w:name w:val="Основной текст Знак"/>
    <w:qFormat/>
    <w:rPr>
      <w:sz w:val="28"/>
      <w:szCs w:val="28"/>
    </w:rPr>
  </w:style>
  <w:style w:type="character" w:styleId="Blk" w:customStyle="1">
    <w:name w:val="blk"/>
    <w:qFormat/>
    <w:rPr/>
  </w:style>
  <w:style w:type="character" w:styleId="Style16" w:customStyle="1">
    <w:name w:val="Абзац списка Знак"/>
    <w:uiPriority w:val="34"/>
    <w:qFormat/>
    <w:rPr>
      <w:rFonts w:eastAsia="Calibri"/>
      <w:sz w:val="24"/>
      <w:szCs w:val="24"/>
    </w:rPr>
  </w:style>
  <w:style w:type="character" w:styleId="Style17" w:customStyle="1">
    <w:name w:val="комментарий"/>
    <w:qFormat/>
    <w:rPr>
      <w:b/>
      <w:i/>
      <w:shd w:fill="FFFF99" w:val="clear"/>
    </w:rPr>
  </w:style>
  <w:style w:type="character" w:styleId="Style18" w:customStyle="1">
    <w:name w:val="Подподпункт Знак"/>
    <w:qFormat/>
    <w:rPr>
      <w:sz w:val="26"/>
      <w:szCs w:val="26"/>
    </w:rPr>
  </w:style>
  <w:style w:type="character" w:styleId="311" w:customStyle="1">
    <w:name w:val="Заголовок 3 Знак1"/>
    <w:link w:val="3"/>
    <w:qFormat/>
    <w:rPr>
      <w:rFonts w:eastAsia="Calibri"/>
      <w:sz w:val="26"/>
      <w:szCs w:val="28"/>
      <w:lang w:eastAsia="en-US"/>
    </w:rPr>
  </w:style>
  <w:style w:type="character" w:styleId="Style19" w:customStyle="1">
    <w:name w:val="Верхний колонтитул Знак"/>
    <w:uiPriority w:val="99"/>
    <w:qFormat/>
    <w:rPr>
      <w:sz w:val="24"/>
      <w:szCs w:val="24"/>
    </w:rPr>
  </w:style>
  <w:style w:type="character" w:styleId="Style20" w:customStyle="1">
    <w:name w:val="Текст примечания Знак"/>
    <w:semiHidden/>
    <w:qFormat/>
    <w:rPr/>
  </w:style>
  <w:style w:type="character" w:styleId="Style21" w:customStyle="1">
    <w:name w:val="Текст концевой сноски Знак"/>
    <w:basedOn w:val="DefaultParagraphFont"/>
    <w:qFormat/>
    <w:rPr/>
  </w:style>
  <w:style w:type="character" w:styleId="Style22" w:customStyle="1">
    <w:name w:val="Символ концевой сноски"/>
    <w:qFormat/>
    <w:rPr>
      <w:vertAlign w:val="superscript"/>
    </w:rPr>
  </w:style>
  <w:style w:type="character" w:styleId="Style23" w:customStyle="1">
    <w:name w:val="Привязка концевой сноски"/>
    <w:rPr>
      <w:vertAlign w:val="superscript"/>
    </w:rPr>
  </w:style>
  <w:style w:type="character" w:styleId="EndnoteCharacters" w:customStyle="1">
    <w:name w:val="Endnote Characters"/>
    <w:qFormat/>
    <w:rPr>
      <w:vertAlign w:val="superscript"/>
    </w:rPr>
  </w:style>
  <w:style w:type="character" w:styleId="23" w:customStyle="1">
    <w:name w:val="Пункт2 Знак"/>
    <w:link w:val="23"/>
    <w:qFormat/>
    <w:rPr>
      <w:b/>
      <w:sz w:val="28"/>
    </w:rPr>
  </w:style>
  <w:style w:type="character" w:styleId="14" w:customStyle="1">
    <w:name w:val="УРОВЕНЬ_1. Знак"/>
    <w:link w:val="14"/>
    <w:qFormat/>
    <w:rPr>
      <w:rFonts w:eastAsia="Calibri"/>
      <w:caps/>
      <w:sz w:val="28"/>
      <w:szCs w:val="28"/>
      <w:lang w:eastAsia="en-US"/>
    </w:rPr>
  </w:style>
  <w:style w:type="character" w:styleId="15" w:customStyle="1">
    <w:name w:val="Неразрешенное упоминание1"/>
    <w:basedOn w:val="DefaultParagraphFont"/>
    <w:link w:val="13"/>
    <w:uiPriority w:val="99"/>
    <w:semiHidden/>
    <w:unhideWhenUsed/>
    <w:qFormat/>
    <w:rPr>
      <w:color w:val="605E5C"/>
      <w:shd w:fill="E1DFDD" w:val="clear"/>
    </w:rPr>
  </w:style>
  <w:style w:type="character" w:styleId="32" w:customStyle="1">
    <w:name w:val="Оглавление 3 Знак"/>
    <w:link w:val="33"/>
    <w:qFormat/>
    <w:rPr>
      <w:sz w:val="16"/>
      <w:szCs w:val="16"/>
    </w:rPr>
  </w:style>
  <w:style w:type="character" w:styleId="Fontstyle01" w:customStyle="1">
    <w:name w:val="fontstyle01"/>
    <w:basedOn w:val="DefaultParagraphFont"/>
    <w:qFormat/>
    <w:rPr>
      <w:rFonts w:ascii="TimesNewRomanPSMT" w:hAnsi="TimesNewRomanPSMT"/>
      <w:b w:val="false"/>
      <w:bCs w:val="false"/>
      <w:i w:val="false"/>
      <w:iCs w:val="false"/>
      <w:color w:val="000000"/>
      <w:sz w:val="24"/>
      <w:szCs w:val="24"/>
    </w:rPr>
  </w:style>
  <w:style w:type="character" w:styleId="Style24" w:customStyle="1">
    <w:name w:val="Посещённая гиперссылка"/>
    <w:basedOn w:val="DefaultParagraphFont"/>
    <w:semiHidden/>
    <w:unhideWhenUsed/>
    <w:rPr>
      <w:color w:val="954F72" w:themeColor="followedHyperlink"/>
      <w:u w:val="single"/>
    </w:rPr>
  </w:style>
  <w:style w:type="character" w:styleId="Style25" w:customStyle="1">
    <w:name w:val="Ссылка указателя"/>
    <w:qFormat/>
    <w:rPr/>
  </w:style>
  <w:style w:type="character" w:styleId="Style26" w:customStyle="1">
    <w:name w:val="Без интервала Знак"/>
    <w:link w:val="afff6"/>
    <w:uiPriority w:val="1"/>
    <w:qFormat/>
    <w:locked/>
    <w:rsid w:val="002219a6"/>
    <w:rPr>
      <w:rFonts w:eastAsia="Calibri"/>
      <w:sz w:val="24"/>
      <w:szCs w:val="24"/>
    </w:rPr>
  </w:style>
  <w:style w:type="paragraph" w:styleId="Style27" w:customStyle="1">
    <w:name w:val="Заголовок"/>
    <w:basedOn w:val="Normal"/>
    <w:next w:val="Style28"/>
    <w:qFormat/>
    <w:pPr>
      <w:keepNext w:val="true"/>
      <w:spacing w:before="240" w:after="120"/>
    </w:pPr>
    <w:rPr>
      <w:rFonts w:ascii="Liberation Sans" w:hAnsi="Liberation Sans" w:eastAsia="Noto Sans CJK SC" w:cs="Lohit Devanagari"/>
    </w:rPr>
  </w:style>
  <w:style w:type="paragraph" w:styleId="Style28">
    <w:name w:val="Body Text"/>
    <w:basedOn w:val="Normal"/>
    <w:pPr>
      <w:spacing w:before="0" w:after="120"/>
    </w:pPr>
    <w:rPr/>
  </w:style>
  <w:style w:type="paragraph" w:styleId="Style29">
    <w:name w:val="List"/>
    <w:basedOn w:val="Style28"/>
    <w:pPr/>
    <w:rPr>
      <w:rFonts w:cs="Lohit Devanagari"/>
    </w:rPr>
  </w:style>
  <w:style w:type="paragraph" w:styleId="Style30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">
    <w:name w:val="index heading"/>
    <w:basedOn w:val="16"/>
    <w:qFormat/>
    <w:pPr/>
    <w:rPr/>
  </w:style>
  <w:style w:type="paragraph" w:styleId="16" w:customStyle="1">
    <w:name w:val="Заголовок1"/>
    <w:basedOn w:val="Normal"/>
    <w:next w:val="Style28"/>
    <w:qFormat/>
    <w:pPr>
      <w:keepNext w:val="true"/>
      <w:spacing w:before="240" w:after="120"/>
    </w:pPr>
    <w:rPr>
      <w:rFonts w:eastAsia="WenQuanYi Zen Hei Sharp" w:cs="Lohit Devanagari"/>
    </w:rPr>
  </w:style>
  <w:style w:type="paragraph" w:styleId="Caption1" w:customStyle="1">
    <w:name w:val="caption1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heading1" w:customStyle="1">
    <w:name w:val="index heading1"/>
    <w:basedOn w:val="16"/>
    <w:qFormat/>
    <w:pPr/>
    <w:rPr/>
  </w:style>
  <w:style w:type="paragraph" w:styleId="Style32">
    <w:name w:val="Title"/>
    <w:basedOn w:val="Normal"/>
    <w:next w:val="Normal"/>
    <w:link w:val="10"/>
    <w:uiPriority w:val="10"/>
    <w:qFormat/>
    <w:pPr>
      <w:spacing w:before="300" w:after="200"/>
      <w:contextualSpacing/>
    </w:pPr>
    <w:rPr>
      <w:sz w:val="48"/>
      <w:szCs w:val="48"/>
    </w:rPr>
  </w:style>
  <w:style w:type="paragraph" w:styleId="Tableoffigures">
    <w:name w:val="table of figures"/>
    <w:basedOn w:val="Normal"/>
    <w:next w:val="Normal"/>
    <w:uiPriority w:val="99"/>
    <w:unhideWhenUsed/>
    <w:qFormat/>
    <w:pPr/>
    <w:rPr/>
  </w:style>
  <w:style w:type="paragraph" w:styleId="Style33" w:customStyle="1">
    <w:name w:val="Название раздела инструкции"/>
    <w:basedOn w:val="Normal"/>
    <w:qFormat/>
    <w:pPr>
      <w:jc w:val="center"/>
    </w:pPr>
    <w:rPr>
      <w:b/>
    </w:rPr>
  </w:style>
  <w:style w:type="paragraph" w:styleId="Style34" w:customStyle="1">
    <w:name w:val="Раздел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center"/>
    </w:pPr>
    <w:rPr>
      <w:b/>
      <w:sz w:val="32"/>
      <w:szCs w:val="32"/>
    </w:rPr>
  </w:style>
  <w:style w:type="paragraph" w:styleId="Style35" w:customStyle="1">
    <w:name w:val="Подраздел раздела положения"/>
    <w:basedOn w:val="Normal"/>
    <w:qFormat/>
    <w:pPr>
      <w:tabs>
        <w:tab w:val="clear" w:pos="708"/>
        <w:tab w:val="left" w:pos="360" w:leader="none"/>
      </w:tabs>
      <w:spacing w:before="80" w:after="80"/>
      <w:ind w:left="360" w:hanging="360"/>
      <w:jc w:val="both"/>
    </w:pPr>
    <w:rPr/>
  </w:style>
  <w:style w:type="paragraph" w:styleId="Style36">
    <w:name w:val="Footnote Text"/>
    <w:basedOn w:val="Normal"/>
    <w:uiPriority w:val="99"/>
    <w:pPr/>
    <w:rPr>
      <w:sz w:val="20"/>
      <w:szCs w:val="20"/>
    </w:rPr>
  </w:style>
  <w:style w:type="paragraph" w:styleId="17" w:customStyle="1">
    <w:name w:val="Шапка 1"/>
    <w:basedOn w:val="Normal"/>
    <w:qFormat/>
    <w:pPr>
      <w:pBdr>
        <w:bottom w:val="single" w:sz="24" w:space="1" w:color="000000"/>
      </w:pBdr>
      <w:spacing w:before="0" w:after="240"/>
      <w:jc w:val="center"/>
    </w:pPr>
    <w:rPr>
      <w:sz w:val="22"/>
      <w:szCs w:val="22"/>
    </w:rPr>
  </w:style>
  <w:style w:type="paragraph" w:styleId="211" w:customStyle="1">
    <w:name w:val="Цитата 2 Знак1"/>
    <w:basedOn w:val="Normal"/>
    <w:link w:val="24"/>
    <w:qFormat/>
    <w:pPr>
      <w:pBdr>
        <w:bottom w:val="single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33" w:customStyle="1">
    <w:name w:val="Основной текст с отступом 3 Знак"/>
    <w:basedOn w:val="Normal"/>
    <w:link w:val="35"/>
    <w:qFormat/>
    <w:pPr>
      <w:pBdr>
        <w:bottom w:val="single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18" w:customStyle="1">
    <w:name w:val="Название1"/>
    <w:basedOn w:val="Normal"/>
    <w:uiPriority w:val="10"/>
    <w:qFormat/>
    <w:pPr>
      <w:jc w:val="center"/>
    </w:pPr>
    <w:rPr>
      <w:szCs w:val="20"/>
    </w:rPr>
  </w:style>
  <w:style w:type="paragraph" w:styleId="Style37" w:customStyle="1">
    <w:name w:val="Колонтитул"/>
    <w:basedOn w:val="Normal"/>
    <w:qFormat/>
    <w:pPr/>
    <w:rPr/>
  </w:style>
  <w:style w:type="paragraph" w:styleId="Style38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>
      <w:sz w:val="24"/>
      <w:szCs w:val="24"/>
    </w:rPr>
  </w:style>
  <w:style w:type="paragraph" w:styleId="Style39">
    <w:name w:val="Body Text Indent"/>
    <w:basedOn w:val="Normal"/>
    <w:pPr>
      <w:ind w:left="360" w:hanging="0"/>
    </w:pPr>
    <w:rPr>
      <w:sz w:val="24"/>
      <w:szCs w:val="24"/>
    </w:rPr>
  </w:style>
  <w:style w:type="paragraph" w:styleId="Style40">
    <w:name w:val="Foot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hanging="0"/>
    </w:pPr>
    <w:rPr/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3">
    <w:name w:val="Body Text Indent 3"/>
    <w:basedOn w:val="Normal"/>
    <w:link w:val="34"/>
    <w:qFormat/>
    <w:pPr>
      <w:spacing w:before="0" w:after="120"/>
      <w:ind w:left="283" w:hanging="0"/>
    </w:pPr>
    <w:rPr>
      <w:sz w:val="16"/>
      <w:szCs w:val="16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Style41" w:customStyle="1">
    <w:name w:val="Подпункт"/>
    <w:basedOn w:val="Normal"/>
    <w:link w:val="12"/>
    <w:qFormat/>
    <w:pPr>
      <w:tabs>
        <w:tab w:val="clear" w:pos="708"/>
        <w:tab w:val="left" w:pos="1134" w:leader="none"/>
      </w:tabs>
      <w:spacing w:lineRule="auto" w:line="360"/>
      <w:ind w:left="1134" w:hanging="1134"/>
      <w:jc w:val="both"/>
    </w:pPr>
    <w:rPr>
      <w:szCs w:val="20"/>
    </w:rPr>
  </w:style>
  <w:style w:type="paragraph" w:styleId="24" w:customStyle="1">
    <w:name w:val="Оглавление 2 Знак"/>
    <w:basedOn w:val="Normal"/>
    <w:link w:val="28"/>
    <w:qFormat/>
    <w:pPr>
      <w:keepNext w:val="true"/>
      <w:tabs>
        <w:tab w:val="clear" w:pos="708"/>
        <w:tab w:val="left" w:pos="1134" w:leader="none"/>
      </w:tabs>
      <w:spacing w:before="240" w:after="120"/>
      <w:ind w:left="1134" w:hanging="1134"/>
      <w:outlineLvl w:val="2"/>
    </w:pPr>
    <w:rPr>
      <w:b/>
      <w:szCs w:val="20"/>
    </w:rPr>
  </w:style>
  <w:style w:type="paragraph" w:styleId="19">
    <w:name w:val="TOC 1"/>
    <w:basedOn w:val="Normal"/>
    <w:next w:val="Normal"/>
    <w:uiPriority w:val="39"/>
    <w:pPr>
      <w:spacing w:before="120" w:after="0"/>
    </w:pPr>
    <w:rPr>
      <w:rFonts w:cs="Calibri Light (Заголовки)"/>
      <w:b/>
      <w:bCs/>
      <w:sz w:val="24"/>
      <w:szCs w:val="24"/>
    </w:rPr>
  </w:style>
  <w:style w:type="paragraph" w:styleId="34">
    <w:name w:val="TOC 3"/>
    <w:basedOn w:val="Normal"/>
    <w:next w:val="Normal"/>
    <w:link w:val="32"/>
    <w:uiPriority w:val="39"/>
    <w:pPr>
      <w:ind w:left="280" w:hanging="0"/>
    </w:pPr>
    <w:rPr>
      <w:rFonts w:cs="Calibri" w:cstheme="minorHAnsi"/>
      <w:sz w:val="20"/>
      <w:szCs w:val="20"/>
    </w:rPr>
  </w:style>
  <w:style w:type="paragraph" w:styleId="Style42" w:customStyle="1">
    <w:name w:val="Раздел регламента"/>
    <w:basedOn w:val="Normal"/>
    <w:qFormat/>
    <w:pPr/>
    <w:rPr/>
  </w:style>
  <w:style w:type="paragraph" w:styleId="Style43" w:customStyle="1">
    <w:name w:val="Приложение к регламенту"/>
    <w:basedOn w:val="Normal"/>
    <w:qFormat/>
    <w:pPr>
      <w:jc w:val="right"/>
    </w:pPr>
    <w:rPr/>
  </w:style>
  <w:style w:type="paragraph" w:styleId="25">
    <w:name w:val="TOC 2"/>
    <w:basedOn w:val="Normal"/>
    <w:next w:val="Normal"/>
    <w:link w:val="27"/>
    <w:uiPriority w:val="39"/>
    <w:pPr>
      <w:spacing w:before="240" w:after="0"/>
    </w:pPr>
    <w:rPr>
      <w:rFonts w:cs="Calibri" w:cstheme="minorHAnsi"/>
      <w:b/>
      <w:bCs/>
      <w:sz w:val="20"/>
      <w:szCs w:val="20"/>
    </w:rPr>
  </w:style>
  <w:style w:type="paragraph" w:styleId="BalloonText">
    <w:name w:val="Balloon Text"/>
    <w:basedOn w:val="Normal"/>
    <w:semiHidden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semiHidden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semiHidden/>
    <w:qFormat/>
    <w:pPr/>
    <w:rPr>
      <w:b/>
      <w:bCs/>
    </w:rPr>
  </w:style>
  <w:style w:type="paragraph" w:styleId="110" w:customStyle="1">
    <w:name w:val="Обычный (веб)1"/>
    <w:basedOn w:val="Normal"/>
    <w:uiPriority w:val="99"/>
    <w:qFormat/>
    <w:pPr>
      <w:spacing w:beforeAutospacing="1" w:afterAutospacing="1"/>
    </w:pPr>
    <w:rPr>
      <w:rFonts w:ascii="Arial Unicode MS" w:hAnsi="Arial Unicode MS" w:eastAsia="Arial Unicode MS" w:cs="Arial Unicode MS"/>
      <w:sz w:val="24"/>
      <w:szCs w:val="24"/>
    </w:rPr>
  </w:style>
  <w:style w:type="paragraph" w:styleId="92">
    <w:name w:val="TOC 9"/>
    <w:basedOn w:val="Normal"/>
    <w:next w:val="Normal"/>
    <w:semiHidden/>
    <w:pPr>
      <w:ind w:left="196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52">
    <w:name w:val="TOC 5"/>
    <w:basedOn w:val="Normal"/>
    <w:next w:val="Normal"/>
    <w:semiHidden/>
    <w:pPr>
      <w:ind w:left="84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42">
    <w:name w:val="TOC 4"/>
    <w:basedOn w:val="Normal"/>
    <w:next w:val="Normal"/>
    <w:uiPriority w:val="39"/>
    <w:pPr>
      <w:ind w:left="560" w:hanging="0"/>
    </w:pPr>
    <w:rPr>
      <w:rFonts w:cs="Calibri" w:cstheme="minorHAnsi"/>
      <w:sz w:val="20"/>
      <w:szCs w:val="20"/>
    </w:rPr>
  </w:style>
  <w:style w:type="paragraph" w:styleId="26" w:customStyle="1">
    <w:name w:val="Раздел положения 2"/>
    <w:basedOn w:val="Normal"/>
    <w:link w:val="22"/>
    <w:qFormat/>
    <w:pPr>
      <w:pageBreakBefore/>
      <w:jc w:val="both"/>
      <w:outlineLvl w:val="0"/>
    </w:pPr>
    <w:rPr>
      <w:b/>
    </w:rPr>
  </w:style>
  <w:style w:type="paragraph" w:styleId="Style44" w:customStyle="1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NoSpacing">
    <w:name w:val="No Spacing"/>
    <w:basedOn w:val="Normal"/>
    <w:link w:val="afff7"/>
    <w:uiPriority w:val="1"/>
    <w:qFormat/>
    <w:pPr>
      <w:spacing w:lineRule="auto" w:line="360"/>
    </w:pPr>
    <w:rPr>
      <w:rFonts w:eastAsia="Calibri"/>
      <w:sz w:val="24"/>
      <w:szCs w:val="24"/>
    </w:rPr>
  </w:style>
  <w:style w:type="paragraph" w:styleId="Caption11" w:customStyle="1">
    <w:name w:val="caption11"/>
    <w:basedOn w:val="Normal"/>
    <w:next w:val="Normal"/>
    <w:uiPriority w:val="35"/>
    <w:qFormat/>
    <w:pPr/>
    <w:rPr>
      <w:rFonts w:eastAsia="Calibri"/>
      <w:b/>
      <w:bCs/>
      <w:color w:val="4F81BD"/>
      <w:sz w:val="18"/>
      <w:szCs w:val="18"/>
    </w:rPr>
  </w:style>
  <w:style w:type="paragraph" w:styleId="Style45">
    <w:name w:val="Subtitle"/>
    <w:basedOn w:val="Normal"/>
    <w:next w:val="Normal"/>
    <w:uiPriority w:val="11"/>
    <w:qFormat/>
    <w:pPr>
      <w:ind w:left="1066" w:firstLine="709"/>
    </w:pPr>
    <w:rPr>
      <w:rFonts w:ascii="Cambria" w:hAnsi="Cambria"/>
      <w:i/>
      <w:iCs/>
      <w:color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pPr>
      <w:spacing w:before="0" w:after="0"/>
      <w:ind w:left="720" w:hanging="0"/>
      <w:contextualSpacing/>
    </w:pPr>
    <w:rPr>
      <w:rFonts w:eastAsia="Calibri"/>
      <w:sz w:val="24"/>
      <w:szCs w:val="24"/>
    </w:rPr>
  </w:style>
  <w:style w:type="paragraph" w:styleId="Quote">
    <w:name w:val="Quote"/>
    <w:basedOn w:val="Normal"/>
    <w:next w:val="Normal"/>
    <w:link w:val="210"/>
    <w:uiPriority w:val="29"/>
    <w:qFormat/>
    <w:pPr/>
    <w:rPr>
      <w:rFonts w:ascii="Calibri" w:hAnsi="Calibri" w:eastAsia="Calibri"/>
      <w:i/>
      <w:iCs/>
      <w:color w:val="000000"/>
      <w:sz w:val="20"/>
      <w:szCs w:val="20"/>
    </w:rPr>
  </w:style>
  <w:style w:type="paragraph" w:styleId="IntenseQuote">
    <w:name w:val="Intense Quote"/>
    <w:basedOn w:val="Normal"/>
    <w:next w:val="Normal"/>
    <w:uiPriority w:val="30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/>
      <w:b/>
      <w:bCs/>
      <w:i/>
      <w:iCs/>
      <w:color w:val="4F81BD"/>
      <w:sz w:val="20"/>
      <w:szCs w:val="20"/>
    </w:rPr>
  </w:style>
  <w:style w:type="paragraph" w:styleId="TOCHeading">
    <w:name w:val="TOC Heading"/>
    <w:basedOn w:val="1"/>
    <w:next w:val="Normal"/>
    <w:uiPriority w:val="39"/>
    <w:qFormat/>
    <w:pPr>
      <w:keepLines/>
      <w:numPr>
        <w:ilvl w:val="0"/>
        <w:numId w:val="0"/>
      </w:numPr>
      <w:spacing w:before="480" w:after="60"/>
    </w:pPr>
    <w:rPr>
      <w:rFonts w:ascii="Cambria" w:hAnsi="Cambria"/>
      <w:bCs/>
      <w:color w:val="365F91"/>
    </w:rPr>
  </w:style>
  <w:style w:type="paragraph" w:styleId="EmailSignature">
    <w:name w:val="E-mail Signature"/>
    <w:basedOn w:val="Normal"/>
    <w:uiPriority w:val="99"/>
    <w:unhideWhenUsed/>
    <w:qFormat/>
    <w:pPr/>
    <w:rPr>
      <w:rFonts w:eastAsia="Calibri"/>
      <w:sz w:val="24"/>
      <w:szCs w:val="24"/>
    </w:rPr>
  </w:style>
  <w:style w:type="paragraph" w:styleId="Style46" w:customStyle="1">
    <w:name w:val="Знак"/>
    <w:basedOn w:val="Normal"/>
    <w:qFormat/>
    <w:pPr>
      <w:spacing w:lineRule="exact" w:line="240" w:before="0" w:after="160"/>
    </w:pPr>
    <w:rPr>
      <w:rFonts w:ascii="Verdana" w:hAnsi="Verdana" w:cs="Verdana"/>
      <w:sz w:val="20"/>
      <w:szCs w:val="20"/>
      <w:lang w:val="en-US" w:eastAsia="en-US"/>
    </w:rPr>
  </w:style>
  <w:style w:type="paragraph" w:styleId="35" w:customStyle="1">
    <w:name w:val="Нумерованный список ур3"/>
    <w:basedOn w:val="Normal"/>
    <w:qFormat/>
    <w:pPr>
      <w:tabs>
        <w:tab w:val="clear" w:pos="708"/>
        <w:tab w:val="left" w:pos="0" w:leader="none"/>
      </w:tabs>
      <w:ind w:left="-207" w:hanging="360"/>
      <w:jc w:val="both"/>
    </w:pPr>
    <w:rPr>
      <w:rFonts w:ascii="Garamond" w:hAnsi="Garamond"/>
      <w:sz w:val="24"/>
      <w:szCs w:val="20"/>
    </w:rPr>
  </w:style>
  <w:style w:type="paragraph" w:styleId="411" w:customStyle="1">
    <w:name w:val="Маркированный список 41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27" w:customStyle="1">
    <w:name w:val="Нумерованный список ур2"/>
    <w:basedOn w:val="Normal"/>
    <w:qFormat/>
    <w:pPr>
      <w:tabs>
        <w:tab w:val="clear" w:pos="708"/>
        <w:tab w:val="left" w:pos="0" w:leader="none"/>
      </w:tabs>
      <w:spacing w:before="120" w:after="0"/>
      <w:ind w:left="-207" w:hanging="360"/>
      <w:jc w:val="both"/>
    </w:pPr>
    <w:rPr>
      <w:rFonts w:ascii="Garamond" w:hAnsi="Garamond"/>
      <w:sz w:val="24"/>
      <w:szCs w:val="20"/>
    </w:rPr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eastAsia="Calibri" w:ascii="Times New Roman" w:hAnsi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ConsPlusNormal" w:customStyle="1">
    <w:name w:val="ConsPlusNormal"/>
    <w:qFormat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cs="Arial" w:eastAsia="Times New Roman"/>
      <w:color w:val="auto"/>
      <w:kern w:val="0"/>
      <w:sz w:val="20"/>
      <w:szCs w:val="20"/>
      <w:lang w:val="ru-RU" w:eastAsia="ru-RU" w:bidi="ar-SA"/>
    </w:rPr>
  </w:style>
  <w:style w:type="paragraph" w:styleId="36" w:customStyle="1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 w:eastAsia="en-US"/>
    </w:rPr>
  </w:style>
  <w:style w:type="paragraph" w:styleId="Style47" w:customStyle="1">
    <w:name w:val="Пункт"/>
    <w:basedOn w:val="Normal"/>
    <w:qFormat/>
    <w:pPr>
      <w:widowControl w:val="false"/>
      <w:tabs>
        <w:tab w:val="clear" w:pos="708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/>
      <w:b/>
      <w:i/>
      <w:szCs w:val="20"/>
    </w:rPr>
  </w:style>
  <w:style w:type="paragraph" w:styleId="111" w:customStyle="1">
    <w:name w:val="Абзац списка1"/>
    <w:basedOn w:val="Normal"/>
    <w:qFormat/>
    <w:pPr>
      <w:spacing w:lineRule="auto" w:line="276" w:before="0" w:after="200"/>
      <w:ind w:left="720" w:hanging="0"/>
      <w:contextualSpacing/>
    </w:pPr>
    <w:rPr>
      <w:rFonts w:ascii="Calibri" w:hAnsi="Calibri"/>
      <w:sz w:val="22"/>
      <w:szCs w:val="22"/>
      <w:lang w:eastAsia="en-US"/>
    </w:rPr>
  </w:style>
  <w:style w:type="paragraph" w:styleId="Style48" w:customStyle="1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</w:rPr>
  </w:style>
  <w:style w:type="paragraph" w:styleId="Style49" w:customStyle="1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Style50" w:customStyle="1">
    <w:name w:val="Подподпункт"/>
    <w:basedOn w:val="Style41"/>
    <w:qFormat/>
    <w:pPr>
      <w:tabs>
        <w:tab w:val="clear" w:pos="1134"/>
        <w:tab w:val="left" w:pos="5104" w:leader="none"/>
      </w:tabs>
      <w:spacing w:lineRule="auto" w:line="240" w:before="120" w:after="0"/>
      <w:ind w:left="5104" w:hanging="567"/>
    </w:pPr>
    <w:rPr>
      <w:sz w:val="26"/>
      <w:szCs w:val="26"/>
    </w:rPr>
  </w:style>
  <w:style w:type="paragraph" w:styleId="Style51" w:customStyle="1">
    <w:name w:val="УРОВЕНЬ_(а)"/>
    <w:basedOn w:val="ListParagraph"/>
    <w:qFormat/>
    <w:pPr>
      <w:spacing w:lineRule="exact" w:line="360" w:before="120" w:after="0"/>
      <w:contextualSpacing/>
      <w:jc w:val="both"/>
      <w:outlineLvl w:val="3"/>
    </w:pPr>
    <w:rPr>
      <w:sz w:val="26"/>
      <w:szCs w:val="28"/>
      <w:lang w:eastAsia="en-US"/>
    </w:rPr>
  </w:style>
  <w:style w:type="paragraph" w:styleId="Style52" w:customStyle="1">
    <w:name w:val="УРОВЕНЬ_-"/>
    <w:basedOn w:val="ListParagraph"/>
    <w:qFormat/>
    <w:pPr>
      <w:spacing w:lineRule="exact" w:line="360" w:before="120" w:after="0"/>
      <w:contextualSpacing/>
      <w:jc w:val="both"/>
      <w:outlineLvl w:val="4"/>
    </w:pPr>
    <w:rPr>
      <w:sz w:val="26"/>
      <w:szCs w:val="28"/>
      <w:lang w:eastAsia="en-US"/>
    </w:rPr>
  </w:style>
  <w:style w:type="paragraph" w:styleId="28" w:customStyle="1">
    <w:name w:val="УРОВЕНЬ_Абзац_тип2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37" w:customStyle="1">
    <w:name w:val="УРОВЕНЬ_Абзац_тип3"/>
    <w:basedOn w:val="ListParagraph"/>
    <w:qFormat/>
    <w:pPr>
      <w:tabs>
        <w:tab w:val="clear" w:pos="708"/>
        <w:tab w:val="left" w:pos="0" w:leader="none"/>
      </w:tabs>
      <w:spacing w:lineRule="exact" w:line="360" w:before="120" w:after="0"/>
      <w:ind w:left="1134" w:hanging="1134"/>
      <w:contextualSpacing/>
      <w:jc w:val="both"/>
    </w:pPr>
    <w:rPr>
      <w:sz w:val="26"/>
      <w:szCs w:val="28"/>
      <w:lang w:eastAsia="en-US"/>
    </w:rPr>
  </w:style>
  <w:style w:type="paragraph" w:styleId="Style53" w:customStyle="1">
    <w:name w:val="УРОВЕНЬ_Подпись"/>
    <w:basedOn w:val="ListParagraph"/>
    <w:qFormat/>
    <w:pPr>
      <w:keepNext w:val="true"/>
      <w:spacing w:lineRule="exact" w:line="360" w:before="120" w:after="120"/>
      <w:contextualSpacing/>
      <w:jc w:val="right"/>
      <w:outlineLvl w:val="3"/>
    </w:pPr>
    <w:rPr>
      <w:sz w:val="26"/>
      <w:szCs w:val="28"/>
      <w:lang w:eastAsia="en-US"/>
    </w:rPr>
  </w:style>
  <w:style w:type="paragraph" w:styleId="112" w:customStyle="1">
    <w:name w:val="Стиль Заголовок 1 + по ширине"/>
    <w:basedOn w:val="1"/>
    <w:qFormat/>
    <w:pPr>
      <w:keepLines/>
      <w:numPr>
        <w:ilvl w:val="0"/>
        <w:numId w:val="0"/>
      </w:numPr>
      <w:tabs>
        <w:tab w:val="clear" w:pos="708"/>
        <w:tab w:val="left" w:pos="567" w:leader="none"/>
      </w:tabs>
      <w:spacing w:before="480" w:after="240"/>
      <w:ind w:left="567" w:hanging="567"/>
      <w:jc w:val="both"/>
    </w:pPr>
    <w:rPr>
      <w:rFonts w:ascii="Arial" w:hAnsi="Arial" w:eastAsia="Times New Roman"/>
      <w:bCs/>
      <w:sz w:val="40"/>
      <w:szCs w:val="20"/>
    </w:rPr>
  </w:style>
  <w:style w:type="paragraph" w:styleId="Style54">
    <w:name w:val="Endnote Text"/>
    <w:basedOn w:val="Normal"/>
    <w:pPr/>
    <w:rPr>
      <w:sz w:val="20"/>
      <w:szCs w:val="20"/>
    </w:rPr>
  </w:style>
  <w:style w:type="paragraph" w:styleId="29" w:customStyle="1">
    <w:name w:val="Заголовок 2 КВВ"/>
    <w:basedOn w:val="Normal"/>
    <w:qFormat/>
    <w:pPr>
      <w:keepNext w:val="true"/>
      <w:spacing w:before="120" w:after="120"/>
      <w:jc w:val="both"/>
      <w:outlineLvl w:val="0"/>
    </w:pPr>
    <w:rPr>
      <w:b/>
      <w:sz w:val="24"/>
      <w:szCs w:val="20"/>
    </w:rPr>
  </w:style>
  <w:style w:type="paragraph" w:styleId="Style55" w:customStyle="1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NormalWeb">
    <w:name w:val="Normal (Web)"/>
    <w:basedOn w:val="Normal"/>
    <w:uiPriority w:val="99"/>
    <w:unhideWhenUsed/>
    <w:qFormat/>
    <w:pPr>
      <w:spacing w:beforeAutospacing="1" w:afterAutospacing="1"/>
    </w:pPr>
    <w:rPr>
      <w:sz w:val="24"/>
      <w:szCs w:val="24"/>
    </w:rPr>
  </w:style>
  <w:style w:type="paragraph" w:styleId="113" w:customStyle="1">
    <w:name w:val="УРОВЕНЬ_1."/>
    <w:basedOn w:val="ListParagraph"/>
    <w:qFormat/>
    <w:pPr>
      <w:keepNext w:val="true"/>
      <w:keepLines/>
      <w:spacing w:lineRule="auto" w:line="276" w:before="240" w:after="120"/>
      <w:ind w:left="0" w:hanging="0"/>
      <w:contextualSpacing/>
      <w:jc w:val="both"/>
      <w:outlineLvl w:val="0"/>
    </w:pPr>
    <w:rPr>
      <w:caps/>
      <w:sz w:val="28"/>
      <w:szCs w:val="28"/>
      <w:lang w:eastAsia="en-US"/>
    </w:rPr>
  </w:style>
  <w:style w:type="paragraph" w:styleId="62">
    <w:name w:val="TOC 6"/>
    <w:basedOn w:val="Normal"/>
    <w:next w:val="Normal"/>
    <w:unhideWhenUsed/>
    <w:pPr>
      <w:ind w:left="112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72">
    <w:name w:val="TOC 7"/>
    <w:basedOn w:val="Normal"/>
    <w:next w:val="Normal"/>
    <w:unhideWhenUsed/>
    <w:pPr>
      <w:ind w:left="140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82">
    <w:name w:val="TOC 8"/>
    <w:basedOn w:val="Normal"/>
    <w:next w:val="Normal"/>
    <w:unhideWhenUsed/>
    <w:pPr>
      <w:ind w:left="1680" w:hanging="0"/>
    </w:pPr>
    <w:rPr>
      <w:rFonts w:ascii="Calibri" w:hAnsi="Calibri" w:cs="Calibri" w:asciiTheme="minorHAnsi" w:cstheme="minorHAnsi" w:hAnsiTheme="minorHAnsi"/>
      <w:sz w:val="20"/>
      <w:szCs w:val="20"/>
    </w:rPr>
  </w:style>
  <w:style w:type="paragraph" w:styleId="Style56" w:customStyle="1">
    <w:name w:val="Содержимое врезки"/>
    <w:basedOn w:val="Normal"/>
    <w:qFormat/>
    <w:pPr/>
    <w:rPr/>
  </w:style>
  <w:style w:type="paragraph" w:styleId="Default" w:customStyle="1">
    <w:name w:val="Default"/>
    <w:qFormat/>
    <w:rsid w:val="000d45d1"/>
    <w:pPr>
      <w:widowControl/>
      <w:suppressAutoHyphens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114" w:customStyle="1">
    <w:name w:val="Стиль1"/>
    <w:uiPriority w:val="99"/>
    <w:qFormat/>
  </w:style>
  <w:style w:type="numbering" w:styleId="210" w:customStyle="1">
    <w:name w:val="Стиль2"/>
    <w:uiPriority w:val="99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211">
    <w:name w:val="Таблица простая 21"/>
    <w:basedOn w:val="a1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Row">
      <w:rPr>
        <w:b/>
        <w:color w:val="404040"/>
        <w:sz w:val="22"/>
      </w:rPr>
      <w:tblPr/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310">
    <w:name w:val="Таблица простая 3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Row">
      <w:rPr>
        <w:b/>
        <w:caps/>
        <w:color w:val="404040"/>
      </w:rPr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411">
    <w:name w:val="Таблица простая 4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510">
    <w:name w:val="Таблица простая 5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-11">
    <w:name w:val="Таблица-сетка 1 светлая1"/>
    <w:basedOn w:val="a1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customStyle="1" w:styleId="-21">
    <w:name w:val="Таблица-сетка 2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31">
    <w:name w:val="Таблица-сетка 31"/>
    <w:basedOn w:val="a1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8E2F3" w:fill="D8E2F3" w:themeFill="accent1" w:themeFillTint="34"/>
      </w:tcPr>
    </w:tblStylePr>
    <w:tblStylePr w:type="band1Horz">
      <w:rPr>
        <w:color w:val="404040"/>
        <w:sz w:val="22"/>
      </w:rPr>
      <w:tblPr/>
      <w:tcPr>
        <w:shd w:val="clear" w:color="D8E2F3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41">
    <w:name w:val="Таблица-сетка 41"/>
    <w:basedOn w:val="a1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000000" w:fill="000000" w:themeFill="text1"/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color w:val="404040"/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  <w:shd w:val="clear" w:color="537DC8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3F3" w:fill="DAE3F3" w:themeFill="accent1" w:themeFillTint="32"/>
      </w:tcPr>
    </w:tblStylePr>
    <w:tblStylePr w:type="band1Horz">
      <w:rPr>
        <w:color w:val="404040"/>
        <w:sz w:val="22"/>
      </w:rPr>
      <w:tblPr/>
      <w:tcPr>
        <w:shd w:val="clear" w:color="DAE3F3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  <w:shd w:val="clear" w:color="A5A5A5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  <w:shd w:val="clear" w:color="5B9BD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  <w:shd w:val="clear" w:color="70AD47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000000" w:fill="000000" w:themeFill="text1"/>
      </w:tcPr>
    </w:tblStylePr>
    <w:tblStylePr w:type="fir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4472C4" w:fill="4472C4" w:themeFill="accent1"/>
      </w:tcPr>
    </w:tblStylePr>
    <w:tblStylePr w:type="fir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Col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band1Vert">
      <w:tblPr/>
      <w:tcPr>
        <w:shd w:val="clear" w:color="A9BEE4" w:fill="A9BEE4" w:themeFill="accent1" w:themeFillTint="75"/>
      </w:tcPr>
    </w:tblStylePr>
    <w:tblStylePr w:type="band1Horz">
      <w:tblPr/>
      <w:tcPr>
        <w:shd w:val="clear" w:color="A9BEE4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ED7D31" w:fill="ED7D31" w:themeFill="accent2"/>
      </w:tcPr>
    </w:tblStylePr>
    <w:tblStylePr w:type="fir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Col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A5A5A5" w:fill="A5A5A5" w:themeFill="accent3"/>
      </w:tcPr>
    </w:tblStylePr>
    <w:tblStylePr w:type="fir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Col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FFC000" w:fill="FFC000" w:themeFill="accent4"/>
      </w:tcPr>
    </w:tblStylePr>
    <w:tblStylePr w:type="fir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Col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5B9BD5" w:fill="5B9BD5" w:themeFill="accent5"/>
      </w:tcPr>
    </w:tblStylePr>
    <w:tblStylePr w:type="fir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Col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band1Vert">
      <w:tblPr/>
      <w:tcPr>
        <w:shd w:val="clear" w:color="B3D0EB" w:fill="B3D0EB" w:themeFill="accent5" w:themeFillTint="75"/>
      </w:tcPr>
    </w:tblStylePr>
    <w:tblStylePr w:type="band1Horz">
      <w:tblPr/>
      <w:tcPr>
        <w:shd w:val="clear" w:color="B3D0EB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FFFFFF" w:themeColor="light1" w:sz="4" w:space="0"/>
        </w:tcBorders>
        <w:shd w:val="clear" w:color="70AD47" w:fill="70AD47" w:themeFill="accent6"/>
      </w:tcPr>
    </w:tblStylePr>
    <w:tblStylePr w:type="fir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Col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b/>
        <w:color w:val="7F7F7F" w:themeColor="text1" w:themeTint="80" w:themeShade="95"/>
      </w:rPr>
      <w:tblPr/>
    </w:tblStylePr>
    <w:tblStylePr w:type="firstCol">
      <w:rPr>
        <w:b/>
        <w:color w:val="7F7F7F" w:themeColor="text1" w:themeTint="80" w:themeShade="95"/>
      </w:rPr>
      <w:tblPr/>
    </w:tblStylePr>
    <w:tblStylePr w:type="lastCol">
      <w:rPr>
        <w:b/>
        <w:color w:val="7F7F7F" w:themeColor="text1" w:themeTint="80" w:themeShade="95"/>
      </w:rPr>
      <w:tblPr/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b/>
        <w:color w:val="A0B7E1" w:themeColor="accent1" w:themeTint="80" w:themeShade="95"/>
      </w:rPr>
      <w:tblPr/>
    </w:tblStylePr>
    <w:tblStylePr w:type="firstCol">
      <w:rPr>
        <w:b/>
        <w:color w:val="A0B7E1" w:themeColor="accent1" w:themeTint="80" w:themeShade="95"/>
      </w:rPr>
      <w:tblPr/>
    </w:tblStylePr>
    <w:tblStylePr w:type="lastCol">
      <w:rPr>
        <w:b/>
        <w:color w:val="A0B7E1" w:themeColor="accent1" w:themeTint="80" w:themeShade="95"/>
      </w:rPr>
      <w:tblPr/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b/>
        <w:color w:val="F4B184" w:themeColor="accent2" w:themeTint="97" w:themeShade="95"/>
      </w:rPr>
      <w:tblPr/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b/>
        <w:color w:val="A5A5A5" w:themeColor="accent3" w:themeTint="fe" w:themeShade="95"/>
      </w:rPr>
      <w:tblPr/>
    </w:tblStylePr>
    <w:tblStylePr w:type="firstCol">
      <w:rPr>
        <w:b/>
        <w:color w:val="A5A5A5" w:themeColor="accent3" w:themeTint="fe" w:themeShade="95"/>
      </w:rPr>
      <w:tblPr/>
    </w:tblStylePr>
    <w:tblStylePr w:type="lastCol">
      <w:rPr>
        <w:b/>
        <w:color w:val="A5A5A5" w:themeColor="accent3" w:themeTint="fe" w:themeShade="95"/>
      </w:rPr>
      <w:tblPr/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b/>
        <w:color w:val="FFD865" w:themeColor="accent4" w:themeTint="9a" w:themeShade="95"/>
      </w:rPr>
      <w:tblPr/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b/>
        <w:color w:val="245A8D" w:themeColor="accent5" w:themeShade="95"/>
      </w:rPr>
      <w:tblPr/>
    </w:tblStylePr>
    <w:tblStylePr w:type="firstCol">
      <w:rPr>
        <w:b/>
        <w:color w:val="245A8D" w:themeColor="accent5" w:themeShade="95"/>
      </w:rPr>
      <w:tblPr/>
    </w:tblStylePr>
    <w:tblStylePr w:type="lastCol">
      <w:rPr>
        <w:b/>
        <w:color w:val="245A8D" w:themeColor="accent5" w:themeShade="95"/>
      </w:rPr>
      <w:tblPr/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-71">
    <w:name w:val="Таблица-сетка 7 цветная1"/>
    <w:basedOn w:val="a1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0B7E1" w:themeColor="accent1" w:themeTint="80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A0B7E1" w:themeColor="accent1" w:themeTint="80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8E2F3" w:fill="D8E2F3" w:themeFill="accent1" w:themeFillTint="34"/>
      </w:tcPr>
    </w:tblStylePr>
    <w:tblStylePr w:type="band1Horz">
      <w:rPr>
        <w:color w:val="A0B7E1" w:themeColor="accent1" w:themeTint="80" w:themeShade="95"/>
        <w:sz w:val="22"/>
      </w:rPr>
      <w:tblPr/>
      <w:tcPr>
        <w:shd w:val="clear" w:color="D8E2F3" w:fill="D8E2F3" w:themeFill="accent1" w:themeFillTint="34"/>
      </w:tcPr>
    </w:tblStylePr>
    <w:tblStylePr w:type="band2Horz">
      <w:rPr>
        <w:color w:val="A0B7E1" w:themeColor="accent1" w:themeTint="80" w:themeShade="95"/>
        <w:sz w:val="22"/>
      </w:rPr>
      <w:tblPr/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  <w:tblPr/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245A8D" w:themeColor="accent5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245A8D" w:themeColor="accent5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DEAF6" w:fill="DDEAF6" w:themeFill="accent5" w:themeFillTint="34"/>
      </w:tcPr>
    </w:tblStylePr>
    <w:tblStylePr w:type="band1Horz">
      <w:rPr>
        <w:color w:val="245A8D" w:themeColor="accent5" w:themeShade="95"/>
        <w:sz w:val="22"/>
      </w:rPr>
      <w:tblPr/>
      <w:tcPr>
        <w:shd w:val="clear" w:color="DDEAF6" w:fill="DDEAF6" w:themeFill="accent5" w:themeFillTint="34"/>
      </w:tcPr>
    </w:tblStylePr>
    <w:tblStylePr w:type="band2Horz">
      <w:rPr>
        <w:color w:val="245A8D" w:themeColor="accent5" w:themeShade="95"/>
        <w:sz w:val="22"/>
      </w:rPr>
      <w:tblPr/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  <w:tblPr/>
    </w:tblStylePr>
  </w:style>
  <w:style w:type="table" w:customStyle="1" w:styleId="-110">
    <w:name w:val="Список-таблица 1 светлая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tblPr/>
      <w:tcPr>
        <w:shd w:val="clear" w:color="CFDBF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tblPr/>
      <w:tcPr>
        <w:shd w:val="clear" w:color="D5E5F4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customStyle="1" w:styleId="-210">
    <w:name w:val="Список-таблица 21"/>
    <w:basedOn w:val="a1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Row">
      <w:rPr>
        <w:b/>
        <w:color w:val="404040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310">
    <w:name w:val="Список-таблица 3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ED7D31" w:themeColor="accent2" w:sz="4" w:space="0"/>
          <w:right w:val="single" w:color="ED7D31" w:themeColor="accent2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bottom w:val="single" w:color="ED7D31" w:themeColor="accent2" w:sz="4" w:space="0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A5A5A5" w:themeColor="accent3" w:sz="4" w:space="0"/>
          <w:right w:val="single" w:color="A5A5A5" w:themeColor="accent3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bottom w:val="single" w:color="A5A5A5" w:themeColor="accent3" w:sz="4" w:space="0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FFC000" w:themeColor="accent4" w:sz="4" w:space="0"/>
          <w:right w:val="single" w:color="FFC000" w:themeColor="accent4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bottom w:val="single" w:color="FFC000" w:themeColor="accent4" w:sz="4" w:space="0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9BC2E5" w:fill="9BC2E5" w:themeFill="accent5" w:themeFillTint="9a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5B9BD5" w:themeColor="accent5" w:sz="4" w:space="0"/>
          <w:right w:val="single" w:color="5B9BD5" w:themeColor="accent5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bottom w:val="single" w:color="5B9BD5" w:themeColor="accent5" w:sz="4" w:space="0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tcBorders>
          <w:left w:val="single" w:color="70AD47" w:themeColor="accent6" w:sz="4" w:space="0"/>
          <w:right w:val="single" w:color="70AD47" w:themeColor="accent6" w:sz="4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bottom w:val="single" w:color="70AD47" w:themeColor="accent6" w:sz="4" w:space="0"/>
        </w:tcBorders>
      </w:tcPr>
    </w:tblStylePr>
  </w:style>
  <w:style w:type="table" w:customStyle="1" w:styleId="-410">
    <w:name w:val="Список-таблица 41"/>
    <w:basedOn w:val="a1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000000" w:fill="000000" w:themeFill="tex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color w:val="404040"/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4472C4" w:fill="4472C4" w:themeFill="accent1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CFDBF0" w:fill="CFDBF0" w:themeFill="accent1" w:themeFillTint="40"/>
      </w:tcPr>
    </w:tblStylePr>
    <w:tblStylePr w:type="band1Horz">
      <w:rPr>
        <w:color w:val="404040"/>
        <w:sz w:val="22"/>
      </w:rPr>
      <w:tblPr/>
      <w:tcPr>
        <w:shd w:val="clear" w:color="CFDBF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ED7D31" w:fill="ED7D31" w:themeFill="accent2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color w:val="404040"/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A5A5A5" w:fill="A5A5A5" w:themeFill="accent3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color w:val="404040"/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FFC000" w:fill="FFC000" w:themeFill="accent4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color w:val="404040"/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5B9BD5" w:fill="5B9BD5" w:themeFill="accent5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5E5F4" w:fill="D5E5F4" w:themeFill="accent5" w:themeFillTint="40"/>
      </w:tcPr>
    </w:tblStylePr>
    <w:tblStylePr w:type="band1Horz">
      <w:rPr>
        <w:color w:val="404040"/>
        <w:sz w:val="22"/>
      </w:rPr>
      <w:tblPr/>
      <w:tcPr>
        <w:shd w:val="clear" w:color="D5E5F4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/>
        <w:sz w:val="22"/>
      </w:rPr>
      <w:tblPr/>
      <w:tcPr>
        <w:shd w:val="clear" w:color="70AD47" w:fill="70AD47" w:themeFill="accent6"/>
      </w:tcPr>
    </w:tblStylePr>
    <w:tblStylePr w:type="lastRow">
      <w:rPr>
        <w:b/>
        <w:color w:val="404040"/>
      </w:rPr>
      <w:tblPr/>
    </w:tblStylePr>
    <w:tblStylePr w:type="firstCol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band1Vert">
      <w:rPr>
        <w:color w:val="404040"/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color w:val="404040"/>
        <w:sz w:val="22"/>
      </w:rPr>
      <w:tblPr/>
      <w:tcPr>
        <w:shd w:val="clear" w:color="DAEBCF" w:fill="DAEBCF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FFFFFF" w:themeColor="light1" w:sz="12" w:space="0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000000" w:themeColor="tex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4472C4" w:themeColor="accent1" w:sz="32" w:space="0"/>
          <w:bottom w:val="single" w:color="FFFFFF" w:themeColor="light1" w:sz="12" w:space="0"/>
        </w:tcBorders>
        <w:shd w:val="clear" w:color="4472C4" w:fill="4472C4" w:themeFill="accent1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4472C4" w:fill="4472C4" w:themeFill="accent1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4472C4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ED7D31" w:themeColor="accent2" w:sz="32" w:space="0"/>
          <w:bottom w:val="single" w:color="FFFFFF" w:themeColor="light1" w:sz="12" w:space="0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ED7D31" w:themeColor="accent2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ED7D31" w:themeColor="accent2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A5A5A5" w:themeColor="accent3" w:sz="32" w:space="0"/>
          <w:bottom w:val="single" w:color="FFFFFF" w:themeColor="light1" w:sz="12" w:space="0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A5A5A5" w:themeColor="accent3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A5A5A5" w:themeColor="accent3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FFC000" w:themeColor="accent4" w:sz="32" w:space="0"/>
          <w:bottom w:val="single" w:color="FFFFFF" w:themeColor="light1" w:sz="12" w:space="0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FFC000" w:themeColor="accent4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FFC000" w:themeColor="accent4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5B9BD5" w:themeColor="accent5" w:sz="32" w:space="0"/>
          <w:bottom w:val="single" w:color="FFFFFF" w:themeColor="light1" w:sz="12" w:space="0"/>
        </w:tcBorders>
        <w:shd w:val="clear" w:color="9BC2E5" w:fill="9BC2E5" w:themeFill="accent5" w:themeFillTint="9a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5B9BD5" w:themeColor="accent5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5B9BD5" w:themeColor="accent5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9BC2E5" w:fill="9BC2E5" w:themeFill="accent5" w:themeFillTint="9a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9BC2E5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color="70AD47" w:themeColor="accent6" w:sz="32" w:space="0"/>
          <w:bottom w:val="single" w:color="FFFFFF" w:themeColor="light1" w:sz="12" w:space="0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  <w:tblPr/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70AD47" w:themeColor="accent6" w:sz="32" w:space="0"/>
          <w:right w:val="single" w:color="FFFFFF" w:themeColor="light1" w:sz="4" w:space="0"/>
        </w:tcBorders>
      </w:tcPr>
    </w:tblStylePr>
    <w:tblStylePr w:type="lastCol">
      <w:tblPr/>
      <w:tcPr>
        <w:tcBorders>
          <w:left w:val="single" w:color="FFFFFF" w:themeColor="light1" w:sz="4" w:space="0"/>
          <w:right w:val="single" w:color="70AD47" w:themeColor="accent6" w:sz="32" w:space="0"/>
        </w:tcBorders>
      </w:tcPr>
    </w:tblStylePr>
    <w:tblStylePr w:type="band1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1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color="FFFFFF" w:themeColor="light1" w:sz="4" w:space="0"/>
          <w:bottom w:val="single" w:color="FFFFFF" w:themeColor="light1" w:sz="4" w:space="0"/>
        </w:tcBorders>
        <w:shd w:val="clear" w:color="A9D08E" w:fill="A9D08E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firstCol">
      <w:rPr>
        <w:b/>
        <w:color w:val="000000" w:themeColor="text1"/>
      </w:rPr>
      <w:tblPr/>
    </w:tblStylePr>
    <w:tblStylePr w:type="lastCol">
      <w:rPr>
        <w:b/>
        <w:color w:val="000000" w:themeColor="text1"/>
      </w:rPr>
      <w:tblPr/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  <w:tblPr/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1" w:themeShade="95"/>
      </w:rPr>
      <w:tblPr/>
      <w:tcPr>
        <w:tcBorders>
          <w:bottom w:val="single" w:color="4472C4" w:themeColor="accent1" w:sz="4" w:space="0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color="4472C4" w:themeColor="accent1" w:sz="4" w:space="0"/>
        </w:tcBorders>
      </w:tcPr>
    </w:tblStylePr>
    <w:tblStylePr w:type="firstCol">
      <w:rPr>
        <w:b/>
        <w:color w:val="254175" w:themeColor="accent1" w:themeShade="95"/>
      </w:rPr>
      <w:tblPr/>
    </w:tblStylePr>
    <w:tblStylePr w:type="lastCol">
      <w:rPr>
        <w:b/>
        <w:color w:val="254175" w:themeColor="accent1" w:themeShade="95"/>
      </w:rPr>
      <w:tblPr/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color="ED7D31" w:themeColor="accent2" w:sz="4" w:space="0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color="ED7D31" w:themeColor="accent2" w:sz="4" w:space="0"/>
        </w:tcBorders>
      </w:tcPr>
    </w:tblStylePr>
    <w:tblStylePr w:type="firstCol">
      <w:rPr>
        <w:b/>
        <w:color w:val="F4B184" w:themeColor="accent2" w:themeTint="97" w:themeShade="95"/>
      </w:rPr>
      <w:tblPr/>
    </w:tblStylePr>
    <w:tblStylePr w:type="lastCol">
      <w:rPr>
        <w:b/>
        <w:color w:val="F4B184" w:themeColor="accent2" w:themeTint="97" w:themeShade="95"/>
      </w:rPr>
      <w:tblPr/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color="A5A5A5" w:themeColor="accent3" w:sz="4" w:space="0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color="A5A5A5" w:themeColor="accent3" w:sz="4" w:space="0"/>
        </w:tcBorders>
      </w:tcPr>
    </w:tblStylePr>
    <w:tblStylePr w:type="firstCol">
      <w:rPr>
        <w:b/>
        <w:color w:val="C9C9C9" w:themeColor="accent3" w:themeTint="98" w:themeShade="95"/>
      </w:rPr>
      <w:tblPr/>
    </w:tblStylePr>
    <w:tblStylePr w:type="lastCol">
      <w:rPr>
        <w:b/>
        <w:color w:val="C9C9C9" w:themeColor="accent3" w:themeTint="98" w:themeShade="95"/>
      </w:rPr>
      <w:tblPr/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color="FFC000" w:themeColor="accent4" w:sz="4" w:space="0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color="FFC000" w:themeColor="accent4" w:sz="4" w:space="0"/>
        </w:tcBorders>
      </w:tcPr>
    </w:tblStylePr>
    <w:tblStylePr w:type="firstCol">
      <w:rPr>
        <w:b/>
        <w:color w:val="FFD865" w:themeColor="accent4" w:themeTint="9a" w:themeShade="95"/>
      </w:rPr>
      <w:tblPr/>
    </w:tblStylePr>
    <w:tblStylePr w:type="lastCol">
      <w:rPr>
        <w:b/>
        <w:color w:val="FFD865" w:themeColor="accent4" w:themeTint="9a" w:themeShade="95"/>
      </w:rPr>
      <w:tblPr/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color="5B9BD5" w:themeColor="accent5" w:sz="4" w:space="0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color="5B9BD5" w:themeColor="accent5" w:sz="4" w:space="0"/>
        </w:tcBorders>
      </w:tcPr>
    </w:tblStylePr>
    <w:tblStylePr w:type="firstCol">
      <w:rPr>
        <w:b/>
        <w:color w:val="9BC2E5" w:themeColor="accent5" w:themeTint="9a" w:themeShade="95"/>
      </w:rPr>
      <w:tblPr/>
    </w:tblStylePr>
    <w:tblStylePr w:type="lastCol">
      <w:rPr>
        <w:b/>
        <w:color w:val="9BC2E5" w:themeColor="accent5" w:themeTint="9a" w:themeShade="95"/>
      </w:rPr>
      <w:tblPr/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color="70AD47" w:themeColor="accent6" w:sz="4" w:space="0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color="70AD47" w:themeColor="accent6" w:sz="4" w:space="0"/>
        </w:tcBorders>
      </w:tcPr>
    </w:tblStylePr>
    <w:tblStylePr w:type="firstCol">
      <w:rPr>
        <w:b/>
        <w:color w:val="A9D08E" w:themeColor="accent6" w:themeTint="98" w:themeShade="95"/>
      </w:rPr>
      <w:tblPr/>
    </w:tblStylePr>
    <w:tblStylePr w:type="lastCol">
      <w:rPr>
        <w:b/>
        <w:color w:val="A9D08E" w:themeColor="accent6" w:themeTint="98" w:themeShade="95"/>
      </w:rPr>
      <w:tblPr/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-710">
    <w:name w:val="Список-таблица 7 цветная1"/>
    <w:basedOn w:val="a1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sz="4" w:space="0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color="000000" w:sz="4" w:space="0"/>
          <w:left w:val="single" w:color="000000" w:themeColor="tex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  <w:tblPr/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254175" w:themeColor="accent1" w:themeShade="95"/>
        <w:sz w:val="22"/>
      </w:rPr>
      <w:tblPr/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  <w:shd w:val="clear" w:color="FFFFFF" w:fill="auto"/>
      </w:tcPr>
    </w:tblStylePr>
    <w:tblStylePr w:type="lastCol">
      <w:rPr>
        <w:i/>
        <w:color w:val="254175" w:themeColor="accent1" w:themeShade="95"/>
        <w:sz w:val="22"/>
      </w:rPr>
      <w:tblPr/>
      <w:tcPr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CFDBF0" w:fill="CFDBF0" w:themeFill="accent1" w:themeFillTint="40"/>
      </w:tcPr>
    </w:tblStylePr>
    <w:tblStylePr w:type="band1Horz">
      <w:rPr>
        <w:color w:val="254175" w:themeColor="accent1" w:themeShade="95"/>
        <w:sz w:val="22"/>
      </w:rPr>
      <w:tblPr/>
      <w:tcPr>
        <w:shd w:val="clear" w:color="CFDBF0" w:fill="CFDBF0" w:themeFill="accent1" w:themeFillTint="40"/>
      </w:tcPr>
    </w:tblStylePr>
    <w:tblStylePr w:type="band2Horz">
      <w:rPr>
        <w:color w:val="254175" w:themeColor="accent1" w:themeShade="95"/>
        <w:sz w:val="22"/>
      </w:rPr>
      <w:tblPr/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ED7D31" w:themeColor="accent2" w:sz="4" w:space="0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color="000000" w:sz="4" w:space="0"/>
          <w:left w:val="single" w:color="ED7D31" w:themeColor="accent2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  <w:tblPr/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sz="4" w:space="0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color="000000" w:sz="4" w:space="0"/>
          <w:left w:val="single" w:color="A5A5A5" w:themeColor="accent3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  <w:tblPr/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C000" w:themeColor="accent4" w:sz="4" w:space="0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color="000000" w:sz="4" w:space="0"/>
          <w:left w:val="single" w:color="FFC000" w:themeColor="accent4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  <w:tblPr/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9BC2E5" w:themeColor="accent5" w:themeTint="9a" w:themeShade="95"/>
        <w:sz w:val="22"/>
      </w:rPr>
      <w:tblPr/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5" w:sz="4" w:space="0"/>
        </w:tcBorders>
        <w:shd w:val="clear" w:color="FFFFFF" w:fill="auto"/>
      </w:tcPr>
    </w:tblStylePr>
    <w:tblStylePr w:type="lastCol">
      <w:rPr>
        <w:i/>
        <w:color w:val="9BC2E5" w:themeColor="accent5" w:themeTint="9a" w:themeShade="95"/>
        <w:sz w:val="22"/>
      </w:rPr>
      <w:tblPr/>
      <w:tcPr>
        <w:tcBorders>
          <w:top w:val="none" w:color="000000" w:sz="4" w:space="0"/>
          <w:left w:val="single" w:color="5B9BD5" w:themeColor="accent5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5E5F4" w:fill="D5E5F4" w:themeFill="accent5" w:themeFillTint="40"/>
      </w:tcPr>
    </w:tblStylePr>
    <w:tblStylePr w:type="band1Horz">
      <w:rPr>
        <w:color w:val="9BC2E5" w:themeColor="accent5" w:themeTint="9a" w:themeShade="95"/>
        <w:sz w:val="22"/>
      </w:rPr>
      <w:tblPr/>
      <w:tcPr>
        <w:shd w:val="clear" w:color="D5E5F4" w:fill="D5E5F4" w:themeFill="accent5" w:themeFillTint="40"/>
      </w:tcPr>
    </w:tblStylePr>
    <w:tblStylePr w:type="band2Horz">
      <w:rPr>
        <w:color w:val="9BC2E5" w:themeColor="accent5" w:themeTint="9a" w:themeShade="95"/>
        <w:sz w:val="22"/>
      </w:rPr>
      <w:tblPr/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0AD47" w:themeColor="accent6" w:sz="4" w:space="0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color="000000" w:sz="4" w:space="0"/>
          <w:left w:val="single" w:color="70AD47" w:themeColor="accent6" w:sz="4" w:space="0"/>
          <w:bottom w:val="none" w:color="000000" w:sz="4" w:space="0"/>
          <w:right w:val="none" w:color="000000" w:sz="4" w:space="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  <w:tblPr/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fir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2F2F2" w:fill="F2F2F2" w:themeFill="text1" w:themeFillTint="d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  <w:insideH w:val="single" w:color="4472C4" w:themeColor="accent1" w:sz="4" w:space="0"/>
        <w:insideV w:val="single" w:color="4472C4" w:themeColor="accent1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Row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fir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lastCol">
      <w:rPr>
        <w:color w:val="F2F2F2"/>
        <w:sz w:val="22"/>
      </w:rPr>
      <w:tblPr/>
      <w:tcPr>
        <w:shd w:val="clear" w:color="537DC8" w:fill="537DC8" w:themeFill="accent1" w:themeFillTint="e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C4D2EC" w:fill="C4D2EC" w:themeFill="accent1" w:themeFillTint="50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C4D2EC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color="ED7D31" w:themeColor="accent2" w:sz="4" w:space="0"/>
        <w:left w:val="single" w:color="ED7D31" w:themeColor="accent2" w:sz="4" w:space="0"/>
        <w:bottom w:val="single" w:color="ED7D31" w:themeColor="accent2" w:sz="4" w:space="0"/>
        <w:right w:val="single" w:color="ED7D31" w:themeColor="accent2" w:sz="4" w:space="0"/>
        <w:insideH w:val="single" w:color="ED7D31" w:themeColor="accent2" w:sz="4" w:space="0"/>
        <w:insideV w:val="single" w:color="ED7D31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color="A5A5A5" w:themeColor="accent3" w:sz="4" w:space="0"/>
        <w:left w:val="single" w:color="A5A5A5" w:themeColor="accent3" w:sz="4" w:space="0"/>
        <w:bottom w:val="single" w:color="A5A5A5" w:themeColor="accent3" w:sz="4" w:space="0"/>
        <w:right w:val="single" w:color="A5A5A5" w:themeColor="accent3" w:sz="4" w:space="0"/>
        <w:insideH w:val="single" w:color="A5A5A5" w:themeColor="accent3" w:sz="4" w:space="0"/>
        <w:insideV w:val="single" w:color="A5A5A5" w:themeColor="accent3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color w:val="F2F2F2"/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color="FFC000" w:themeColor="accent4" w:sz="4" w:space="0"/>
        <w:left w:val="single" w:color="FFC000" w:themeColor="accent4" w:sz="4" w:space="0"/>
        <w:bottom w:val="single" w:color="FFC000" w:themeColor="accent4" w:sz="4" w:space="0"/>
        <w:right w:val="single" w:color="FFC000" w:themeColor="accent4" w:sz="4" w:space="0"/>
        <w:insideH w:val="single" w:color="FFC000" w:themeColor="accent4" w:sz="4" w:space="0"/>
        <w:insideV w:val="single" w:color="FFC000" w:themeColor="accent4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5B9BD5" w:fill="5B9BD5" w:themeFill="accent5"/>
      </w:tcPr>
    </w:tblStylePr>
    <w:tblStylePr w:type="lastRow">
      <w:rPr>
        <w:color w:val="F2F2F2"/>
        <w:sz w:val="22"/>
      </w:rPr>
      <w:tblPr/>
      <w:tcPr>
        <w:shd w:val="clear" w:color="5B9BD5" w:fill="5B9BD5" w:themeFill="accent5"/>
      </w:tcPr>
    </w:tblStylePr>
    <w:tblStylePr w:type="firstCol">
      <w:rPr>
        <w:color w:val="F2F2F2"/>
        <w:sz w:val="22"/>
      </w:rPr>
      <w:tblPr/>
      <w:tcPr>
        <w:shd w:val="clear" w:color="5B9BD5" w:fill="5B9BD5" w:themeFill="accent5"/>
      </w:tcPr>
    </w:tblStylePr>
    <w:tblStylePr w:type="lastCol">
      <w:rPr>
        <w:color w:val="F2F2F2"/>
        <w:sz w:val="22"/>
      </w:rPr>
      <w:tblPr/>
      <w:tcPr>
        <w:shd w:val="clear" w:color="5B9BD5" w:fill="5B9BD5" w:themeFill="accent5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DDEAF6" w:fill="DDEAF6" w:themeFill="accent5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DDEAF6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2F2F2"/>
        <w:sz w:val="22"/>
      </w:rPr>
      <w:tblPr/>
      <w:tcPr>
        <w:shd w:val="clear" w:color="70AD47" w:fill="70AD47" w:themeFill="accent6"/>
      </w:tcPr>
    </w:tblStylePr>
    <w:tblStylePr w:type="lastRow">
      <w:rPr>
        <w:color w:val="F2F2F2"/>
        <w:sz w:val="22"/>
      </w:rPr>
      <w:tblPr/>
      <w:tcPr>
        <w:shd w:val="clear" w:color="70AD47" w:fill="70AD47" w:themeFill="accent6"/>
      </w:tcPr>
    </w:tblStylePr>
    <w:tblStylePr w:type="firstCol">
      <w:rPr>
        <w:color w:val="F2F2F2"/>
        <w:sz w:val="22"/>
      </w:rPr>
      <w:tblPr/>
      <w:tcPr>
        <w:shd w:val="clear" w:color="70AD47" w:fill="70AD47" w:themeFill="accent6"/>
      </w:tcPr>
    </w:tblStylePr>
    <w:tblStylePr w:type="lastCol">
      <w:rPr>
        <w:color w:val="F2F2F2"/>
        <w:sz w:val="22"/>
      </w:rPr>
      <w:tblPr/>
      <w:tcPr>
        <w:shd w:val="clear" w:color="70AD47" w:fill="70AD47" w:themeFill="accent6"/>
      </w:tcPr>
    </w:tblStylePr>
    <w:tblStylePr w:type="band1Vert">
      <w:rPr>
        <w:color w:val="404040"/>
        <w:sz w:val="22"/>
      </w:rPr>
      <w:tblPr/>
    </w:tblStylePr>
    <w:tblStylePr w:type="band2Vert">
      <w:rPr>
        <w:color w:val="404040"/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4472C4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4472C4" w:themeColor="accent1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4472C4" w:themeColor="accent1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4472C4" w:themeColor="accent1" w:sz="4" w:space="0"/>
          <w:left w:val="single" w:color="4472C4" w:themeColor="accent1" w:sz="4" w:space="0"/>
          <w:bottom w:val="single" w:color="4472C4" w:themeColor="accent1" w:sz="4" w:space="0"/>
          <w:right w:val="single" w:color="4472C4" w:themeColor="accent1" w:sz="4" w:space="0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ED7D31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ED7D31" w:themeColor="accent2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ED7D31" w:themeColor="accent2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ED7D31" w:themeColor="accent2" w:sz="4" w:space="0"/>
          <w:left w:val="single" w:color="ED7D31" w:themeColor="accent2" w:sz="4" w:space="0"/>
          <w:bottom w:val="single" w:color="ED7D31" w:themeColor="accent2" w:sz="4" w:space="0"/>
          <w:right w:val="single" w:color="ED7D31" w:themeColor="accent2" w:sz="4" w:space="0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A5A5A5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A5A5A5" w:themeColor="accent3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A5A5A5" w:themeColor="accent3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A5A5A5" w:themeColor="accent3" w:sz="4" w:space="0"/>
          <w:left w:val="single" w:color="A5A5A5" w:themeColor="accent3" w:sz="4" w:space="0"/>
          <w:bottom w:val="single" w:color="A5A5A5" w:themeColor="accent3" w:sz="4" w:space="0"/>
          <w:right w:val="single" w:color="A5A5A5" w:themeColor="accent3" w:sz="4" w:space="0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FFC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FFC000" w:themeColor="accent4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FFC000" w:themeColor="accent4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FFC000" w:themeColor="accent4" w:sz="4" w:space="0"/>
          <w:left w:val="single" w:color="FFC000" w:themeColor="accent4" w:sz="4" w:space="0"/>
          <w:bottom w:val="single" w:color="FFC000" w:themeColor="accent4" w:sz="4" w:space="0"/>
          <w:right w:val="single" w:color="FFC000" w:themeColor="accent4" w:sz="4" w:space="0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5B9BD5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5B9BD5" w:themeColor="accent5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5B9BD5" w:themeColor="accent5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404040"/>
        <w:sz w:val="22"/>
      </w:rPr>
      <w:tblPr/>
      <w:tcPr>
        <w:tcBorders>
          <w:bottom w:val="single" w:color="70AD47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70AD47" w:themeColor="accent6" w:sz="12" w:space="0"/>
        </w:tcBorders>
      </w:tcPr>
    </w:tblStylePr>
    <w:tblStylePr w:type="firstCol">
      <w:rPr>
        <w:color w:val="404040"/>
        <w:sz w:val="22"/>
      </w:rPr>
      <w:tblPr/>
    </w:tblStylePr>
    <w:tblStylePr w:type="lastCol">
      <w:rPr>
        <w:color w:val="404040"/>
        <w:sz w:val="22"/>
      </w:rPr>
      <w:tblPr/>
      <w:tcPr>
        <w:tcBorders>
          <w:left w:val="single" w:color="70AD47" w:themeColor="accent6" w:sz="12" w:space="0"/>
        </w:tcBorders>
      </w:tcPr>
    </w:tblStylePr>
    <w:tblStylePr w:type="band1Horz">
      <w:rPr>
        <w:color w:val="404040"/>
        <w:sz w:val="22"/>
      </w:rPr>
      <w:tblPr/>
      <w:tcPr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</w:style>
  <w:style w:type="table" w:styleId="affff9">
    <w:name w:val="Table Grid"/>
    <w:basedOn w:val="a1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e">
    <w:name w:val="Сетка таблицы1"/>
    <w:basedOn w:val="a1"/>
    <w:uiPriority w:val="39"/>
    <w:rPr>
      <w:rFonts w:asciiTheme="minorHAnsi" w:hAnsiTheme="minorHAnsi" w:eastAsiaTheme="minorHAnsi" w:cstheme="minorBidi"/>
      <w:lang w:eastAsia="en-US"/>
      <w:sz w:val="24"/>
      <w:szCs w:val="24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yperlink" Target="https://docs.cntd.ru/document/1200164120" TargetMode="External"/><Relationship Id="rId5" Type="http://schemas.openxmlformats.org/officeDocument/2006/relationships/hyperlink" Target="https://docs.cntd.ru/document/1200164120" TargetMode="Externa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1891</TotalTime>
  <Application>LibreOffice/7.1.8.1$Linux_X86_64 LibreOffice_project/10$Build-1</Application>
  <AppVersion>15.0000</AppVersion>
  <Pages>8</Pages>
  <Words>1398</Words>
  <Characters>8992</Characters>
  <CharactersWithSpaces>10029</CharactersWithSpaces>
  <Paragraphs>342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2025-09-26T13:22:00Z</dcterms:created>
  <dc:creator>Быстров Олег Геннадьевич</dc:creator>
  <dc:description/>
  <dc:language>ru-RU</dc:language>
  <cp:lastModifiedBy/>
  <dcterms:modified xsi:type="dcterms:W3CDTF">2026-08-04T16:30:05Z</dcterms:modified>
  <cp:revision>31</cp:revision>
  <dc:subject/>
  <dc:title>Российское открытое акционерное общество энергетики и электрификации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