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before="0" w:after="80"/>
        <w:ind w:left="0" w:hanging="0"/>
        <w:jc w:val="center"/>
        <w:outlineLvl w:val="0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ТЕХНИЧЕСКОЕ ЗАДАНИЕ  НА ОКАЗАНИЕ УСЛУГ</w:t>
      </w:r>
    </w:p>
    <w:p>
      <w:pPr>
        <w:pStyle w:val="Normal"/>
        <w:numPr>
          <w:ilvl w:val="0"/>
          <w:numId w:val="0"/>
        </w:numPr>
        <w:shd w:val="clear" w:color="auto" w:fill="FFFFFF"/>
        <w:spacing w:before="0" w:after="80"/>
        <w:ind w:left="0" w:hanging="0"/>
        <w:jc w:val="center"/>
        <w:outlineLvl w:val="0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по </w:t>
      </w:r>
      <w:r>
        <w:rPr>
          <w:b/>
          <w:bCs/>
          <w:sz w:val="24"/>
          <w:szCs w:val="24"/>
        </w:rPr>
        <w:t xml:space="preserve">организации и проведению </w:t>
      </w:r>
      <w:r>
        <w:rPr>
          <w:b/>
          <w:bCs/>
          <w:sz w:val="24"/>
          <w:szCs w:val="24"/>
        </w:rPr>
        <w:t xml:space="preserve">спортивно-оздоровительного мероприятия для сотрудников и членов их семей «День здоровья» </w:t>
      </w:r>
    </w:p>
    <w:p>
      <w:pPr>
        <w:pStyle w:val="Normal"/>
        <w:numPr>
          <w:ilvl w:val="0"/>
          <w:numId w:val="0"/>
        </w:numPr>
        <w:shd w:val="clear" w:color="auto" w:fill="FFFFFF"/>
        <w:spacing w:before="0" w:after="80"/>
        <w:ind w:left="0" w:hanging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Footer"/>
        <w:spacing w:lineRule="auto" w:line="240" w:before="0" w:after="0"/>
        <w:ind w:left="0" w:right="0" w:hanging="0"/>
        <w:jc w:val="both"/>
        <w:rPr/>
      </w:pPr>
      <w:r>
        <w:rPr>
          <w:b/>
          <w:bCs/>
          <w:sz w:val="24"/>
          <w:szCs w:val="24"/>
        </w:rPr>
        <w:t xml:space="preserve">1. Заказчик: </w:t>
      </w:r>
      <w:r>
        <w:rPr>
          <w:sz w:val="24"/>
          <w:szCs w:val="24"/>
        </w:rPr>
        <w:t xml:space="preserve">Филиал ПАО «РусГидро» - «Бурейская ГЭС» - самая крупная гидроэлектростанция Дальнего Востока.  Основной вид деятельности – производство и продажа электрической энергии. </w:t>
      </w:r>
      <w:r>
        <w:rPr>
          <w:rFonts w:eastAsia="Arial Unicode MS" w:cs="Arial Unicode MS"/>
          <w:sz w:val="24"/>
          <w:szCs w:val="24"/>
        </w:rPr>
        <w:t xml:space="preserve">Гидроэлектростанция расположена по адресу: 676730 Амурская область, Бурейский муниципальный округ, пгт. Талакан, а/я 52. </w:t>
      </w:r>
      <w:r>
        <w:rPr>
          <w:sz w:val="24"/>
          <w:szCs w:val="24"/>
        </w:rPr>
        <w:t xml:space="preserve">Общие сведения о филиале ПАО «РусГидро» - «Бурейская ГЭС» содержатся на внешнем корпоративном сайте компании: </w:t>
      </w:r>
      <w:hyperlink r:id="rId2">
        <w:r>
          <w:rPr>
            <w:rStyle w:val="Hyperlink"/>
            <w:sz w:val="24"/>
            <w:szCs w:val="24"/>
          </w:rPr>
          <w:t>https://burges.rushydro.ru/</w:t>
        </w:r>
      </w:hyperlink>
    </w:p>
    <w:p>
      <w:pPr>
        <w:pStyle w:val="Normal"/>
        <w:spacing w:lineRule="auto" w:line="240" w:before="0" w:after="0"/>
        <w:ind w:left="0" w:right="0" w:hanging="0"/>
        <w:jc w:val="both"/>
        <w:rPr>
          <w:b/>
          <w:bCs/>
          <w:sz w:val="24"/>
          <w:szCs w:val="24"/>
        </w:rPr>
      </w:pPr>
      <w:r>
        <w:rPr>
          <w:rFonts w:eastAsia="Arial Unicode MS" w:cs="Arial Unicode MS"/>
          <w:b/>
          <w:bCs/>
          <w:sz w:val="24"/>
          <w:szCs w:val="24"/>
        </w:rPr>
        <w:t xml:space="preserve">2. Цель: </w:t>
      </w:r>
      <w:r>
        <w:rPr>
          <w:rFonts w:eastAsia="Arial Unicode MS" w:cs="Arial Unicode MS"/>
          <w:b w:val="false"/>
          <w:bCs w:val="false"/>
          <w:sz w:val="24"/>
          <w:szCs w:val="24"/>
        </w:rPr>
        <w:t xml:space="preserve">Заключение договора оказания услуг по организации и проведению </w:t>
      </w:r>
      <w:r>
        <w:rPr>
          <w:rFonts w:eastAsia="Arial Unicode MS" w:cs="Arial Unicode MS"/>
          <w:b w:val="false"/>
          <w:bCs w:val="false"/>
          <w:sz w:val="24"/>
          <w:szCs w:val="24"/>
        </w:rPr>
        <w:t xml:space="preserve">спортивно-оздоровительного мероприятия для сотрудников и членов их семей «День здоровья» </w:t>
      </w:r>
      <w:r>
        <w:rPr>
          <w:rFonts w:eastAsia="Arial Unicode MS" w:cs="Arial Unicode MS"/>
          <w:b w:val="false"/>
          <w:bCs w:val="false"/>
          <w:sz w:val="24"/>
          <w:szCs w:val="24"/>
        </w:rPr>
        <w:t>в 2026 году.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/>
          <w:bCs/>
          <w:sz w:val="24"/>
          <w:szCs w:val="24"/>
        </w:rPr>
      </w:pPr>
      <w:r>
        <w:rPr>
          <w:rFonts w:eastAsia="Arial Unicode MS" w:cs="Arial Unicode MS"/>
          <w:b/>
          <w:bCs/>
          <w:sz w:val="24"/>
          <w:szCs w:val="24"/>
        </w:rPr>
        <w:t>3.</w:t>
      </w:r>
      <w:r>
        <w:rPr>
          <w:rFonts w:eastAsia="Arial Unicode MS" w:cs="Arial Unicode MS"/>
          <w:b w:val="false"/>
          <w:bCs w:val="false"/>
          <w:sz w:val="24"/>
          <w:szCs w:val="24"/>
        </w:rPr>
        <w:t xml:space="preserve"> </w:t>
      </w:r>
      <w:r>
        <w:rPr>
          <w:rFonts w:eastAsia="Arial Unicode MS" w:cs="Arial Unicode MS"/>
          <w:b/>
          <w:bCs/>
          <w:sz w:val="24"/>
          <w:szCs w:val="24"/>
        </w:rPr>
        <w:t xml:space="preserve">Описание работ, сроки выполнения: 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8"/>
        <w:gridCol w:w="1810"/>
        <w:gridCol w:w="5952"/>
        <w:gridCol w:w="1303"/>
      </w:tblGrid>
      <w:tr>
        <w:trPr/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tLeast" w:line="23"/>
              <w:ind w:left="-113" w:right="0" w:hanging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Calibri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en-US"/>
              </w:rPr>
              <w:t>№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Наименование 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Описание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Сроки, локация</w:t>
            </w:r>
          </w:p>
        </w:tc>
      </w:tr>
      <w:tr>
        <w:trPr/>
        <w:tc>
          <w:tcPr>
            <w:tcW w:w="2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Спортивно-оздоровительное мероприятие для сотрудников и членов их семей «День здоровья» </w:t>
            </w:r>
          </w:p>
        </w:tc>
        <w:tc>
          <w:tcPr>
            <w:tcW w:w="59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Цель: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популяризация здорового образа жизни, развитие корпоративной культуры, укрепление командного взаимодействия  и семейных ценностей, создание условий для активного отдыха.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Задачи: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-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разработать и реализовать программу мероприятия, включающую спортивные, игровые, развлекательные и семейные активности для участников различных возрастных категорий;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 обеспечить проведение командных соревнований, эстафет и спортивных испытаний, предусматривающих участие работников предприятия совместно с членами их семей;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 организовать работу тематических площадок, обеспечивающих разнообразные форматы активного досуга, отдыха и вовлечения участников в программу мероприятия;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 обеспечить участие квалифицированных ведущих, инструкторов, судей и аниматоров для сопровождения всех этапов проведения мероприятия;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 создать условия для вовлечения максимального количества работников предприятия и членов их семей в активное участие в спортивных и досуговых мероприятиях, независимо от возраста и уровня физической подготовки;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 организовать безопасное проведение мероприятия с соблюдением требований охраны труда, пожарной безопасности, санитарно-эпидемиологических требований и общественного порядка;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обеспечить материально-техническое сопровождение мероприятия, включая спортивный инвентарь, оборудование, оформление площадок, звуковое сопровождение;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 обеспечить участников памятной и наградной продукцией, предусмотренной программой мероприятия;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 обеспечить фото-видео сопровождение мероприятия для последующего использования материалов во внутренних корпоративных коммуникациях предприятия;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- организовать проведение мероприятия в соответствии с утвержденным сценарием, таймингом, программой без нарушения производственных и организационных требований Заказчика;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- обеспечить высокий уровень организации мероприятия, направленный на формирование положительной атмосферы в коллективе.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Перечень услуг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Исполнитель обязуется оказать комплекс услуг по организации и проведению спортивно-оздоровительного мероприятия «День здоровья» для сотрудников Бурейской ГЭС и членов их семей, включая: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1. </w:t>
            </w:r>
            <w:r>
              <w:rPr>
                <w:rFonts w:cs="Times New Roman" w:ascii="Times New Roman" w:hAnsi="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Разработка концепции и сценария мероприятия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разработка общей концепции мероприятия;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подготовка сценарного плана и тайминга;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разработка механики командной игры;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разработка правил прохождения этапов, системы подсчета результатов и определения победителей;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координация проведения мероприятия в течение всего времени его проведения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 Организация командно-спортивной развлекательной программы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разработка и организация командного квеста (полосы препятствий), состоящего из нескольких тематических этапов (площадок);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формирование маршрута прохождения этапов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обеспечение одновременной работы всех площадок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организация судейства на каждом этапе;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обеспечение необходимым спортивным, игровым и иным инвентарем.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Испытания должны включать разнообразные задания, направленные на: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развитие командного взаимодействия;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проверку ловкости, координации, выносливости;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решение интеллектуальных задач;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выполнение логических и творческих заданий;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развитие навыков коммуникации, взаимопомощи и коллективного принятия решений.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Количество и содержание этапов определяется Исполнителем по согласованию с Заказчиком.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 Организация работы ведущего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предоставление профессионального ведущего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проведение церемонии открытия мероприятиях;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сопровождение всей программы мероприятия;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объявление этапов соревнований;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взаимодействие с участниками;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проведение церемонии награждения и закрытия мероприятия.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 Техническое обеспечение мероприятия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предоставление профессионального комплекта звукового оборудования;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монтаж и демонтаж оборудования;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работа звукорежиссера;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музыкальное сопровождение мероприятия;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обеспечение работы микрофонов и звукового оборудования в течение всего мероприятия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доставка оборудования и задействованного персонала на площадку проведения мероприятия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5. Оформление площадки проведения мероприяти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я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оформление стартовой и финишной зон;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оформление тематических игровых площадок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размещение брендированных элементов (при необходимости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установка фотозоны (по согласованию с Заказчиком)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 Организация детской зоны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Исполнитель организует отдельную детскую площадку для детей младшего возраста: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организация безопасной игровой зоны;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предоставление не менее двух профессиональных аниматоров;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проведение развлекательной программы, продолжительностью не менее 2 часов;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проведение подвижных игр, конкурсов, творческих и интерактивных занятий;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обеспечение площадок необходимым игровым реквизитом.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7. Организация зоны питания (фуд-корта)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Исполнитель организует работу зоны питания участников мероприятия, включая: 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организацию полевой кухни либо зону приготовления пищи;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приготовление горячих блюд (в том числе шашлыка, плова и иных блюд по согласованному меню);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организация выдачи готовых блюд;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обеспечение одноразовой посудой, столовыми приборами, салфетками;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соблюдение санитарно-эпидемиологических требований при приготовлении и раздачи пищи.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Меню и количество порций согласовывается с Заказчиком отдельно.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8. Награждение участников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Исполнитель обеспечивает: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организацию церемонии награждения;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подготовку дипломов, грамот либо иной наградной продукции (при необходимости);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подготовку призов и памятных подарков (по согласованию с Заказчиком);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музыкальное сопровождение церемонии награждения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9. Организационное сопровождение мероприятия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Исполнитель обеспечивает: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работу координатора мероприятия;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распределение команд;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сопровождение команд по маршруту прохождения этапов;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контроль соблюдения графика проведения мероприятия;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взаимодействие с представителями Заказчика на всех этапах подготовки и проведения мероприятия.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10. Обеспечение безопасности проведения мероприятия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Исполнитель обязан обеспечить безопасную организацию всех активностей, исключающую необоснованные риски для участников, использовать исправный инвентарь и оборудование, провести инструктаж участников перед началом соревнований. 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Место: </w:t>
            </w:r>
          </w:p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База флота Бурейской ГЭС (пгт. Талакан)</w:t>
            </w:r>
          </w:p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Дата:</w:t>
            </w:r>
          </w:p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18.09.2026</w:t>
            </w:r>
          </w:p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Время: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1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:00 — 1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:00</w:t>
            </w:r>
          </w:p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  <w:p>
            <w:pPr>
              <w:pStyle w:val="Style15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Arial Unicode MS" w:cs="Arial Unicode MS"/>
          <w:b/>
          <w:bCs/>
          <w:sz w:val="24"/>
          <w:szCs w:val="24"/>
        </w:rPr>
        <w:t>4. Требования к Исполнителю: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Cs w:val="false"/>
          <w:sz w:val="24"/>
          <w:szCs w:val="24"/>
        </w:rPr>
      </w:pPr>
      <w:r>
        <w:rPr>
          <w:rFonts w:eastAsia="Arial Unicode MS" w:cs="Arial Unicode MS"/>
          <w:b w:val="false"/>
          <w:bCs w:val="false"/>
          <w:sz w:val="24"/>
          <w:szCs w:val="24"/>
        </w:rPr>
        <w:t xml:space="preserve">4.1. Оказание Услуг квалифицированными специалистами, имеющими опыт организации </w:t>
      </w:r>
      <w:r>
        <w:rPr>
          <w:rFonts w:eastAsia="Arial Unicode MS" w:cs="Arial Unicode MS"/>
          <w:b w:val="false"/>
          <w:bCs w:val="false"/>
          <w:sz w:val="24"/>
          <w:szCs w:val="24"/>
        </w:rPr>
        <w:t>корпоративных</w:t>
      </w:r>
      <w:r>
        <w:rPr>
          <w:rFonts w:eastAsia="Arial Unicode MS" w:cs="Arial Unicode MS"/>
          <w:b w:val="false"/>
          <w:bCs w:val="false"/>
          <w:sz w:val="24"/>
          <w:szCs w:val="24"/>
        </w:rPr>
        <w:t xml:space="preserve"> мероприятий.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Cs w:val="false"/>
          <w:sz w:val="24"/>
          <w:szCs w:val="24"/>
        </w:rPr>
      </w:pPr>
      <w:r>
        <w:rPr>
          <w:rFonts w:eastAsia="Arial Unicode MS" w:cs="Arial Unicode MS"/>
          <w:b w:val="false"/>
          <w:bCs w:val="false"/>
          <w:sz w:val="24"/>
          <w:szCs w:val="24"/>
        </w:rPr>
        <w:t>4.2. Выделение сотрудника из числа штатных специалистов Исполнителя, в качестве менеджера, ответственного за взаимодействие по всем организационным вопросам.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Cs w:val="false"/>
          <w:sz w:val="24"/>
          <w:szCs w:val="24"/>
        </w:rPr>
      </w:pPr>
      <w:r>
        <w:rPr>
          <w:rFonts w:eastAsia="Arial Unicode MS" w:cs="Arial Unicode MS"/>
          <w:b w:val="false"/>
          <w:bCs w:val="false"/>
          <w:sz w:val="24"/>
          <w:szCs w:val="24"/>
        </w:rPr>
        <w:t>4.3. Наличие выполненных аналогичных договоров.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Arial Unicode MS" w:cs="Arial Unicode MS"/>
          <w:b w:val="false"/>
          <w:bCs w:val="false"/>
          <w:sz w:val="24"/>
          <w:szCs w:val="24"/>
        </w:rPr>
        <w:t xml:space="preserve">4.4. Наличие </w:t>
      </w:r>
      <w:r>
        <w:rPr>
          <w:bCs/>
          <w:sz w:val="24"/>
          <w:szCs w:val="24"/>
        </w:rPr>
        <w:t>достаточного количества квалифицированных кадров для оказания необходимых в рамках данного Технического задания услуг с опытом работы в сфере организации массовых мероприятий.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b/>
          <w:bCs/>
          <w:sz w:val="24"/>
          <w:szCs w:val="24"/>
        </w:rPr>
        <w:t xml:space="preserve">5. </w:t>
      </w:r>
      <w:r>
        <w:rPr>
          <w:rFonts w:cs="Times New Roman"/>
          <w:b/>
          <w:bCs/>
          <w:sz w:val="24"/>
          <w:szCs w:val="24"/>
        </w:rPr>
        <w:t xml:space="preserve">Порядок приемки работ: </w:t>
      </w:r>
    </w:p>
    <w:p>
      <w:pPr>
        <w:pStyle w:val="Normal"/>
        <w:widowControl w:val="false"/>
        <w:spacing w:lineRule="auto" w:line="240" w:before="0" w:after="0"/>
        <w:jc w:val="both"/>
        <w:rPr>
          <w:sz w:val="24"/>
          <w:szCs w:val="24"/>
        </w:rPr>
      </w:pPr>
      <w:r>
        <w:rPr>
          <w:rFonts w:eastAsia="Arial Unicode MS" w:cs="Times New Roman"/>
          <w:sz w:val="24"/>
          <w:szCs w:val="24"/>
        </w:rPr>
        <w:t xml:space="preserve">Акт сдачи-приемки оказанных услуг подписывается Сторонами в день проведения мероприятия после его завершения. Основанием для подписания Акта является факт проведения мероприятия в полном объеме в соответствии с условиями настоящего ТЗ. </w:t>
      </w:r>
    </w:p>
    <w:p>
      <w:pPr>
        <w:pStyle w:val="Normal"/>
        <w:spacing w:before="0" w:after="8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80"/>
        <w:jc w:val="both"/>
        <w:rPr>
          <w:sz w:val="24"/>
          <w:szCs w:val="24"/>
        </w:rPr>
      </w:pPr>
      <w:r>
        <w:rPr/>
      </w:r>
      <w:bookmarkStart w:id="0" w:name="_GoBack"/>
      <w:bookmarkStart w:id="1" w:name="_GoBack"/>
      <w:bookmarkEnd w:id="1"/>
    </w:p>
    <w:sectPr>
      <w:footerReference w:type="default" r:id="rId3"/>
      <w:type w:val="nextPage"/>
      <w:pgSz w:w="11906" w:h="16838"/>
      <w:pgMar w:left="1701" w:right="851" w:gutter="0" w:header="0" w:top="964" w:footer="709" w:bottom="96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u w:val="none" w:color="00000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624c98"/>
    <w:rPr>
      <w:rFonts w:ascii="Segoe UI" w:hAnsi="Segoe UI" w:eastAsia="Times New Roman" w:cs="Segoe UI"/>
      <w:color w:val="000000"/>
      <w:sz w:val="18"/>
      <w:szCs w:val="18"/>
      <w:u w:val="none" w:color="000000"/>
    </w:rPr>
  </w:style>
  <w:style w:type="character" w:styleId="Emphasis">
    <w:name w:val="Emphasis"/>
    <w:qFormat/>
    <w:rPr>
      <w:i/>
      <w:iCs/>
    </w:rPr>
  </w:style>
  <w:style w:type="character" w:styleId="Style10">
    <w:name w:val="Маркеры"/>
    <w:qFormat/>
    <w:rPr>
      <w:rFonts w:ascii="OpenSymbol" w:hAnsi="OpenSymbol" w:eastAsia="OpenSymbol" w:cs="OpenSymbol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Style13" w:customStyle="1">
    <w:name w:val="Колонтитулы"/>
    <w:qFormat/>
    <w:pPr>
      <w:widowControl/>
      <w:tabs>
        <w:tab w:val="clear" w:pos="708"/>
        <w:tab w:val="right" w:pos="9020" w:leader="none"/>
      </w:tabs>
      <w:suppressAutoHyphens w:val="true"/>
      <w:bidi w:val="0"/>
      <w:spacing w:before="0" w:after="0"/>
      <w:jc w:val="left"/>
    </w:pPr>
    <w:rPr>
      <w:rFonts w:ascii="Helvetica" w:hAnsi="Helvetica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Style14">
    <w:name w:val="Колонтитул"/>
    <w:basedOn w:val="Normal"/>
    <w:qFormat/>
    <w:pPr/>
    <w:rPr/>
  </w:style>
  <w:style w:type="paragraph" w:styleId="Footer">
    <w:name w:val="Foot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ru-RU" w:eastAsia="ru-RU" w:bidi="ar-SA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ind w:left="720" w:hanging="0"/>
      <w:jc w:val="left"/>
    </w:pPr>
    <w:rPr>
      <w:rFonts w:ascii="Times New Roman" w:hAnsi="Times New Roman" w:eastAsia="Arial Unicode MS" w:cs="Arial Unicode MS"/>
      <w:color w:val="000000"/>
      <w:kern w:val="0"/>
      <w:sz w:val="20"/>
      <w:szCs w:val="20"/>
      <w:u w:val="none" w:color="000000"/>
      <w:lang w:val="ru-RU" w:eastAsia="ru-RU" w:bidi="ar-SA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624c98"/>
    <w:pPr/>
    <w:rPr>
      <w:rFonts w:ascii="Segoe UI" w:hAnsi="Segoe UI" w:cs="Segoe UI"/>
      <w:sz w:val="18"/>
      <w:szCs w:val="18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Импортированный стиль 1"/>
    <w:qFormat/>
  </w:style>
  <w:style w:type="numbering" w:styleId="Style17" w:customStyle="1">
    <w:name w:val="Пункты"/>
    <w:qFormat/>
  </w:style>
  <w:style w:type="numbering" w:styleId="2" w:customStyle="1">
    <w:name w:val="Импортированный стиль 2"/>
    <w:qFormat/>
  </w:style>
  <w:style w:type="numbering" w:styleId="3" w:customStyle="1">
    <w:name w:val="Импортированный стиль 3"/>
    <w:qFormat/>
  </w:style>
  <w:style w:type="numbering" w:styleId="4" w:customStyle="1">
    <w:name w:val="Импортированный стиль 4"/>
    <w:qFormat/>
  </w:style>
  <w:style w:type="numbering" w:styleId="5" w:customStyle="1">
    <w:name w:val="Импортированный стиль 5"/>
    <w:qFormat/>
  </w:style>
  <w:style w:type="numbering" w:styleId="6" w:customStyle="1">
    <w:name w:val="Импортированный стиль 6"/>
    <w:qFormat/>
  </w:style>
  <w:style w:type="numbering" w:styleId="1056348021">
    <w:name w:val="1056348021"/>
    <w:qFormat/>
  </w:style>
  <w:style w:type="numbering" w:styleId="16984185151">
    <w:name w:val="16984185151"/>
    <w:qFormat/>
  </w:style>
  <w:style w:type="numbering" w:styleId="36912203291">
    <w:name w:val="36912203291"/>
    <w:qFormat/>
  </w:style>
  <w:style w:type="numbering" w:styleId="32206741371">
    <w:name w:val="32206741371"/>
    <w:qFormat/>
  </w:style>
  <w:style w:type="numbering" w:styleId="11640052411">
    <w:name w:val="11640052411"/>
    <w:qFormat/>
  </w:style>
  <w:style w:type="numbering" w:styleId="6428399141">
    <w:name w:val="6428399141"/>
    <w:qFormat/>
  </w:style>
  <w:style w:type="numbering" w:styleId="12783861201">
    <w:name w:val="12783861201"/>
    <w:qFormat/>
  </w:style>
  <w:style w:type="numbering" w:styleId="41313366811">
    <w:name w:val="41313366811"/>
    <w:qFormat/>
  </w:style>
  <w:style w:type="numbering" w:styleId="15436380731">
    <w:name w:val="15436380731"/>
    <w:qFormat/>
  </w:style>
  <w:style w:type="numbering" w:styleId="4974976111">
    <w:name w:val="4974976111"/>
    <w:qFormat/>
  </w:style>
  <w:style w:type="numbering" w:styleId="22072589481">
    <w:name w:val="22072589481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2"/>
    <w:uiPriority w:val="39"/>
    <w:rsid w:val="0057384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urges.rushydro.ru/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Application>AlterOffice/3.4.0.9$Linux_X86_64 LibreOffice_project/b8daf9e823b1a5463a2f48435ddc2e8696e7d4fc</Application>
  <AppVersion>15.0000</AppVersion>
  <Pages>4</Pages>
  <Words>897</Words>
  <Characters>6868</Characters>
  <CharactersWithSpaces>7634</CharactersWithSpaces>
  <Paragraphs>107</Paragraphs>
  <Company>EON Russia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2019-07-02T11:53:00Z</dcterms:created>
  <dc:creator>Туманова Елена Викторовна</dc:creator>
  <dc:description/>
  <dc:language>ru-RU</dc:language>
  <cp:lastModifiedBy>khramovann@corp.gidroogk.com</cp:lastModifiedBy>
  <cp:lastPrinted>2019-06-25T12:44:00Z</cp:lastPrinted>
  <dcterms:modified xsi:type="dcterms:W3CDTF">2026-08-03T14:55:13Z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